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377F74" w14:textId="211A2A84" w:rsidR="00AD5BCE" w:rsidRPr="00FB20CB" w:rsidRDefault="009E285A" w:rsidP="00B477CF">
      <w:pPr>
        <w:pStyle w:val="TITTLE3"/>
        <w:rPr>
          <w:rFonts w:cs="Arial"/>
          <w:lang w:val="el-GR"/>
        </w:rPr>
      </w:pPr>
      <w:r w:rsidRPr="00FB20CB">
        <w:rPr>
          <w:rFonts w:cs="Arial"/>
          <w:lang w:val="el-GR"/>
        </w:rPr>
        <w:t xml:space="preserve">ΑΠΟΤΕΛΕΣΜΑΤΑ ΟΜΙΛΟΥ ΟΤΕ ΓΙΑ ΤΟ </w:t>
      </w:r>
      <w:r w:rsidR="00AA0431" w:rsidRPr="00FB20CB">
        <w:rPr>
          <w:rFonts w:cs="Arial"/>
          <w:lang w:val="el-GR"/>
        </w:rPr>
        <w:t>Γ</w:t>
      </w:r>
      <w:r w:rsidRPr="00FB20CB">
        <w:rPr>
          <w:rFonts w:cs="Arial"/>
          <w:lang w:val="el-GR"/>
        </w:rPr>
        <w:t>’ ΤΡΙΜΗΝΟ ΤΟΥ 202</w:t>
      </w:r>
      <w:r w:rsidR="000612A9" w:rsidRPr="00FB20CB">
        <w:rPr>
          <w:rFonts w:cs="Arial"/>
          <w:lang w:val="el-GR"/>
        </w:rPr>
        <w:t>5</w:t>
      </w:r>
    </w:p>
    <w:p w14:paraId="4EFB8B35" w14:textId="77777777" w:rsidR="00DA1C50" w:rsidRPr="00C73E12" w:rsidRDefault="00DA1C50" w:rsidP="00972866">
      <w:pPr>
        <w:pStyle w:val="Heading1"/>
        <w:pBdr>
          <w:bottom w:val="single" w:sz="2" w:space="1" w:color="004E9A"/>
        </w:pBdr>
        <w:jc w:val="left"/>
        <w:rPr>
          <w:caps/>
          <w:smallCaps w:val="0"/>
          <w:color w:val="004E9A"/>
          <w:sz w:val="24"/>
          <w:u w:val="none"/>
          <w:lang w:val="el-GR"/>
        </w:rPr>
      </w:pPr>
    </w:p>
    <w:p w14:paraId="7A9E7437" w14:textId="56C497AC" w:rsidR="0016208B" w:rsidRPr="00972866" w:rsidRDefault="006E2EDC" w:rsidP="00972866">
      <w:pPr>
        <w:pStyle w:val="Heading1"/>
        <w:pBdr>
          <w:bottom w:val="single" w:sz="2" w:space="1" w:color="004E9A"/>
        </w:pBdr>
        <w:jc w:val="left"/>
        <w:rPr>
          <w:caps/>
          <w:smallCaps w:val="0"/>
          <w:color w:val="004E9A"/>
          <w:sz w:val="24"/>
          <w:u w:val="none"/>
        </w:rPr>
      </w:pPr>
      <w:r w:rsidRPr="00972866">
        <w:rPr>
          <w:caps/>
          <w:smallCaps w:val="0"/>
          <w:color w:val="004E9A"/>
          <w:sz w:val="24"/>
          <w:u w:val="none"/>
        </w:rPr>
        <w:t>Σ</w:t>
      </w:r>
      <w:r w:rsidR="00972866">
        <w:rPr>
          <w:caps/>
          <w:smallCaps w:val="0"/>
          <w:color w:val="004E9A"/>
          <w:sz w:val="24"/>
          <w:u w:val="none"/>
        </w:rPr>
        <w:t>y</w:t>
      </w:r>
      <w:r w:rsidRPr="00972866">
        <w:rPr>
          <w:caps/>
          <w:smallCaps w:val="0"/>
          <w:color w:val="004E9A"/>
          <w:sz w:val="24"/>
          <w:u w:val="none"/>
        </w:rPr>
        <w:t xml:space="preserve">νοψη </w:t>
      </w:r>
    </w:p>
    <w:p w14:paraId="7E31C7A2" w14:textId="77777777" w:rsidR="00DA1C50" w:rsidRPr="00DA1C50" w:rsidRDefault="00DA1C50" w:rsidP="00DA1C50">
      <w:pPr>
        <w:pStyle w:val="ListParagraph"/>
        <w:spacing w:after="180" w:line="276" w:lineRule="auto"/>
        <w:ind w:left="426"/>
        <w:jc w:val="both"/>
        <w:rPr>
          <w:rFonts w:ascii="Arial" w:hAnsi="Arial" w:cs="Arial"/>
          <w:bCs/>
          <w:sz w:val="10"/>
          <w:szCs w:val="10"/>
          <w:lang w:val="el-GR"/>
        </w:rPr>
      </w:pPr>
    </w:p>
    <w:p w14:paraId="4E2AA236" w14:textId="2E11DC00" w:rsidR="0016208B" w:rsidRPr="00E21523" w:rsidRDefault="00E21523" w:rsidP="00FC0888">
      <w:pPr>
        <w:pStyle w:val="ListParagraph"/>
        <w:numPr>
          <w:ilvl w:val="0"/>
          <w:numId w:val="3"/>
        </w:numPr>
        <w:spacing w:after="180" w:line="276" w:lineRule="auto"/>
        <w:ind w:left="426"/>
        <w:jc w:val="both"/>
        <w:rPr>
          <w:rFonts w:ascii="Arial" w:hAnsi="Arial" w:cs="Arial"/>
          <w:bCs/>
          <w:sz w:val="22"/>
          <w:szCs w:val="22"/>
          <w:lang w:val="el-GR"/>
        </w:rPr>
      </w:pPr>
      <w:r>
        <w:rPr>
          <w:rFonts w:ascii="Arial" w:hAnsi="Arial" w:cs="Arial"/>
          <w:bCs/>
          <w:sz w:val="22"/>
          <w:szCs w:val="22"/>
          <w:lang w:val="el-GR"/>
        </w:rPr>
        <w:t xml:space="preserve">Επιτυχής ολοκλήρωση </w:t>
      </w:r>
      <w:r w:rsidR="00C63772">
        <w:rPr>
          <w:rFonts w:ascii="Arial" w:hAnsi="Arial" w:cs="Arial"/>
          <w:bCs/>
          <w:sz w:val="22"/>
          <w:szCs w:val="22"/>
          <w:lang w:val="el-GR"/>
        </w:rPr>
        <w:t xml:space="preserve">της </w:t>
      </w:r>
      <w:r w:rsidR="00F66070">
        <w:rPr>
          <w:rFonts w:ascii="Arial" w:hAnsi="Arial" w:cs="Arial"/>
          <w:bCs/>
          <w:sz w:val="22"/>
          <w:szCs w:val="22"/>
          <w:lang w:val="el-GR"/>
        </w:rPr>
        <w:t>πώλησης</w:t>
      </w:r>
      <w:r>
        <w:rPr>
          <w:rFonts w:ascii="Arial" w:hAnsi="Arial" w:cs="Arial"/>
          <w:bCs/>
          <w:sz w:val="22"/>
          <w:szCs w:val="22"/>
          <w:lang w:val="el-GR"/>
        </w:rPr>
        <w:t xml:space="preserve"> της </w:t>
      </w:r>
      <w:r>
        <w:rPr>
          <w:rFonts w:ascii="Arial" w:hAnsi="Arial" w:cs="Arial"/>
          <w:bCs/>
          <w:sz w:val="22"/>
          <w:szCs w:val="22"/>
        </w:rPr>
        <w:t>Telekom</w:t>
      </w:r>
      <w:r w:rsidRPr="00E21523">
        <w:rPr>
          <w:rFonts w:ascii="Arial" w:hAnsi="Arial" w:cs="Arial"/>
          <w:bCs/>
          <w:sz w:val="22"/>
          <w:szCs w:val="22"/>
          <w:lang w:val="el-GR"/>
        </w:rPr>
        <w:t xml:space="preserve"> </w:t>
      </w:r>
      <w:r>
        <w:rPr>
          <w:rFonts w:ascii="Arial" w:hAnsi="Arial" w:cs="Arial"/>
          <w:bCs/>
          <w:sz w:val="22"/>
          <w:szCs w:val="22"/>
        </w:rPr>
        <w:t>Romania</w:t>
      </w:r>
      <w:r w:rsidRPr="00E21523">
        <w:rPr>
          <w:rFonts w:ascii="Arial" w:hAnsi="Arial" w:cs="Arial"/>
          <w:bCs/>
          <w:sz w:val="22"/>
          <w:szCs w:val="22"/>
          <w:lang w:val="el-GR"/>
        </w:rPr>
        <w:t xml:space="preserve"> </w:t>
      </w:r>
      <w:r>
        <w:rPr>
          <w:rFonts w:ascii="Arial" w:hAnsi="Arial" w:cs="Arial"/>
          <w:bCs/>
          <w:sz w:val="22"/>
          <w:szCs w:val="22"/>
        </w:rPr>
        <w:t>Mobile</w:t>
      </w:r>
    </w:p>
    <w:p w14:paraId="528E7A99" w14:textId="51E482BF" w:rsidR="00412CC8" w:rsidRPr="00412CC8" w:rsidRDefault="00412CC8" w:rsidP="00FC0888">
      <w:pPr>
        <w:pStyle w:val="ListParagraph"/>
        <w:numPr>
          <w:ilvl w:val="1"/>
          <w:numId w:val="3"/>
        </w:numPr>
        <w:spacing w:after="180" w:line="276" w:lineRule="auto"/>
        <w:ind w:left="1134" w:hanging="425"/>
        <w:jc w:val="both"/>
        <w:rPr>
          <w:rFonts w:ascii="Arial" w:hAnsi="Arial" w:cs="Arial"/>
          <w:bCs/>
          <w:sz w:val="22"/>
          <w:szCs w:val="22"/>
          <w:lang w:val="el-GR"/>
        </w:rPr>
      </w:pPr>
      <w:r w:rsidRPr="002E7088">
        <w:rPr>
          <w:rFonts w:ascii="Arial" w:hAnsi="Arial" w:cs="Arial"/>
          <w:bCs/>
          <w:sz w:val="22"/>
          <w:szCs w:val="22"/>
          <w:lang w:val="el-GR"/>
        </w:rPr>
        <w:t xml:space="preserve">Σημαντική ετήσια εξοικονόμηση </w:t>
      </w:r>
      <w:r w:rsidR="007A7ED1">
        <w:rPr>
          <w:rFonts w:ascii="Arial" w:hAnsi="Arial" w:cs="Arial"/>
          <w:bCs/>
          <w:sz w:val="22"/>
          <w:szCs w:val="22"/>
          <w:lang w:val="el-GR"/>
        </w:rPr>
        <w:t>εφεξής</w:t>
      </w:r>
      <w:r w:rsidR="007A7ED1" w:rsidRPr="002E7088">
        <w:rPr>
          <w:rFonts w:ascii="Arial" w:hAnsi="Arial" w:cs="Arial"/>
          <w:bCs/>
          <w:sz w:val="22"/>
          <w:szCs w:val="22"/>
          <w:lang w:val="el-GR"/>
        </w:rPr>
        <w:t xml:space="preserve"> </w:t>
      </w:r>
      <w:r w:rsidRPr="002E7088">
        <w:rPr>
          <w:rFonts w:ascii="Arial" w:hAnsi="Arial" w:cs="Arial"/>
          <w:bCs/>
          <w:sz w:val="22"/>
          <w:szCs w:val="22"/>
          <w:lang w:val="el-GR"/>
        </w:rPr>
        <w:t>ελεύθερων ταμειακών ροών (FCF)</w:t>
      </w:r>
      <w:r w:rsidR="00FB321D" w:rsidRPr="00FB321D">
        <w:rPr>
          <w:rFonts w:ascii="Arial" w:hAnsi="Arial" w:cs="Arial"/>
          <w:bCs/>
          <w:sz w:val="22"/>
          <w:szCs w:val="22"/>
          <w:lang w:val="el-GR"/>
        </w:rPr>
        <w:t xml:space="preserve"> </w:t>
      </w:r>
    </w:p>
    <w:p w14:paraId="29B88375" w14:textId="4B5520C7" w:rsidR="00B930CF" w:rsidRPr="009D5BD0" w:rsidRDefault="0016208B" w:rsidP="00FC0888">
      <w:pPr>
        <w:pStyle w:val="ListParagraph"/>
        <w:numPr>
          <w:ilvl w:val="1"/>
          <w:numId w:val="3"/>
        </w:numPr>
        <w:spacing w:after="180" w:line="276" w:lineRule="auto"/>
        <w:ind w:left="1134" w:hanging="425"/>
        <w:jc w:val="both"/>
        <w:rPr>
          <w:rFonts w:ascii="Arial" w:hAnsi="Arial" w:cs="Arial"/>
          <w:bCs/>
          <w:sz w:val="22"/>
          <w:szCs w:val="22"/>
          <w:lang w:val="el-GR"/>
        </w:rPr>
      </w:pPr>
      <w:r w:rsidRPr="00E21523">
        <w:rPr>
          <w:rFonts w:ascii="Arial" w:hAnsi="Arial" w:cs="Arial"/>
          <w:bCs/>
          <w:sz w:val="22"/>
          <w:szCs w:val="22"/>
          <w:lang w:val="el-GR"/>
        </w:rPr>
        <w:t>€40</w:t>
      </w:r>
      <w:r w:rsidR="00E21523">
        <w:rPr>
          <w:rFonts w:ascii="Arial" w:hAnsi="Arial" w:cs="Arial"/>
          <w:bCs/>
          <w:sz w:val="22"/>
          <w:szCs w:val="22"/>
          <w:lang w:val="el-GR"/>
        </w:rPr>
        <w:t>εκ</w:t>
      </w:r>
      <w:r w:rsidR="00FB5A73">
        <w:rPr>
          <w:rFonts w:ascii="Arial" w:hAnsi="Arial" w:cs="Arial"/>
          <w:bCs/>
          <w:sz w:val="22"/>
          <w:szCs w:val="22"/>
          <w:lang w:val="el-GR"/>
        </w:rPr>
        <w:t>ατ</w:t>
      </w:r>
      <w:r w:rsidR="00E21523" w:rsidRPr="00E21523">
        <w:rPr>
          <w:rFonts w:ascii="Arial" w:hAnsi="Arial" w:cs="Arial"/>
          <w:bCs/>
          <w:sz w:val="22"/>
          <w:szCs w:val="22"/>
          <w:lang w:val="el-GR"/>
        </w:rPr>
        <w:t xml:space="preserve">. </w:t>
      </w:r>
      <w:r w:rsidR="00E21523">
        <w:rPr>
          <w:rFonts w:ascii="Arial" w:hAnsi="Arial" w:cs="Arial"/>
          <w:bCs/>
          <w:sz w:val="22"/>
          <w:szCs w:val="22"/>
          <w:lang w:val="el-GR"/>
        </w:rPr>
        <w:t>έκτακ</w:t>
      </w:r>
      <w:r w:rsidR="009D5BD0">
        <w:rPr>
          <w:rFonts w:ascii="Arial" w:hAnsi="Arial" w:cs="Arial"/>
          <w:bCs/>
          <w:sz w:val="22"/>
          <w:szCs w:val="22"/>
          <w:lang w:val="el-GR"/>
        </w:rPr>
        <w:t>τη</w:t>
      </w:r>
      <w:r w:rsidR="00E21523" w:rsidRPr="00E21523">
        <w:rPr>
          <w:rFonts w:ascii="Arial" w:hAnsi="Arial" w:cs="Arial"/>
          <w:bCs/>
          <w:sz w:val="22"/>
          <w:szCs w:val="22"/>
          <w:lang w:val="el-GR"/>
        </w:rPr>
        <w:t xml:space="preserve"> </w:t>
      </w:r>
      <w:r w:rsidR="00E21523">
        <w:rPr>
          <w:rFonts w:ascii="Arial" w:hAnsi="Arial" w:cs="Arial"/>
          <w:bCs/>
          <w:sz w:val="22"/>
          <w:szCs w:val="22"/>
          <w:lang w:val="el-GR"/>
        </w:rPr>
        <w:t>διανομή</w:t>
      </w:r>
      <w:r w:rsidR="00E21523" w:rsidRPr="00E21523">
        <w:rPr>
          <w:rFonts w:ascii="Arial" w:hAnsi="Arial" w:cs="Arial"/>
          <w:bCs/>
          <w:sz w:val="22"/>
          <w:szCs w:val="22"/>
          <w:lang w:val="el-GR"/>
        </w:rPr>
        <w:t xml:space="preserve"> </w:t>
      </w:r>
      <w:r w:rsidR="00E21523">
        <w:rPr>
          <w:rFonts w:ascii="Arial" w:hAnsi="Arial" w:cs="Arial"/>
          <w:bCs/>
          <w:sz w:val="22"/>
          <w:szCs w:val="22"/>
          <w:lang w:val="el-GR"/>
        </w:rPr>
        <w:t>στους</w:t>
      </w:r>
      <w:r w:rsidR="00E21523" w:rsidRPr="00E21523">
        <w:rPr>
          <w:rFonts w:ascii="Arial" w:hAnsi="Arial" w:cs="Arial"/>
          <w:bCs/>
          <w:sz w:val="22"/>
          <w:szCs w:val="22"/>
          <w:lang w:val="el-GR"/>
        </w:rPr>
        <w:t xml:space="preserve"> </w:t>
      </w:r>
      <w:r w:rsidR="00E21523">
        <w:rPr>
          <w:rFonts w:ascii="Arial" w:hAnsi="Arial" w:cs="Arial"/>
          <w:bCs/>
          <w:sz w:val="22"/>
          <w:szCs w:val="22"/>
          <w:lang w:val="el-GR"/>
        </w:rPr>
        <w:t>μετόχους</w:t>
      </w:r>
      <w:r w:rsidR="009D5BD0">
        <w:rPr>
          <w:rFonts w:ascii="Arial" w:hAnsi="Arial" w:cs="Arial"/>
          <w:bCs/>
          <w:sz w:val="22"/>
          <w:szCs w:val="22"/>
          <w:lang w:val="el-GR"/>
        </w:rPr>
        <w:t xml:space="preserve"> που αντιστοιχεί σε </w:t>
      </w:r>
      <w:r w:rsidR="00E21523">
        <w:rPr>
          <w:rFonts w:ascii="Arial" w:hAnsi="Arial" w:cs="Arial"/>
          <w:bCs/>
          <w:sz w:val="22"/>
          <w:szCs w:val="22"/>
          <w:lang w:val="el-GR"/>
        </w:rPr>
        <w:t xml:space="preserve">μέρισμα </w:t>
      </w:r>
      <w:r w:rsidRPr="00E21523">
        <w:rPr>
          <w:rFonts w:ascii="Arial" w:hAnsi="Arial" w:cs="Arial"/>
          <w:bCs/>
          <w:sz w:val="22"/>
          <w:szCs w:val="22"/>
          <w:lang w:val="el-GR"/>
        </w:rPr>
        <w:t>€0</w:t>
      </w:r>
      <w:r w:rsidR="00E21523">
        <w:rPr>
          <w:rFonts w:ascii="Arial" w:hAnsi="Arial" w:cs="Arial"/>
          <w:bCs/>
          <w:sz w:val="22"/>
          <w:szCs w:val="22"/>
          <w:lang w:val="el-GR"/>
        </w:rPr>
        <w:t>,</w:t>
      </w:r>
      <w:r w:rsidRPr="00E21523">
        <w:rPr>
          <w:rFonts w:ascii="Arial" w:hAnsi="Arial" w:cs="Arial"/>
          <w:bCs/>
          <w:sz w:val="22"/>
          <w:szCs w:val="22"/>
          <w:lang w:val="el-GR"/>
        </w:rPr>
        <w:t xml:space="preserve">1 </w:t>
      </w:r>
      <w:r w:rsidR="00E21523">
        <w:rPr>
          <w:rFonts w:ascii="Arial" w:hAnsi="Arial" w:cs="Arial"/>
          <w:bCs/>
          <w:sz w:val="22"/>
          <w:szCs w:val="22"/>
          <w:lang w:val="el-GR"/>
        </w:rPr>
        <w:t>ανά μετοχή</w:t>
      </w:r>
    </w:p>
    <w:p w14:paraId="45C6AB56" w14:textId="3C8A4D0E" w:rsidR="0016208B" w:rsidRPr="00A102DC" w:rsidRDefault="00F66070" w:rsidP="00FC0888">
      <w:pPr>
        <w:pStyle w:val="ListParagraph"/>
        <w:numPr>
          <w:ilvl w:val="0"/>
          <w:numId w:val="3"/>
        </w:numPr>
        <w:spacing w:after="180" w:line="276" w:lineRule="auto"/>
        <w:ind w:left="426"/>
        <w:jc w:val="both"/>
        <w:rPr>
          <w:rFonts w:ascii="Arial" w:hAnsi="Arial" w:cs="Arial"/>
          <w:bCs/>
          <w:sz w:val="22"/>
          <w:szCs w:val="22"/>
          <w:lang w:val="el-GR"/>
        </w:rPr>
      </w:pPr>
      <w:r>
        <w:rPr>
          <w:rFonts w:ascii="Arial" w:hAnsi="Arial" w:cs="Arial"/>
          <w:bCs/>
          <w:sz w:val="22"/>
          <w:szCs w:val="22"/>
          <w:lang w:val="el-GR"/>
        </w:rPr>
        <w:t>Συνεχίζεται</w:t>
      </w:r>
      <w:r w:rsidRPr="001F3ACD">
        <w:rPr>
          <w:rFonts w:ascii="Arial" w:hAnsi="Arial" w:cs="Arial"/>
          <w:bCs/>
          <w:sz w:val="22"/>
          <w:szCs w:val="22"/>
          <w:lang w:val="el-GR"/>
        </w:rPr>
        <w:t xml:space="preserve"> </w:t>
      </w:r>
      <w:r>
        <w:rPr>
          <w:rFonts w:ascii="Arial" w:hAnsi="Arial" w:cs="Arial"/>
          <w:bCs/>
          <w:sz w:val="22"/>
          <w:szCs w:val="22"/>
          <w:lang w:val="el-GR"/>
        </w:rPr>
        <w:t>η</w:t>
      </w:r>
      <w:r w:rsidRPr="001F3ACD">
        <w:rPr>
          <w:rFonts w:ascii="Arial" w:hAnsi="Arial" w:cs="Arial"/>
          <w:bCs/>
          <w:sz w:val="22"/>
          <w:szCs w:val="22"/>
          <w:lang w:val="el-GR"/>
        </w:rPr>
        <w:t xml:space="preserve"> </w:t>
      </w:r>
      <w:r w:rsidR="00D15CC4">
        <w:rPr>
          <w:rFonts w:ascii="Arial" w:hAnsi="Arial" w:cs="Arial"/>
          <w:bCs/>
          <w:sz w:val="22"/>
          <w:szCs w:val="22"/>
          <w:lang w:val="el-GR"/>
        </w:rPr>
        <w:t>αναπτυξιακή</w:t>
      </w:r>
      <w:r w:rsidR="00D15CC4" w:rsidRPr="001F3ACD">
        <w:rPr>
          <w:rFonts w:ascii="Arial" w:hAnsi="Arial" w:cs="Arial"/>
          <w:bCs/>
          <w:sz w:val="22"/>
          <w:szCs w:val="22"/>
          <w:lang w:val="el-GR"/>
        </w:rPr>
        <w:t xml:space="preserve"> </w:t>
      </w:r>
      <w:r>
        <w:rPr>
          <w:rFonts w:ascii="Arial" w:hAnsi="Arial" w:cs="Arial"/>
          <w:bCs/>
          <w:sz w:val="22"/>
          <w:szCs w:val="22"/>
          <w:lang w:val="el-GR"/>
        </w:rPr>
        <w:t>δυναμική</w:t>
      </w:r>
      <w:r w:rsidRPr="001F3ACD">
        <w:rPr>
          <w:rFonts w:ascii="Arial" w:hAnsi="Arial" w:cs="Arial"/>
          <w:bCs/>
          <w:sz w:val="22"/>
          <w:szCs w:val="22"/>
          <w:lang w:val="el-GR"/>
        </w:rPr>
        <w:t xml:space="preserve"> </w:t>
      </w:r>
      <w:r>
        <w:rPr>
          <w:rFonts w:ascii="Arial" w:hAnsi="Arial" w:cs="Arial"/>
          <w:bCs/>
          <w:sz w:val="22"/>
          <w:szCs w:val="22"/>
          <w:lang w:val="el-GR"/>
        </w:rPr>
        <w:t>στην</w:t>
      </w:r>
      <w:r w:rsidRPr="001F3ACD">
        <w:rPr>
          <w:rFonts w:ascii="Arial" w:hAnsi="Arial" w:cs="Arial"/>
          <w:bCs/>
          <w:sz w:val="22"/>
          <w:szCs w:val="22"/>
          <w:lang w:val="el-GR"/>
        </w:rPr>
        <w:t xml:space="preserve"> </w:t>
      </w:r>
      <w:r>
        <w:rPr>
          <w:rFonts w:ascii="Arial" w:hAnsi="Arial" w:cs="Arial"/>
          <w:bCs/>
          <w:sz w:val="22"/>
          <w:szCs w:val="22"/>
          <w:lang w:val="el-GR"/>
        </w:rPr>
        <w:t>Ελλάδα</w:t>
      </w:r>
      <w:r w:rsidR="0016208B" w:rsidRPr="001F3ACD">
        <w:rPr>
          <w:rFonts w:ascii="Arial" w:hAnsi="Arial" w:cs="Arial"/>
          <w:bCs/>
          <w:sz w:val="22"/>
          <w:szCs w:val="22"/>
          <w:lang w:val="el-GR"/>
        </w:rPr>
        <w:t xml:space="preserve">: </w:t>
      </w:r>
      <w:r w:rsidR="00AA56F9" w:rsidRPr="00AA56F9">
        <w:rPr>
          <w:rFonts w:ascii="Arial" w:hAnsi="Arial" w:cs="Arial"/>
          <w:bCs/>
          <w:sz w:val="21"/>
          <w:szCs w:val="21"/>
          <w:lang w:val="el-GR"/>
        </w:rPr>
        <w:t xml:space="preserve">αύξηση </w:t>
      </w:r>
      <w:r w:rsidR="00D87207" w:rsidRPr="00D87207">
        <w:rPr>
          <w:rFonts w:ascii="Arial" w:hAnsi="Arial" w:cs="Arial"/>
          <w:bCs/>
          <w:sz w:val="21"/>
          <w:szCs w:val="21"/>
          <w:lang w:val="el-GR"/>
        </w:rPr>
        <w:t>5,</w:t>
      </w:r>
      <w:r w:rsidR="0041547E" w:rsidRPr="0041547E">
        <w:rPr>
          <w:rFonts w:ascii="Arial" w:hAnsi="Arial" w:cs="Arial"/>
          <w:bCs/>
          <w:sz w:val="21"/>
          <w:szCs w:val="21"/>
          <w:lang w:val="el-GR"/>
        </w:rPr>
        <w:t>0</w:t>
      </w:r>
      <w:r w:rsidR="00AA56F9" w:rsidRPr="00AA56F9">
        <w:rPr>
          <w:rFonts w:ascii="Arial" w:hAnsi="Arial" w:cs="Arial"/>
          <w:bCs/>
          <w:sz w:val="21"/>
          <w:szCs w:val="21"/>
          <w:lang w:val="el-GR"/>
        </w:rPr>
        <w:t xml:space="preserve">% στα έσοδα και 2,0% στο προσαρμοσμένο </w:t>
      </w:r>
      <w:r w:rsidR="00AA56F9" w:rsidRPr="00AA56F9">
        <w:rPr>
          <w:rFonts w:ascii="Arial" w:hAnsi="Arial" w:cs="Arial"/>
          <w:bCs/>
          <w:sz w:val="21"/>
          <w:szCs w:val="21"/>
        </w:rPr>
        <w:t>EBITDA</w:t>
      </w:r>
      <w:r w:rsidR="00AA56F9" w:rsidRPr="00AA56F9">
        <w:rPr>
          <w:rFonts w:ascii="Arial" w:hAnsi="Arial" w:cs="Arial"/>
          <w:bCs/>
          <w:sz w:val="21"/>
          <w:szCs w:val="21"/>
          <w:lang w:val="el-GR"/>
        </w:rPr>
        <w:t xml:space="preserve"> (</w:t>
      </w:r>
      <w:r w:rsidR="00AA56F9" w:rsidRPr="00AA56F9">
        <w:rPr>
          <w:rFonts w:ascii="Arial" w:hAnsi="Arial" w:cs="Arial"/>
          <w:bCs/>
          <w:sz w:val="21"/>
          <w:szCs w:val="21"/>
        </w:rPr>
        <w:t>AL</w:t>
      </w:r>
      <w:r w:rsidR="000B4F3B" w:rsidRPr="003B27FC">
        <w:rPr>
          <w:rFonts w:ascii="Arial" w:hAnsi="Arial" w:cs="Arial"/>
          <w:bCs/>
          <w:sz w:val="21"/>
          <w:szCs w:val="21"/>
          <w:lang w:val="el-GR"/>
        </w:rPr>
        <w:t>)</w:t>
      </w:r>
      <w:r w:rsidR="00A102DC">
        <w:rPr>
          <w:rFonts w:ascii="Arial" w:hAnsi="Arial" w:cs="Arial"/>
          <w:b/>
          <w:color w:val="FFFFFF" w:themeColor="background1"/>
          <w:sz w:val="21"/>
          <w:szCs w:val="21"/>
          <w:lang w:val="el-GR"/>
        </w:rPr>
        <w:t>)</w:t>
      </w:r>
    </w:p>
    <w:p w14:paraId="233D202F" w14:textId="4F79C58F" w:rsidR="008A2163" w:rsidRDefault="00BC2384" w:rsidP="00FC0888">
      <w:pPr>
        <w:pStyle w:val="ListParagraph"/>
        <w:numPr>
          <w:ilvl w:val="0"/>
          <w:numId w:val="3"/>
        </w:numPr>
        <w:spacing w:after="180" w:line="276" w:lineRule="auto"/>
        <w:ind w:left="426"/>
        <w:jc w:val="both"/>
        <w:rPr>
          <w:rFonts w:ascii="Arial" w:hAnsi="Arial" w:cs="Arial"/>
          <w:bCs/>
          <w:sz w:val="22"/>
          <w:szCs w:val="22"/>
          <w:lang w:val="el-GR"/>
        </w:rPr>
      </w:pPr>
      <w:r>
        <w:rPr>
          <w:rFonts w:ascii="Arial" w:hAnsi="Arial" w:cs="Arial"/>
          <w:bCs/>
          <w:sz w:val="22"/>
          <w:szCs w:val="22"/>
          <w:lang w:val="el-GR"/>
        </w:rPr>
        <w:t>Ισχυρή</w:t>
      </w:r>
      <w:r w:rsidRPr="00BC2384">
        <w:rPr>
          <w:rFonts w:ascii="Arial" w:hAnsi="Arial" w:cs="Arial"/>
          <w:bCs/>
          <w:sz w:val="22"/>
          <w:szCs w:val="22"/>
          <w:lang w:val="el-GR"/>
        </w:rPr>
        <w:t xml:space="preserve"> </w:t>
      </w:r>
      <w:r>
        <w:rPr>
          <w:rFonts w:ascii="Arial" w:hAnsi="Arial" w:cs="Arial"/>
          <w:bCs/>
          <w:sz w:val="22"/>
          <w:szCs w:val="22"/>
          <w:lang w:val="el-GR"/>
        </w:rPr>
        <w:t>ανάπτυξη</w:t>
      </w:r>
      <w:r w:rsidRPr="00BC2384">
        <w:rPr>
          <w:rFonts w:ascii="Arial" w:hAnsi="Arial" w:cs="Arial"/>
          <w:bCs/>
          <w:sz w:val="22"/>
          <w:szCs w:val="22"/>
          <w:lang w:val="el-GR"/>
        </w:rPr>
        <w:t xml:space="preserve"> </w:t>
      </w:r>
      <w:r>
        <w:rPr>
          <w:rFonts w:ascii="Arial" w:hAnsi="Arial" w:cs="Arial"/>
          <w:bCs/>
          <w:sz w:val="22"/>
          <w:szCs w:val="22"/>
          <w:lang w:val="el-GR"/>
        </w:rPr>
        <w:t>στην</w:t>
      </w:r>
      <w:r w:rsidRPr="00BC2384">
        <w:rPr>
          <w:rFonts w:ascii="Arial" w:hAnsi="Arial" w:cs="Arial"/>
          <w:bCs/>
          <w:sz w:val="22"/>
          <w:szCs w:val="22"/>
          <w:lang w:val="el-GR"/>
        </w:rPr>
        <w:t xml:space="preserve"> </w:t>
      </w:r>
      <w:r>
        <w:rPr>
          <w:rFonts w:ascii="Arial" w:hAnsi="Arial" w:cs="Arial"/>
          <w:bCs/>
          <w:sz w:val="22"/>
          <w:szCs w:val="22"/>
          <w:lang w:val="el-GR"/>
        </w:rPr>
        <w:t>κινητή</w:t>
      </w:r>
      <w:r w:rsidRPr="00BC2384">
        <w:rPr>
          <w:rFonts w:ascii="Arial" w:hAnsi="Arial" w:cs="Arial"/>
          <w:bCs/>
          <w:sz w:val="22"/>
          <w:szCs w:val="22"/>
          <w:lang w:val="el-GR"/>
        </w:rPr>
        <w:t xml:space="preserve">: </w:t>
      </w:r>
      <w:r>
        <w:rPr>
          <w:rFonts w:ascii="Arial" w:hAnsi="Arial" w:cs="Arial"/>
          <w:bCs/>
          <w:sz w:val="22"/>
          <w:szCs w:val="22"/>
          <w:lang w:val="el-GR"/>
        </w:rPr>
        <w:t>αύξηση</w:t>
      </w:r>
      <w:r w:rsidRPr="00BC2384">
        <w:rPr>
          <w:rFonts w:ascii="Arial" w:hAnsi="Arial" w:cs="Arial"/>
          <w:bCs/>
          <w:sz w:val="22"/>
          <w:szCs w:val="22"/>
          <w:lang w:val="el-GR"/>
        </w:rPr>
        <w:t xml:space="preserve"> </w:t>
      </w:r>
      <w:r w:rsidR="00D87207" w:rsidRPr="00D87207">
        <w:rPr>
          <w:rFonts w:ascii="Arial" w:hAnsi="Arial" w:cs="Arial"/>
          <w:bCs/>
          <w:sz w:val="22"/>
          <w:szCs w:val="22"/>
          <w:lang w:val="el-GR"/>
        </w:rPr>
        <w:t>2,7</w:t>
      </w:r>
      <w:r w:rsidRPr="00BC2384">
        <w:rPr>
          <w:rFonts w:ascii="Arial" w:hAnsi="Arial" w:cs="Arial"/>
          <w:bCs/>
          <w:sz w:val="22"/>
          <w:szCs w:val="22"/>
          <w:lang w:val="el-GR"/>
        </w:rPr>
        <w:t xml:space="preserve">% </w:t>
      </w:r>
      <w:r>
        <w:rPr>
          <w:rFonts w:ascii="Arial" w:hAnsi="Arial" w:cs="Arial"/>
          <w:bCs/>
          <w:sz w:val="22"/>
          <w:szCs w:val="22"/>
          <w:lang w:val="el-GR"/>
        </w:rPr>
        <w:t>στα</w:t>
      </w:r>
      <w:r w:rsidRPr="00BC2384">
        <w:rPr>
          <w:rFonts w:ascii="Arial" w:hAnsi="Arial" w:cs="Arial"/>
          <w:bCs/>
          <w:sz w:val="22"/>
          <w:szCs w:val="22"/>
          <w:lang w:val="el-GR"/>
        </w:rPr>
        <w:t xml:space="preserve"> </w:t>
      </w:r>
      <w:r>
        <w:rPr>
          <w:rFonts w:ascii="Arial" w:hAnsi="Arial" w:cs="Arial"/>
          <w:bCs/>
          <w:sz w:val="22"/>
          <w:szCs w:val="22"/>
          <w:lang w:val="el-GR"/>
        </w:rPr>
        <w:t>έσοδα</w:t>
      </w:r>
      <w:r w:rsidRPr="00BC2384">
        <w:rPr>
          <w:rFonts w:ascii="Arial" w:hAnsi="Arial" w:cs="Arial"/>
          <w:bCs/>
          <w:sz w:val="22"/>
          <w:szCs w:val="22"/>
          <w:lang w:val="el-GR"/>
        </w:rPr>
        <w:t xml:space="preserve"> </w:t>
      </w:r>
      <w:r w:rsidR="00D87207">
        <w:rPr>
          <w:rFonts w:ascii="Arial" w:hAnsi="Arial" w:cs="Arial"/>
          <w:bCs/>
          <w:sz w:val="22"/>
          <w:szCs w:val="22"/>
          <w:lang w:val="el-GR"/>
        </w:rPr>
        <w:t xml:space="preserve">από υπηρεσίες </w:t>
      </w:r>
      <w:r>
        <w:rPr>
          <w:rFonts w:ascii="Arial" w:hAnsi="Arial" w:cs="Arial"/>
          <w:bCs/>
          <w:sz w:val="22"/>
          <w:szCs w:val="22"/>
          <w:lang w:val="el-GR"/>
        </w:rPr>
        <w:t>και</w:t>
      </w:r>
      <w:r w:rsidRPr="00BC2384">
        <w:rPr>
          <w:rFonts w:ascii="Arial" w:hAnsi="Arial" w:cs="Arial"/>
          <w:bCs/>
          <w:sz w:val="22"/>
          <w:szCs w:val="22"/>
          <w:lang w:val="el-GR"/>
        </w:rPr>
        <w:t xml:space="preserve"> </w:t>
      </w:r>
      <w:r w:rsidR="003B27FC" w:rsidRPr="003B27FC">
        <w:rPr>
          <w:rFonts w:ascii="Arial" w:hAnsi="Arial" w:cs="Arial"/>
          <w:bCs/>
          <w:sz w:val="22"/>
          <w:szCs w:val="22"/>
          <w:lang w:val="el-GR"/>
        </w:rPr>
        <w:t>6,4</w:t>
      </w:r>
      <w:r w:rsidRPr="003B27FC">
        <w:rPr>
          <w:rFonts w:ascii="Arial" w:hAnsi="Arial" w:cs="Arial"/>
          <w:bCs/>
          <w:sz w:val="22"/>
          <w:szCs w:val="22"/>
          <w:lang w:val="el-GR"/>
        </w:rPr>
        <w:t>%</w:t>
      </w:r>
      <w:r w:rsidRPr="00BC2384">
        <w:rPr>
          <w:rFonts w:ascii="Arial" w:hAnsi="Arial" w:cs="Arial"/>
          <w:bCs/>
          <w:sz w:val="22"/>
          <w:szCs w:val="22"/>
          <w:lang w:val="el-GR"/>
        </w:rPr>
        <w:t xml:space="preserve"> </w:t>
      </w:r>
      <w:r>
        <w:rPr>
          <w:rFonts w:ascii="Arial" w:hAnsi="Arial" w:cs="Arial"/>
          <w:bCs/>
          <w:sz w:val="22"/>
          <w:szCs w:val="22"/>
          <w:lang w:val="el-GR"/>
        </w:rPr>
        <w:t>στους</w:t>
      </w:r>
      <w:r w:rsidRPr="00BC2384">
        <w:rPr>
          <w:rFonts w:ascii="Arial" w:hAnsi="Arial" w:cs="Arial"/>
          <w:bCs/>
          <w:sz w:val="22"/>
          <w:szCs w:val="22"/>
          <w:lang w:val="el-GR"/>
        </w:rPr>
        <w:t xml:space="preserve"> </w:t>
      </w:r>
      <w:r>
        <w:rPr>
          <w:rFonts w:ascii="Arial" w:hAnsi="Arial" w:cs="Arial"/>
          <w:bCs/>
          <w:sz w:val="22"/>
          <w:szCs w:val="22"/>
          <w:lang w:val="el-GR"/>
        </w:rPr>
        <w:t>πελάτες συμβολαίου</w:t>
      </w:r>
    </w:p>
    <w:p w14:paraId="1A750882" w14:textId="091F9E11" w:rsidR="008A2163" w:rsidRPr="00CE09CE" w:rsidRDefault="008A2163" w:rsidP="00FC0888">
      <w:pPr>
        <w:pStyle w:val="ListParagraph"/>
        <w:numPr>
          <w:ilvl w:val="0"/>
          <w:numId w:val="3"/>
        </w:numPr>
        <w:spacing w:after="180" w:line="276" w:lineRule="auto"/>
        <w:ind w:left="426"/>
        <w:jc w:val="both"/>
        <w:rPr>
          <w:rFonts w:ascii="Arial" w:hAnsi="Arial" w:cs="Arial"/>
          <w:bCs/>
          <w:sz w:val="22"/>
          <w:szCs w:val="22"/>
          <w:lang w:val="el-GR"/>
        </w:rPr>
      </w:pPr>
      <w:r w:rsidRPr="00CE09CE">
        <w:rPr>
          <w:rFonts w:ascii="Arial" w:hAnsi="Arial" w:cs="Arial"/>
          <w:bCs/>
          <w:sz w:val="22"/>
          <w:szCs w:val="22"/>
          <w:lang w:val="el-GR"/>
        </w:rPr>
        <w:t xml:space="preserve">Σε </w:t>
      </w:r>
      <w:r w:rsidR="0089082B">
        <w:rPr>
          <w:rFonts w:ascii="Arial" w:hAnsi="Arial" w:cs="Arial"/>
          <w:bCs/>
          <w:sz w:val="22"/>
          <w:szCs w:val="22"/>
          <w:lang w:val="el-GR"/>
        </w:rPr>
        <w:t xml:space="preserve">τροχιά </w:t>
      </w:r>
      <w:r w:rsidRPr="00CE09CE">
        <w:rPr>
          <w:rFonts w:ascii="Arial" w:hAnsi="Arial" w:cs="Arial"/>
          <w:bCs/>
          <w:sz w:val="22"/>
          <w:szCs w:val="22"/>
          <w:lang w:val="el-GR"/>
        </w:rPr>
        <w:t>ανάπτυξη</w:t>
      </w:r>
      <w:r w:rsidR="0089082B">
        <w:rPr>
          <w:rFonts w:ascii="Arial" w:hAnsi="Arial" w:cs="Arial"/>
          <w:bCs/>
          <w:sz w:val="22"/>
          <w:szCs w:val="22"/>
          <w:lang w:val="el-GR"/>
        </w:rPr>
        <w:t>ς</w:t>
      </w:r>
      <w:r w:rsidRPr="00CE09CE">
        <w:rPr>
          <w:rFonts w:ascii="Arial" w:hAnsi="Arial" w:cs="Arial"/>
          <w:bCs/>
          <w:sz w:val="22"/>
          <w:szCs w:val="22"/>
          <w:lang w:val="el-GR"/>
        </w:rPr>
        <w:t xml:space="preserve"> τα έσοδα από υπηρεσίες λιανικής σταθερής</w:t>
      </w:r>
      <w:r w:rsidR="0089082B">
        <w:rPr>
          <w:rFonts w:ascii="Arial" w:hAnsi="Arial" w:cs="Arial"/>
          <w:bCs/>
          <w:sz w:val="22"/>
          <w:szCs w:val="22"/>
          <w:lang w:val="el-GR"/>
        </w:rPr>
        <w:t>, αυξημένα 1,3%,</w:t>
      </w:r>
      <w:r w:rsidRPr="00CE09CE">
        <w:rPr>
          <w:rFonts w:ascii="Arial" w:hAnsi="Arial" w:cs="Arial"/>
          <w:bCs/>
          <w:sz w:val="22"/>
          <w:szCs w:val="22"/>
          <w:lang w:val="el-GR"/>
        </w:rPr>
        <w:t xml:space="preserve">  διψήφια αύξηση των εσόδων από υπηρεσίες τηλεόρασης και ισχυρές επιδόσεις στο </w:t>
      </w:r>
      <w:r w:rsidRPr="008A2163">
        <w:rPr>
          <w:rFonts w:ascii="Arial" w:hAnsi="Arial" w:cs="Arial"/>
          <w:bCs/>
          <w:sz w:val="22"/>
          <w:szCs w:val="22"/>
        </w:rPr>
        <w:t>FTTH</w:t>
      </w:r>
      <w:r w:rsidRPr="00CE09CE">
        <w:rPr>
          <w:rFonts w:ascii="Arial" w:hAnsi="Arial" w:cs="Arial"/>
          <w:bCs/>
          <w:sz w:val="22"/>
          <w:szCs w:val="22"/>
          <w:lang w:val="el-GR"/>
        </w:rPr>
        <w:t xml:space="preserve"> </w:t>
      </w:r>
    </w:p>
    <w:p w14:paraId="16D41548" w14:textId="430FCB2B" w:rsidR="008A2163" w:rsidRPr="00311CC4" w:rsidRDefault="009C3BF9" w:rsidP="00311CC4">
      <w:pPr>
        <w:pStyle w:val="ListParagraph"/>
        <w:numPr>
          <w:ilvl w:val="0"/>
          <w:numId w:val="3"/>
        </w:numPr>
        <w:spacing w:after="180" w:line="276" w:lineRule="auto"/>
        <w:ind w:left="426"/>
        <w:jc w:val="both"/>
        <w:rPr>
          <w:rFonts w:ascii="Arial" w:hAnsi="Arial" w:cs="Arial"/>
          <w:bCs/>
          <w:sz w:val="22"/>
          <w:szCs w:val="22"/>
          <w:lang w:val="el-GR"/>
        </w:rPr>
      </w:pPr>
      <w:r>
        <w:rPr>
          <w:rFonts w:ascii="Arial" w:hAnsi="Arial" w:cs="Arial"/>
          <w:bCs/>
          <w:sz w:val="22"/>
          <w:szCs w:val="22"/>
          <w:lang w:val="el-GR"/>
        </w:rPr>
        <w:t>Οι</w:t>
      </w:r>
      <w:r w:rsidR="008A2163" w:rsidRPr="00852D23">
        <w:rPr>
          <w:rFonts w:ascii="Arial" w:hAnsi="Arial" w:cs="Arial"/>
          <w:bCs/>
          <w:sz w:val="22"/>
          <w:szCs w:val="22"/>
          <w:lang w:val="el-GR"/>
        </w:rPr>
        <w:t xml:space="preserve"> συνδρομητές </w:t>
      </w:r>
      <w:r w:rsidR="008A2163" w:rsidRPr="009C3BF9">
        <w:rPr>
          <w:rFonts w:ascii="Arial" w:hAnsi="Arial" w:cs="Arial"/>
          <w:sz w:val="22"/>
          <w:szCs w:val="22"/>
          <w:lang w:val="el-GR"/>
        </w:rPr>
        <w:t>FTTH</w:t>
      </w:r>
      <w:r w:rsidR="008A2163" w:rsidRPr="00852D23">
        <w:rPr>
          <w:rFonts w:ascii="Arial" w:hAnsi="Arial" w:cs="Arial"/>
          <w:bCs/>
          <w:sz w:val="22"/>
          <w:szCs w:val="22"/>
          <w:lang w:val="el-GR"/>
        </w:rPr>
        <w:t xml:space="preserve"> ανήλθαν σε </w:t>
      </w:r>
      <w:r w:rsidR="0089082B">
        <w:rPr>
          <w:rFonts w:ascii="Arial" w:hAnsi="Arial" w:cs="Arial"/>
          <w:bCs/>
          <w:sz w:val="22"/>
          <w:szCs w:val="22"/>
          <w:lang w:val="el-GR"/>
        </w:rPr>
        <w:t>509</w:t>
      </w:r>
      <w:r w:rsidR="008A2163" w:rsidRPr="00852D23">
        <w:rPr>
          <w:rFonts w:ascii="Arial" w:hAnsi="Arial" w:cs="Arial"/>
          <w:bCs/>
          <w:sz w:val="22"/>
          <w:szCs w:val="22"/>
          <w:lang w:val="el-GR"/>
        </w:rPr>
        <w:t xml:space="preserve">χιλ. – </w:t>
      </w:r>
      <w:r w:rsidR="001358D8">
        <w:rPr>
          <w:rFonts w:ascii="Arial" w:hAnsi="Arial" w:cs="Arial"/>
          <w:bCs/>
          <w:sz w:val="22"/>
          <w:szCs w:val="22"/>
          <w:lang w:val="el-GR"/>
        </w:rPr>
        <w:t>ισχυρές προσθήκες</w:t>
      </w:r>
      <w:r w:rsidR="008A2163" w:rsidRPr="00852D23">
        <w:rPr>
          <w:rFonts w:ascii="Arial" w:hAnsi="Arial" w:cs="Arial"/>
          <w:bCs/>
          <w:sz w:val="22"/>
          <w:szCs w:val="22"/>
          <w:lang w:val="el-GR"/>
        </w:rPr>
        <w:t xml:space="preserve"> στο τρίμηνο </w:t>
      </w:r>
      <w:r w:rsidR="00753D28">
        <w:rPr>
          <w:rFonts w:ascii="Arial" w:hAnsi="Arial" w:cs="Arial"/>
          <w:bCs/>
          <w:sz w:val="22"/>
          <w:szCs w:val="22"/>
          <w:lang w:val="el-GR"/>
        </w:rPr>
        <w:t>(</w:t>
      </w:r>
      <w:r w:rsidR="003E7459">
        <w:rPr>
          <w:rFonts w:ascii="Arial" w:hAnsi="Arial" w:cs="Arial"/>
          <w:bCs/>
          <w:sz w:val="22"/>
          <w:szCs w:val="22"/>
          <w:lang w:val="el-GR"/>
        </w:rPr>
        <w:t>38</w:t>
      </w:r>
      <w:r w:rsidR="008A2163" w:rsidRPr="00852D23">
        <w:rPr>
          <w:rFonts w:ascii="Arial" w:hAnsi="Arial" w:cs="Arial"/>
          <w:bCs/>
          <w:sz w:val="22"/>
          <w:szCs w:val="22"/>
          <w:lang w:val="el-GR"/>
        </w:rPr>
        <w:t>χιλ</w:t>
      </w:r>
      <w:r w:rsidR="00104E07" w:rsidRPr="00104E07">
        <w:rPr>
          <w:rFonts w:ascii="Arial" w:hAnsi="Arial" w:cs="Arial"/>
          <w:bCs/>
          <w:sz w:val="22"/>
          <w:szCs w:val="22"/>
          <w:lang w:val="el-GR"/>
        </w:rPr>
        <w:t>.</w:t>
      </w:r>
      <w:r w:rsidR="00753D28">
        <w:rPr>
          <w:rFonts w:ascii="Arial" w:hAnsi="Arial" w:cs="Arial"/>
          <w:bCs/>
          <w:sz w:val="22"/>
          <w:szCs w:val="22"/>
          <w:lang w:val="el-GR"/>
        </w:rPr>
        <w:t>)</w:t>
      </w:r>
      <w:r w:rsidR="008A2163" w:rsidRPr="00852D23">
        <w:rPr>
          <w:rFonts w:ascii="Arial" w:hAnsi="Arial" w:cs="Arial"/>
          <w:bCs/>
          <w:sz w:val="22"/>
          <w:szCs w:val="22"/>
          <w:lang w:val="el-GR"/>
        </w:rPr>
        <w:t xml:space="preserve"> </w:t>
      </w:r>
      <w:r w:rsidR="00104E07" w:rsidRPr="00852D23">
        <w:rPr>
          <w:rFonts w:ascii="Arial" w:hAnsi="Arial" w:cs="Arial"/>
          <w:bCs/>
          <w:sz w:val="22"/>
          <w:szCs w:val="22"/>
          <w:lang w:val="el-GR"/>
        </w:rPr>
        <w:t>–</w:t>
      </w:r>
      <w:r w:rsidR="00104E07" w:rsidRPr="00104E07">
        <w:rPr>
          <w:rFonts w:ascii="Arial" w:hAnsi="Arial" w:cs="Arial"/>
          <w:bCs/>
          <w:sz w:val="22"/>
          <w:szCs w:val="22"/>
          <w:lang w:val="el-GR"/>
        </w:rPr>
        <w:t xml:space="preserve"> </w:t>
      </w:r>
      <w:r w:rsidR="00311CC4">
        <w:rPr>
          <w:rFonts w:ascii="Arial" w:hAnsi="Arial" w:cs="Arial"/>
          <w:bCs/>
          <w:sz w:val="22"/>
          <w:szCs w:val="22"/>
          <w:lang w:val="el-GR"/>
        </w:rPr>
        <w:t>θετικές καθαρές προσθήκες</w:t>
      </w:r>
      <w:r w:rsidR="00311CC4" w:rsidRPr="00D20CD0">
        <w:rPr>
          <w:rFonts w:ascii="Arial" w:hAnsi="Arial" w:cs="Arial"/>
          <w:bCs/>
          <w:sz w:val="22"/>
          <w:szCs w:val="22"/>
          <w:lang w:val="el-GR"/>
        </w:rPr>
        <w:t xml:space="preserve"> </w:t>
      </w:r>
      <w:proofErr w:type="spellStart"/>
      <w:r w:rsidR="00311CC4">
        <w:rPr>
          <w:rFonts w:ascii="Arial" w:hAnsi="Arial" w:cs="Arial"/>
          <w:bCs/>
          <w:sz w:val="22"/>
          <w:szCs w:val="22"/>
          <w:lang w:val="el-GR"/>
        </w:rPr>
        <w:t>ευρυζωνικών</w:t>
      </w:r>
      <w:proofErr w:type="spellEnd"/>
      <w:r w:rsidR="00311CC4">
        <w:rPr>
          <w:rFonts w:ascii="Arial" w:hAnsi="Arial" w:cs="Arial"/>
          <w:bCs/>
          <w:sz w:val="22"/>
          <w:szCs w:val="22"/>
          <w:lang w:val="el-GR"/>
        </w:rPr>
        <w:t xml:space="preserve"> συνδέσεων </w:t>
      </w:r>
    </w:p>
    <w:p w14:paraId="61412B85" w14:textId="2D940CC6" w:rsidR="008A2163" w:rsidRDefault="009C3BF9" w:rsidP="00F30069">
      <w:pPr>
        <w:pStyle w:val="ListParagraph"/>
        <w:numPr>
          <w:ilvl w:val="0"/>
          <w:numId w:val="3"/>
        </w:numPr>
        <w:spacing w:after="180" w:line="276" w:lineRule="auto"/>
        <w:ind w:left="426"/>
        <w:jc w:val="both"/>
        <w:rPr>
          <w:rFonts w:ascii="Arial" w:hAnsi="Arial" w:cs="Arial"/>
          <w:bCs/>
          <w:sz w:val="22"/>
          <w:szCs w:val="22"/>
          <w:lang w:val="el-GR"/>
        </w:rPr>
      </w:pPr>
      <w:r>
        <w:rPr>
          <w:rFonts w:ascii="Arial" w:hAnsi="Arial" w:cs="Arial"/>
          <w:bCs/>
          <w:sz w:val="22"/>
          <w:szCs w:val="22"/>
          <w:lang w:val="el-GR"/>
        </w:rPr>
        <w:t>Δ</w:t>
      </w:r>
      <w:r w:rsidR="008A2163" w:rsidRPr="00852D23">
        <w:rPr>
          <w:rFonts w:ascii="Arial" w:hAnsi="Arial" w:cs="Arial"/>
          <w:bCs/>
          <w:sz w:val="22"/>
          <w:szCs w:val="22"/>
          <w:lang w:val="el-GR"/>
        </w:rPr>
        <w:t xml:space="preserve">ιαθεσιμότητα </w:t>
      </w:r>
      <w:r w:rsidR="008A2163" w:rsidRPr="008A2163">
        <w:rPr>
          <w:rFonts w:ascii="Arial" w:hAnsi="Arial" w:cs="Arial"/>
          <w:bCs/>
          <w:sz w:val="22"/>
          <w:szCs w:val="22"/>
        </w:rPr>
        <w:t>FTTH</w:t>
      </w:r>
      <w:r w:rsidR="008A2163" w:rsidRPr="00852D23">
        <w:rPr>
          <w:rFonts w:ascii="Arial" w:hAnsi="Arial" w:cs="Arial"/>
          <w:bCs/>
          <w:sz w:val="22"/>
          <w:szCs w:val="22"/>
          <w:lang w:val="el-GR"/>
        </w:rPr>
        <w:t xml:space="preserve"> σε περίπου </w:t>
      </w:r>
      <w:r w:rsidR="003E7459">
        <w:rPr>
          <w:rFonts w:ascii="Arial" w:hAnsi="Arial" w:cs="Arial"/>
          <w:bCs/>
          <w:sz w:val="22"/>
          <w:szCs w:val="22"/>
          <w:lang w:val="el-GR"/>
        </w:rPr>
        <w:t>2</w:t>
      </w:r>
      <w:r w:rsidR="008A2163" w:rsidRPr="00852D23">
        <w:rPr>
          <w:rFonts w:ascii="Arial" w:hAnsi="Arial" w:cs="Arial"/>
          <w:bCs/>
          <w:sz w:val="22"/>
          <w:szCs w:val="22"/>
          <w:lang w:val="el-GR"/>
        </w:rPr>
        <w:t xml:space="preserve"> εκατ. νοικοκυριά κι επιχειρήσεις, με το ποσοστό διείσδυσης να αυξάνεται σε 3</w:t>
      </w:r>
      <w:r w:rsidR="003E7459">
        <w:rPr>
          <w:rFonts w:ascii="Arial" w:hAnsi="Arial" w:cs="Arial"/>
          <w:bCs/>
          <w:sz w:val="22"/>
          <w:szCs w:val="22"/>
          <w:lang w:val="el-GR"/>
        </w:rPr>
        <w:t>3</w:t>
      </w:r>
      <w:r w:rsidR="008A2163" w:rsidRPr="00852D23">
        <w:rPr>
          <w:rFonts w:ascii="Arial" w:hAnsi="Arial" w:cs="Arial"/>
          <w:bCs/>
          <w:sz w:val="22"/>
          <w:szCs w:val="22"/>
          <w:lang w:val="el-GR"/>
        </w:rPr>
        <w:t>%</w:t>
      </w:r>
      <w:r w:rsidR="00BB3B48" w:rsidRPr="00BB3B48">
        <w:rPr>
          <w:rFonts w:ascii="Arial" w:hAnsi="Arial" w:cs="Arial"/>
          <w:bCs/>
          <w:sz w:val="22"/>
          <w:szCs w:val="22"/>
          <w:lang w:val="el-GR"/>
        </w:rPr>
        <w:t xml:space="preserve"> - </w:t>
      </w:r>
      <w:r w:rsidR="00BB3B48">
        <w:rPr>
          <w:rFonts w:ascii="Arial" w:hAnsi="Arial" w:cs="Arial"/>
          <w:bCs/>
          <w:sz w:val="22"/>
          <w:szCs w:val="22"/>
          <w:lang w:val="el-GR"/>
        </w:rPr>
        <w:t>στόχος τα 3,5 εκατ. μέχρι το 2030</w:t>
      </w:r>
    </w:p>
    <w:p w14:paraId="69B8EBDA" w14:textId="61712CC4" w:rsidR="00972526" w:rsidRPr="00F30069" w:rsidRDefault="00972526" w:rsidP="00F30069">
      <w:pPr>
        <w:pStyle w:val="ListParagraph"/>
        <w:numPr>
          <w:ilvl w:val="0"/>
          <w:numId w:val="3"/>
        </w:numPr>
        <w:spacing w:after="180" w:line="276" w:lineRule="auto"/>
        <w:ind w:left="426"/>
        <w:jc w:val="both"/>
        <w:rPr>
          <w:rFonts w:ascii="Arial" w:hAnsi="Arial" w:cs="Arial"/>
          <w:bCs/>
          <w:sz w:val="22"/>
          <w:szCs w:val="22"/>
          <w:lang w:val="el-GR"/>
        </w:rPr>
      </w:pPr>
      <w:r w:rsidRPr="00F30069">
        <w:rPr>
          <w:rFonts w:ascii="Arial" w:hAnsi="Arial" w:cs="Arial"/>
          <w:bCs/>
          <w:sz w:val="22"/>
          <w:szCs w:val="22"/>
          <w:lang w:val="el-GR"/>
        </w:rPr>
        <w:t xml:space="preserve">Συμφωνία για </w:t>
      </w:r>
      <w:r w:rsidR="000773CB">
        <w:rPr>
          <w:rFonts w:ascii="Arial" w:hAnsi="Arial" w:cs="Arial"/>
          <w:bCs/>
          <w:sz w:val="22"/>
          <w:szCs w:val="22"/>
          <w:lang w:val="el-GR"/>
        </w:rPr>
        <w:t xml:space="preserve">ανάληψη του συνόλου του έργου </w:t>
      </w:r>
      <w:proofErr w:type="spellStart"/>
      <w:r w:rsidRPr="00F30069">
        <w:rPr>
          <w:rFonts w:ascii="Arial" w:hAnsi="Arial" w:cs="Arial"/>
          <w:bCs/>
          <w:sz w:val="22"/>
          <w:szCs w:val="22"/>
          <w:lang w:val="el-GR"/>
        </w:rPr>
        <w:t>Ultra-Fast</w:t>
      </w:r>
      <w:proofErr w:type="spellEnd"/>
      <w:r w:rsidRPr="00F30069">
        <w:rPr>
          <w:rFonts w:ascii="Arial" w:hAnsi="Arial" w:cs="Arial"/>
          <w:bCs/>
          <w:sz w:val="22"/>
          <w:szCs w:val="22"/>
          <w:lang w:val="el-GR"/>
        </w:rPr>
        <w:t xml:space="preserve"> </w:t>
      </w:r>
      <w:proofErr w:type="spellStart"/>
      <w:r w:rsidRPr="00F30069">
        <w:rPr>
          <w:rFonts w:ascii="Arial" w:hAnsi="Arial" w:cs="Arial"/>
          <w:bCs/>
          <w:sz w:val="22"/>
          <w:szCs w:val="22"/>
          <w:lang w:val="el-GR"/>
        </w:rPr>
        <w:t>Broadband</w:t>
      </w:r>
      <w:proofErr w:type="spellEnd"/>
      <w:r w:rsidRPr="00F30069">
        <w:rPr>
          <w:rFonts w:ascii="Arial" w:hAnsi="Arial" w:cs="Arial"/>
          <w:bCs/>
          <w:sz w:val="22"/>
          <w:szCs w:val="22"/>
          <w:lang w:val="el-GR"/>
        </w:rPr>
        <w:t xml:space="preserve"> </w:t>
      </w:r>
      <w:r w:rsidR="00964A4C">
        <w:rPr>
          <w:rFonts w:ascii="Arial" w:hAnsi="Arial" w:cs="Arial"/>
          <w:bCs/>
          <w:sz w:val="22"/>
          <w:szCs w:val="22"/>
          <w:lang w:val="el-GR"/>
        </w:rPr>
        <w:t>(</w:t>
      </w:r>
      <w:r w:rsidRPr="00F30069">
        <w:rPr>
          <w:rFonts w:ascii="Arial" w:hAnsi="Arial" w:cs="Arial"/>
          <w:bCs/>
          <w:sz w:val="22"/>
          <w:szCs w:val="22"/>
          <w:lang w:val="el-GR"/>
        </w:rPr>
        <w:t>UFBB)</w:t>
      </w:r>
      <w:r w:rsidR="004B1890">
        <w:rPr>
          <w:rFonts w:ascii="Arial" w:hAnsi="Arial" w:cs="Arial"/>
          <w:bCs/>
          <w:sz w:val="22"/>
          <w:szCs w:val="22"/>
          <w:lang w:val="el-GR"/>
        </w:rPr>
        <w:t xml:space="preserve">, για παροχή γρήγορου </w:t>
      </w:r>
      <w:r w:rsidR="004B1890">
        <w:rPr>
          <w:rFonts w:ascii="Arial" w:hAnsi="Arial" w:cs="Arial"/>
          <w:bCs/>
          <w:sz w:val="22"/>
          <w:szCs w:val="22"/>
        </w:rPr>
        <w:t>internet</w:t>
      </w:r>
      <w:r w:rsidRPr="00F30069">
        <w:rPr>
          <w:rFonts w:ascii="Arial" w:hAnsi="Arial" w:cs="Arial"/>
          <w:bCs/>
          <w:sz w:val="22"/>
          <w:szCs w:val="22"/>
          <w:lang w:val="el-GR"/>
        </w:rPr>
        <w:t xml:space="preserve"> σε ημιαστικές και αγροτικές περιοχές</w:t>
      </w:r>
    </w:p>
    <w:p w14:paraId="65AB0017" w14:textId="37A4167D" w:rsidR="00DB61A4" w:rsidRPr="00851D9E" w:rsidRDefault="00DB61A4" w:rsidP="00DB61A4">
      <w:pPr>
        <w:pStyle w:val="ColorfulList-Accent11"/>
        <w:tabs>
          <w:tab w:val="left" w:pos="8595"/>
        </w:tabs>
        <w:ind w:left="0" w:right="414"/>
        <w:jc w:val="both"/>
        <w:rPr>
          <w:rFonts w:ascii="Arial" w:hAnsi="Arial" w:cs="Arial"/>
          <w:i/>
          <w:sz w:val="14"/>
          <w:szCs w:val="14"/>
          <w:lang w:val="el-GR"/>
        </w:rPr>
      </w:pPr>
    </w:p>
    <w:p w14:paraId="62E3AE99" w14:textId="12F4C4DF" w:rsidR="00475EE9" w:rsidRPr="00FB20CB" w:rsidRDefault="00475EE9" w:rsidP="00475EE9">
      <w:pPr>
        <w:pStyle w:val="Caption"/>
        <w:keepNext/>
        <w:rPr>
          <w:rFonts w:cs="Arial"/>
          <w:lang w:val="el-GR"/>
        </w:rPr>
      </w:pPr>
      <w:r w:rsidRPr="00FB20CB">
        <w:rPr>
          <w:rFonts w:cs="Arial"/>
          <w:lang w:val="el-GR"/>
        </w:rPr>
        <w:t xml:space="preserve">Βασικά Οικονομικά Στοιχεία  </w:t>
      </w:r>
    </w:p>
    <w:tbl>
      <w:tblPr>
        <w:tblStyle w:val="TableGrid"/>
        <w:tblW w:w="10488" w:type="dxa"/>
        <w:tblBorders>
          <w:top w:val="single" w:sz="2" w:space="0" w:color="A6A6A6" w:themeColor="background1" w:themeShade="A6"/>
          <w:left w:val="none" w:sz="0" w:space="0" w:color="auto"/>
          <w:bottom w:val="single" w:sz="2" w:space="0" w:color="A6A6A6" w:themeColor="background1" w:themeShade="A6"/>
          <w:right w:val="none" w:sz="0" w:space="0" w:color="auto"/>
          <w:insideH w:val="single" w:sz="2" w:space="0" w:color="A6A6A6" w:themeColor="background1" w:themeShade="A6"/>
          <w:insideV w:val="single" w:sz="2" w:space="0" w:color="A6A6A6" w:themeColor="background1" w:themeShade="A6"/>
        </w:tblBorders>
        <w:tblLook w:val="04A0" w:firstRow="1" w:lastRow="0" w:firstColumn="1" w:lastColumn="0" w:noHBand="0" w:noVBand="1"/>
      </w:tblPr>
      <w:tblGrid>
        <w:gridCol w:w="3657"/>
        <w:gridCol w:w="1527"/>
        <w:gridCol w:w="1481"/>
        <w:gridCol w:w="1151"/>
        <w:gridCol w:w="886"/>
        <w:gridCol w:w="886"/>
        <w:gridCol w:w="900"/>
      </w:tblGrid>
      <w:tr w:rsidR="00DB61A4" w:rsidRPr="002571F1" w14:paraId="5B24BB1A" w14:textId="77777777" w:rsidTr="009E18A7">
        <w:trPr>
          <w:trHeight w:val="455"/>
        </w:trPr>
        <w:tc>
          <w:tcPr>
            <w:tcW w:w="3657" w:type="dxa"/>
            <w:tcBorders>
              <w:top w:val="single" w:sz="2" w:space="0" w:color="BFBFBF" w:themeColor="background1" w:themeShade="BF"/>
              <w:bottom w:val="single" w:sz="2" w:space="0" w:color="BFBFBF" w:themeColor="background1" w:themeShade="BF"/>
              <w:right w:val="single" w:sz="2" w:space="0" w:color="808080" w:themeColor="background1" w:themeShade="80"/>
            </w:tcBorders>
            <w:shd w:val="clear" w:color="auto" w:fill="F2F2F2" w:themeFill="background1" w:themeFillShade="F2"/>
            <w:vAlign w:val="center"/>
          </w:tcPr>
          <w:p w14:paraId="422D43BF" w14:textId="646E34A8" w:rsidR="00DB61A4" w:rsidRPr="00CC5811" w:rsidRDefault="00DB61A4" w:rsidP="009D729A">
            <w:pPr>
              <w:pStyle w:val="ColorfulList-Accent11"/>
              <w:tabs>
                <w:tab w:val="left" w:pos="0"/>
                <w:tab w:val="left" w:pos="284"/>
              </w:tabs>
              <w:ind w:left="0" w:right="-90"/>
              <w:rPr>
                <w:rFonts w:ascii="Arial" w:hAnsi="Arial" w:cs="Arial"/>
                <w:i/>
                <w:color w:val="000000" w:themeColor="text1"/>
              </w:rPr>
            </w:pPr>
            <w:r w:rsidRPr="007763C7">
              <w:rPr>
                <w:rFonts w:ascii="Arial" w:hAnsi="Arial" w:cs="Arial"/>
                <w:b/>
                <w:sz w:val="18"/>
                <w:szCs w:val="18"/>
              </w:rPr>
              <w:t>(</w:t>
            </w:r>
            <w:r w:rsidRPr="007763C7">
              <w:rPr>
                <w:rFonts w:ascii="Arial" w:hAnsi="Arial" w:cs="Arial"/>
                <w:b/>
                <w:sz w:val="18"/>
                <w:szCs w:val="18"/>
                <w:lang w:val="el-GR"/>
              </w:rPr>
              <w:t>Εκατ.€</w:t>
            </w:r>
            <w:r w:rsidRPr="007763C7">
              <w:rPr>
                <w:rFonts w:ascii="Arial" w:hAnsi="Arial" w:cs="Arial"/>
                <w:b/>
                <w:sz w:val="18"/>
                <w:szCs w:val="18"/>
              </w:rPr>
              <w:t>)</w:t>
            </w:r>
          </w:p>
        </w:tc>
        <w:tc>
          <w:tcPr>
            <w:tcW w:w="1527" w:type="dxa"/>
            <w:tcBorders>
              <w:top w:val="single" w:sz="2" w:space="0" w:color="BFBFBF" w:themeColor="background1" w:themeShade="BF"/>
              <w:left w:val="single" w:sz="2" w:space="0" w:color="808080" w:themeColor="background1" w:themeShade="80"/>
              <w:bottom w:val="single" w:sz="2" w:space="0" w:color="BFBFBF" w:themeColor="background1" w:themeShade="BF"/>
              <w:right w:val="nil"/>
            </w:tcBorders>
            <w:shd w:val="clear" w:color="auto" w:fill="F2F2F2" w:themeFill="background1" w:themeFillShade="F2"/>
            <w:vAlign w:val="center"/>
          </w:tcPr>
          <w:p w14:paraId="5D8CBBD8" w14:textId="7202FC30" w:rsidR="00DB61A4" w:rsidRPr="00CC5811" w:rsidRDefault="00DB61A4" w:rsidP="009D729A">
            <w:pPr>
              <w:pStyle w:val="ColorfulList-Accent11"/>
              <w:tabs>
                <w:tab w:val="left" w:pos="0"/>
                <w:tab w:val="left" w:pos="284"/>
              </w:tabs>
              <w:ind w:left="0" w:right="-90"/>
              <w:jc w:val="center"/>
              <w:rPr>
                <w:rFonts w:ascii="Arial" w:hAnsi="Arial" w:cs="Arial"/>
                <w:i/>
                <w:color w:val="000000" w:themeColor="text1"/>
              </w:rPr>
            </w:pPr>
            <w:r w:rsidRPr="00CC5811">
              <w:rPr>
                <w:rFonts w:ascii="Arial" w:hAnsi="Arial" w:cs="Arial"/>
                <w:b/>
                <w:color w:val="000000" w:themeColor="text1"/>
              </w:rPr>
              <w:t>Q</w:t>
            </w:r>
            <w:r w:rsidR="0016208B">
              <w:rPr>
                <w:rFonts w:ascii="Arial" w:hAnsi="Arial" w:cs="Arial"/>
                <w:b/>
                <w:color w:val="000000" w:themeColor="text1"/>
                <w:lang w:val="el-GR"/>
              </w:rPr>
              <w:t>3</w:t>
            </w:r>
            <w:r w:rsidRPr="00CC5811">
              <w:rPr>
                <w:rFonts w:ascii="Arial" w:hAnsi="Arial" w:cs="Arial"/>
                <w:b/>
                <w:color w:val="000000" w:themeColor="text1"/>
              </w:rPr>
              <w:t>'25</w:t>
            </w:r>
          </w:p>
        </w:tc>
        <w:tc>
          <w:tcPr>
            <w:tcW w:w="1481" w:type="dxa"/>
            <w:tcBorders>
              <w:top w:val="single" w:sz="2" w:space="0" w:color="BFBFBF" w:themeColor="background1" w:themeShade="BF"/>
              <w:left w:val="nil"/>
              <w:bottom w:val="single" w:sz="2" w:space="0" w:color="BFBFBF" w:themeColor="background1" w:themeShade="BF"/>
              <w:right w:val="nil"/>
            </w:tcBorders>
            <w:shd w:val="clear" w:color="auto" w:fill="F2F2F2" w:themeFill="background1" w:themeFillShade="F2"/>
            <w:vAlign w:val="center"/>
          </w:tcPr>
          <w:p w14:paraId="7B0F35EA" w14:textId="2CE5D12C" w:rsidR="00DB61A4" w:rsidRPr="00CC5811" w:rsidRDefault="00DB61A4" w:rsidP="009D729A">
            <w:pPr>
              <w:pStyle w:val="ColorfulList-Accent11"/>
              <w:tabs>
                <w:tab w:val="left" w:pos="0"/>
                <w:tab w:val="left" w:pos="284"/>
              </w:tabs>
              <w:ind w:left="0" w:right="-90"/>
              <w:jc w:val="center"/>
              <w:rPr>
                <w:rFonts w:ascii="Arial" w:hAnsi="Arial" w:cs="Arial"/>
                <w:i/>
                <w:color w:val="000000" w:themeColor="text1"/>
              </w:rPr>
            </w:pPr>
            <w:r w:rsidRPr="00CC5811">
              <w:rPr>
                <w:rFonts w:ascii="Arial" w:hAnsi="Arial" w:cs="Arial"/>
                <w:b/>
                <w:color w:val="000000" w:themeColor="text1"/>
              </w:rPr>
              <w:t>Q</w:t>
            </w:r>
            <w:r w:rsidR="0016208B">
              <w:rPr>
                <w:rFonts w:ascii="Arial" w:hAnsi="Arial" w:cs="Arial"/>
                <w:b/>
                <w:color w:val="000000" w:themeColor="text1"/>
                <w:lang w:val="el-GR"/>
              </w:rPr>
              <w:t>3</w:t>
            </w:r>
            <w:r w:rsidRPr="00CC5811">
              <w:rPr>
                <w:rFonts w:ascii="Arial" w:hAnsi="Arial" w:cs="Arial"/>
                <w:b/>
                <w:color w:val="000000" w:themeColor="text1"/>
              </w:rPr>
              <w:t>'24</w:t>
            </w:r>
          </w:p>
        </w:tc>
        <w:tc>
          <w:tcPr>
            <w:tcW w:w="1151" w:type="dxa"/>
            <w:tcBorders>
              <w:top w:val="single" w:sz="2" w:space="0" w:color="BFBFBF" w:themeColor="background1" w:themeShade="BF"/>
              <w:left w:val="nil"/>
              <w:bottom w:val="single" w:sz="2" w:space="0" w:color="BFBFBF" w:themeColor="background1" w:themeShade="BF"/>
              <w:right w:val="single" w:sz="2" w:space="0" w:color="808080" w:themeColor="background1" w:themeShade="80"/>
            </w:tcBorders>
            <w:shd w:val="clear" w:color="auto" w:fill="F2F2F2" w:themeFill="background1" w:themeFillShade="F2"/>
            <w:vAlign w:val="center"/>
          </w:tcPr>
          <w:p w14:paraId="11945A28" w14:textId="77777777" w:rsidR="00DB61A4" w:rsidRPr="00CC5811" w:rsidRDefault="00DB61A4" w:rsidP="009D729A">
            <w:pPr>
              <w:pStyle w:val="ColorfulList-Accent11"/>
              <w:tabs>
                <w:tab w:val="left" w:pos="0"/>
                <w:tab w:val="left" w:pos="284"/>
              </w:tabs>
              <w:ind w:left="0" w:right="-90"/>
              <w:jc w:val="center"/>
              <w:rPr>
                <w:rFonts w:ascii="Arial" w:hAnsi="Arial" w:cs="Arial"/>
                <w:i/>
                <w:color w:val="000000" w:themeColor="text1"/>
              </w:rPr>
            </w:pPr>
            <w:r w:rsidRPr="00CC5811">
              <w:rPr>
                <w:rFonts w:ascii="Arial" w:hAnsi="Arial" w:cs="Arial"/>
                <w:b/>
                <w:color w:val="000000" w:themeColor="text1"/>
              </w:rPr>
              <w:t>y-o-y</w:t>
            </w:r>
          </w:p>
        </w:tc>
        <w:tc>
          <w:tcPr>
            <w:tcW w:w="886" w:type="dxa"/>
            <w:tcBorders>
              <w:top w:val="single" w:sz="2" w:space="0" w:color="BFBFBF" w:themeColor="background1" w:themeShade="BF"/>
              <w:left w:val="single" w:sz="2" w:space="0" w:color="808080" w:themeColor="background1" w:themeShade="80"/>
              <w:bottom w:val="single" w:sz="2" w:space="0" w:color="BFBFBF" w:themeColor="background1" w:themeShade="BF"/>
              <w:right w:val="single" w:sz="4" w:space="0" w:color="auto"/>
            </w:tcBorders>
            <w:shd w:val="clear" w:color="auto" w:fill="F2F2F2" w:themeFill="background1" w:themeFillShade="F2"/>
            <w:vAlign w:val="center"/>
          </w:tcPr>
          <w:p w14:paraId="035365A9" w14:textId="2C14751B" w:rsidR="00DB61A4" w:rsidRPr="00CC5811" w:rsidRDefault="0016208B" w:rsidP="005E04A6">
            <w:pPr>
              <w:pStyle w:val="ColorfulList-Accent11"/>
              <w:tabs>
                <w:tab w:val="left" w:pos="0"/>
                <w:tab w:val="left" w:pos="284"/>
              </w:tabs>
              <w:ind w:left="0" w:right="-90"/>
              <w:jc w:val="center"/>
              <w:rPr>
                <w:rFonts w:ascii="Arial" w:hAnsi="Arial" w:cs="Arial"/>
                <w:b/>
                <w:color w:val="000000" w:themeColor="text1"/>
              </w:rPr>
            </w:pPr>
            <w:r>
              <w:rPr>
                <w:rFonts w:ascii="Arial" w:hAnsi="Arial" w:cs="Arial"/>
                <w:b/>
                <w:color w:val="000000" w:themeColor="text1"/>
                <w:lang w:val="el-GR"/>
              </w:rPr>
              <w:t>9</w:t>
            </w:r>
            <w:r w:rsidR="00DB61A4" w:rsidRPr="00CC5811">
              <w:rPr>
                <w:rFonts w:ascii="Arial" w:hAnsi="Arial" w:cs="Arial"/>
                <w:b/>
                <w:color w:val="000000" w:themeColor="text1"/>
              </w:rPr>
              <w:t>M'25</w:t>
            </w:r>
          </w:p>
        </w:tc>
        <w:tc>
          <w:tcPr>
            <w:tcW w:w="886" w:type="dxa"/>
            <w:tcBorders>
              <w:top w:val="single" w:sz="2" w:space="0" w:color="BFBFBF" w:themeColor="background1" w:themeShade="BF"/>
              <w:left w:val="single" w:sz="4" w:space="0" w:color="auto"/>
              <w:bottom w:val="single" w:sz="2" w:space="0" w:color="BFBFBF" w:themeColor="background1" w:themeShade="BF"/>
              <w:right w:val="nil"/>
            </w:tcBorders>
            <w:shd w:val="clear" w:color="auto" w:fill="F2F2F2" w:themeFill="background1" w:themeFillShade="F2"/>
            <w:vAlign w:val="center"/>
          </w:tcPr>
          <w:p w14:paraId="316FAF8E" w14:textId="71285D76" w:rsidR="00DB61A4" w:rsidRPr="00CC5811" w:rsidRDefault="0016208B" w:rsidP="009D729A">
            <w:pPr>
              <w:pStyle w:val="ColorfulList-Accent11"/>
              <w:tabs>
                <w:tab w:val="left" w:pos="0"/>
                <w:tab w:val="left" w:pos="284"/>
              </w:tabs>
              <w:ind w:left="0" w:right="-90"/>
              <w:jc w:val="center"/>
              <w:rPr>
                <w:rFonts w:ascii="Arial" w:hAnsi="Arial" w:cs="Arial"/>
                <w:b/>
                <w:color w:val="000000" w:themeColor="text1"/>
              </w:rPr>
            </w:pPr>
            <w:r>
              <w:rPr>
                <w:rFonts w:ascii="Arial" w:hAnsi="Arial" w:cs="Arial"/>
                <w:b/>
                <w:color w:val="000000" w:themeColor="text1"/>
                <w:lang w:val="el-GR"/>
              </w:rPr>
              <w:t>9</w:t>
            </w:r>
            <w:r w:rsidR="00DB61A4" w:rsidRPr="00CC5811">
              <w:rPr>
                <w:rFonts w:ascii="Arial" w:hAnsi="Arial" w:cs="Arial"/>
                <w:b/>
                <w:color w:val="000000" w:themeColor="text1"/>
              </w:rPr>
              <w:t>M'24</w:t>
            </w:r>
          </w:p>
        </w:tc>
        <w:tc>
          <w:tcPr>
            <w:tcW w:w="900" w:type="dxa"/>
            <w:tcBorders>
              <w:top w:val="single" w:sz="2" w:space="0" w:color="BFBFBF" w:themeColor="background1" w:themeShade="BF"/>
              <w:left w:val="nil"/>
              <w:bottom w:val="single" w:sz="2" w:space="0" w:color="BFBFBF" w:themeColor="background1" w:themeShade="BF"/>
              <w:right w:val="nil"/>
            </w:tcBorders>
            <w:shd w:val="clear" w:color="auto" w:fill="F2F2F2" w:themeFill="background1" w:themeFillShade="F2"/>
            <w:vAlign w:val="center"/>
          </w:tcPr>
          <w:p w14:paraId="24AEA60B" w14:textId="77777777" w:rsidR="00DB61A4" w:rsidRPr="00CC5811" w:rsidRDefault="00DB61A4" w:rsidP="009D729A">
            <w:pPr>
              <w:pStyle w:val="ColorfulList-Accent11"/>
              <w:tabs>
                <w:tab w:val="left" w:pos="0"/>
                <w:tab w:val="left" w:pos="284"/>
              </w:tabs>
              <w:ind w:left="0" w:right="-90"/>
              <w:jc w:val="center"/>
              <w:rPr>
                <w:rFonts w:ascii="Arial" w:hAnsi="Arial" w:cs="Arial"/>
                <w:b/>
                <w:color w:val="000000" w:themeColor="text1"/>
              </w:rPr>
            </w:pPr>
            <w:r w:rsidRPr="00CC5811">
              <w:rPr>
                <w:rFonts w:ascii="Arial" w:hAnsi="Arial" w:cs="Arial"/>
                <w:b/>
                <w:color w:val="000000" w:themeColor="text1"/>
              </w:rPr>
              <w:t>y-o-y</w:t>
            </w:r>
          </w:p>
        </w:tc>
      </w:tr>
      <w:tr w:rsidR="002A7101" w:rsidRPr="002571F1" w14:paraId="7C8A5E8D" w14:textId="77777777" w:rsidTr="009E18A7">
        <w:trPr>
          <w:trHeight w:val="286"/>
        </w:trPr>
        <w:tc>
          <w:tcPr>
            <w:tcW w:w="3657" w:type="dxa"/>
            <w:tcBorders>
              <w:top w:val="single" w:sz="2" w:space="0" w:color="BFBFBF" w:themeColor="background1" w:themeShade="BF"/>
              <w:bottom w:val="nil"/>
              <w:right w:val="single" w:sz="2" w:space="0" w:color="808080" w:themeColor="background1" w:themeShade="80"/>
            </w:tcBorders>
            <w:shd w:val="clear" w:color="auto" w:fill="FFFFFF" w:themeFill="background1"/>
            <w:vAlign w:val="center"/>
          </w:tcPr>
          <w:p w14:paraId="2B2ABCBF" w14:textId="74EFD8BA" w:rsidR="002A7101" w:rsidRPr="00CC5811" w:rsidRDefault="002A7101" w:rsidP="002A7101">
            <w:pPr>
              <w:pStyle w:val="ColorfulList-Accent11"/>
              <w:tabs>
                <w:tab w:val="left" w:pos="0"/>
                <w:tab w:val="left" w:pos="284"/>
              </w:tabs>
              <w:ind w:left="0" w:right="-90"/>
              <w:rPr>
                <w:rFonts w:ascii="Arial" w:hAnsi="Arial" w:cs="Arial"/>
                <w:i/>
                <w:color w:val="000000" w:themeColor="text1"/>
              </w:rPr>
            </w:pPr>
            <w:proofErr w:type="spellStart"/>
            <w:r w:rsidRPr="003629D3">
              <w:rPr>
                <w:rFonts w:ascii="Arial" w:hAnsi="Arial" w:cs="Arial"/>
              </w:rPr>
              <w:t>Κύκλος</w:t>
            </w:r>
            <w:proofErr w:type="spellEnd"/>
            <w:r w:rsidRPr="003629D3">
              <w:rPr>
                <w:rFonts w:ascii="Arial" w:hAnsi="Arial" w:cs="Arial"/>
              </w:rPr>
              <w:t xml:space="preserve"> </w:t>
            </w:r>
            <w:proofErr w:type="spellStart"/>
            <w:r w:rsidRPr="003629D3">
              <w:rPr>
                <w:rFonts w:ascii="Arial" w:hAnsi="Arial" w:cs="Arial"/>
              </w:rPr>
              <w:t>Εργ</w:t>
            </w:r>
            <w:proofErr w:type="spellEnd"/>
            <w:r w:rsidRPr="003629D3">
              <w:rPr>
                <w:rFonts w:ascii="Arial" w:hAnsi="Arial" w:cs="Arial"/>
              </w:rPr>
              <w:t>ασιών</w:t>
            </w:r>
          </w:p>
        </w:tc>
        <w:tc>
          <w:tcPr>
            <w:tcW w:w="1527" w:type="dxa"/>
            <w:tcBorders>
              <w:top w:val="single" w:sz="2" w:space="0" w:color="BFBFBF" w:themeColor="background1" w:themeShade="BF"/>
              <w:left w:val="single" w:sz="2" w:space="0" w:color="808080" w:themeColor="background1" w:themeShade="80"/>
              <w:bottom w:val="nil"/>
              <w:right w:val="nil"/>
            </w:tcBorders>
            <w:shd w:val="clear" w:color="auto" w:fill="FFFFFF" w:themeFill="background1"/>
            <w:vAlign w:val="center"/>
          </w:tcPr>
          <w:p w14:paraId="2197BF3C" w14:textId="51CD46F1" w:rsidR="002A7101" w:rsidRPr="002571F1" w:rsidRDefault="002A7101" w:rsidP="002A7101">
            <w:pPr>
              <w:pStyle w:val="ColorfulList-Accent11"/>
              <w:tabs>
                <w:tab w:val="left" w:pos="0"/>
                <w:tab w:val="left" w:pos="284"/>
              </w:tabs>
              <w:ind w:left="0" w:right="-90"/>
              <w:jc w:val="center"/>
              <w:rPr>
                <w:rFonts w:ascii="Arial" w:hAnsi="Arial" w:cs="Arial"/>
                <w:i/>
                <w:color w:val="FF0000"/>
              </w:rPr>
            </w:pPr>
            <w:r>
              <w:rPr>
                <w:rFonts w:ascii="Arial" w:hAnsi="Arial" w:cs="Arial"/>
                <w:color w:val="000000"/>
              </w:rPr>
              <w:t>874</w:t>
            </w:r>
            <w:r w:rsidR="00D91A31">
              <w:rPr>
                <w:rFonts w:ascii="Arial" w:hAnsi="Arial" w:cs="Arial"/>
                <w:color w:val="000000"/>
              </w:rPr>
              <w:t>,</w:t>
            </w:r>
            <w:r>
              <w:rPr>
                <w:rFonts w:ascii="Arial" w:hAnsi="Arial" w:cs="Arial"/>
                <w:color w:val="000000"/>
              </w:rPr>
              <w:t>0</w:t>
            </w:r>
          </w:p>
        </w:tc>
        <w:tc>
          <w:tcPr>
            <w:tcW w:w="1481" w:type="dxa"/>
            <w:tcBorders>
              <w:top w:val="single" w:sz="2" w:space="0" w:color="BFBFBF" w:themeColor="background1" w:themeShade="BF"/>
              <w:left w:val="nil"/>
              <w:bottom w:val="nil"/>
              <w:right w:val="nil"/>
            </w:tcBorders>
            <w:shd w:val="clear" w:color="auto" w:fill="FFFFFF" w:themeFill="background1"/>
            <w:vAlign w:val="center"/>
          </w:tcPr>
          <w:p w14:paraId="55901E16" w14:textId="4B277340" w:rsidR="002A7101" w:rsidRPr="002571F1" w:rsidRDefault="002A7101" w:rsidP="002A7101">
            <w:pPr>
              <w:pStyle w:val="ColorfulList-Accent11"/>
              <w:tabs>
                <w:tab w:val="left" w:pos="0"/>
                <w:tab w:val="left" w:pos="284"/>
              </w:tabs>
              <w:ind w:left="0" w:right="-90"/>
              <w:jc w:val="center"/>
              <w:rPr>
                <w:rFonts w:ascii="Arial" w:hAnsi="Arial" w:cs="Arial"/>
                <w:i/>
                <w:color w:val="FF0000"/>
              </w:rPr>
            </w:pPr>
            <w:r>
              <w:rPr>
                <w:rFonts w:ascii="Arial" w:hAnsi="Arial" w:cs="Arial"/>
                <w:color w:val="000000"/>
              </w:rPr>
              <w:t>832</w:t>
            </w:r>
            <w:r w:rsidR="00D91A31">
              <w:rPr>
                <w:rFonts w:ascii="Arial" w:hAnsi="Arial" w:cs="Arial"/>
                <w:color w:val="000000"/>
              </w:rPr>
              <w:t>,</w:t>
            </w:r>
            <w:r>
              <w:rPr>
                <w:rFonts w:ascii="Arial" w:hAnsi="Arial" w:cs="Arial"/>
                <w:color w:val="000000"/>
              </w:rPr>
              <w:t>5</w:t>
            </w:r>
          </w:p>
        </w:tc>
        <w:tc>
          <w:tcPr>
            <w:tcW w:w="1151" w:type="dxa"/>
            <w:tcBorders>
              <w:top w:val="single" w:sz="2" w:space="0" w:color="BFBFBF" w:themeColor="background1" w:themeShade="BF"/>
              <w:left w:val="nil"/>
              <w:bottom w:val="nil"/>
              <w:right w:val="single" w:sz="2" w:space="0" w:color="808080" w:themeColor="background1" w:themeShade="80"/>
            </w:tcBorders>
            <w:shd w:val="clear" w:color="auto" w:fill="FFFFFF" w:themeFill="background1"/>
            <w:vAlign w:val="center"/>
          </w:tcPr>
          <w:p w14:paraId="14DF222A" w14:textId="567759BD" w:rsidR="002A7101" w:rsidRPr="002571F1" w:rsidRDefault="002A7101" w:rsidP="002A7101">
            <w:pPr>
              <w:pStyle w:val="ColorfulList-Accent11"/>
              <w:tabs>
                <w:tab w:val="left" w:pos="0"/>
                <w:tab w:val="left" w:pos="284"/>
              </w:tabs>
              <w:ind w:left="0" w:right="-90"/>
              <w:jc w:val="center"/>
              <w:rPr>
                <w:rFonts w:ascii="Arial" w:hAnsi="Arial" w:cs="Arial"/>
                <w:i/>
                <w:color w:val="FF0000"/>
              </w:rPr>
            </w:pPr>
            <w:r>
              <w:rPr>
                <w:rFonts w:ascii="Arial" w:hAnsi="Arial" w:cs="Arial"/>
                <w:color w:val="000000"/>
              </w:rPr>
              <w:t>+5</w:t>
            </w:r>
            <w:r w:rsidR="00D91A31">
              <w:rPr>
                <w:rFonts w:ascii="Arial" w:hAnsi="Arial" w:cs="Arial"/>
                <w:color w:val="000000"/>
              </w:rPr>
              <w:t>,</w:t>
            </w:r>
            <w:r>
              <w:rPr>
                <w:rFonts w:ascii="Arial" w:hAnsi="Arial" w:cs="Arial"/>
                <w:color w:val="000000"/>
              </w:rPr>
              <w:t>0%</w:t>
            </w:r>
          </w:p>
        </w:tc>
        <w:tc>
          <w:tcPr>
            <w:tcW w:w="886" w:type="dxa"/>
            <w:tcBorders>
              <w:top w:val="single" w:sz="2" w:space="0" w:color="BFBFBF" w:themeColor="background1" w:themeShade="BF"/>
              <w:left w:val="single" w:sz="2" w:space="0" w:color="808080" w:themeColor="background1" w:themeShade="80"/>
              <w:bottom w:val="nil"/>
              <w:right w:val="nil"/>
            </w:tcBorders>
            <w:shd w:val="clear" w:color="auto" w:fill="FFFFFF" w:themeFill="background1"/>
            <w:vAlign w:val="center"/>
          </w:tcPr>
          <w:p w14:paraId="4F2E5583" w14:textId="437D4713" w:rsidR="002A7101" w:rsidRPr="002571F1" w:rsidRDefault="002A7101" w:rsidP="002A7101">
            <w:pPr>
              <w:pStyle w:val="ColorfulList-Accent11"/>
              <w:tabs>
                <w:tab w:val="left" w:pos="0"/>
                <w:tab w:val="left" w:pos="284"/>
              </w:tabs>
              <w:ind w:left="0" w:right="-90"/>
              <w:jc w:val="center"/>
              <w:rPr>
                <w:rFonts w:ascii="Arial" w:hAnsi="Arial" w:cs="Arial"/>
                <w:color w:val="FF0000"/>
              </w:rPr>
            </w:pPr>
            <w:r>
              <w:rPr>
                <w:rFonts w:ascii="Arial" w:hAnsi="Arial" w:cs="Arial"/>
                <w:color w:val="000000"/>
              </w:rPr>
              <w:t>2</w:t>
            </w:r>
            <w:r w:rsidR="00D91A31">
              <w:rPr>
                <w:rFonts w:ascii="Arial" w:hAnsi="Arial" w:cs="Arial"/>
                <w:color w:val="000000"/>
              </w:rPr>
              <w:t>.</w:t>
            </w:r>
            <w:r>
              <w:rPr>
                <w:rFonts w:ascii="Arial" w:hAnsi="Arial" w:cs="Arial"/>
                <w:color w:val="000000"/>
              </w:rPr>
              <w:t>548</w:t>
            </w:r>
            <w:r w:rsidR="00D91A31">
              <w:rPr>
                <w:rFonts w:ascii="Arial" w:hAnsi="Arial" w:cs="Arial"/>
                <w:color w:val="000000"/>
              </w:rPr>
              <w:t>,</w:t>
            </w:r>
            <w:r>
              <w:rPr>
                <w:rFonts w:ascii="Arial" w:hAnsi="Arial" w:cs="Arial"/>
                <w:color w:val="000000"/>
              </w:rPr>
              <w:t>0</w:t>
            </w:r>
          </w:p>
        </w:tc>
        <w:tc>
          <w:tcPr>
            <w:tcW w:w="886" w:type="dxa"/>
            <w:tcBorders>
              <w:top w:val="single" w:sz="2" w:space="0" w:color="BFBFBF" w:themeColor="background1" w:themeShade="BF"/>
              <w:left w:val="nil"/>
              <w:bottom w:val="nil"/>
              <w:right w:val="nil"/>
            </w:tcBorders>
            <w:shd w:val="clear" w:color="auto" w:fill="FFFFFF" w:themeFill="background1"/>
            <w:vAlign w:val="center"/>
          </w:tcPr>
          <w:p w14:paraId="3F935B88" w14:textId="381C822A" w:rsidR="002A7101" w:rsidRPr="002571F1" w:rsidRDefault="002A7101" w:rsidP="002A7101">
            <w:pPr>
              <w:pStyle w:val="ColorfulList-Accent11"/>
              <w:tabs>
                <w:tab w:val="left" w:pos="0"/>
                <w:tab w:val="left" w:pos="284"/>
              </w:tabs>
              <w:ind w:left="0" w:right="-90"/>
              <w:jc w:val="center"/>
              <w:rPr>
                <w:rFonts w:ascii="Arial" w:hAnsi="Arial" w:cs="Arial"/>
                <w:color w:val="FF0000"/>
              </w:rPr>
            </w:pPr>
            <w:r>
              <w:rPr>
                <w:rFonts w:ascii="Arial" w:hAnsi="Arial" w:cs="Arial"/>
                <w:color w:val="000000"/>
              </w:rPr>
              <w:t>2</w:t>
            </w:r>
            <w:r w:rsidR="00D91A31">
              <w:rPr>
                <w:rFonts w:ascii="Arial" w:hAnsi="Arial" w:cs="Arial"/>
                <w:color w:val="000000"/>
              </w:rPr>
              <w:t>.</w:t>
            </w:r>
            <w:r>
              <w:rPr>
                <w:rFonts w:ascii="Arial" w:hAnsi="Arial" w:cs="Arial"/>
                <w:color w:val="000000"/>
              </w:rPr>
              <w:t>490</w:t>
            </w:r>
            <w:r w:rsidR="00D91A31">
              <w:rPr>
                <w:rFonts w:ascii="Arial" w:hAnsi="Arial" w:cs="Arial"/>
                <w:color w:val="000000"/>
              </w:rPr>
              <w:t>,</w:t>
            </w:r>
            <w:r>
              <w:rPr>
                <w:rFonts w:ascii="Arial" w:hAnsi="Arial" w:cs="Arial"/>
                <w:color w:val="000000"/>
              </w:rPr>
              <w:t>9</w:t>
            </w:r>
          </w:p>
        </w:tc>
        <w:tc>
          <w:tcPr>
            <w:tcW w:w="900" w:type="dxa"/>
            <w:tcBorders>
              <w:top w:val="single" w:sz="2" w:space="0" w:color="BFBFBF" w:themeColor="background1" w:themeShade="BF"/>
              <w:left w:val="nil"/>
              <w:bottom w:val="nil"/>
              <w:right w:val="nil"/>
            </w:tcBorders>
            <w:shd w:val="clear" w:color="auto" w:fill="FFFFFF" w:themeFill="background1"/>
            <w:vAlign w:val="center"/>
          </w:tcPr>
          <w:p w14:paraId="132B3B30" w14:textId="3055D73E" w:rsidR="002A7101" w:rsidRPr="002571F1" w:rsidRDefault="002A7101" w:rsidP="002A7101">
            <w:pPr>
              <w:pStyle w:val="ColorfulList-Accent11"/>
              <w:tabs>
                <w:tab w:val="left" w:pos="0"/>
                <w:tab w:val="left" w:pos="284"/>
              </w:tabs>
              <w:ind w:left="0" w:right="-90"/>
              <w:jc w:val="center"/>
              <w:rPr>
                <w:rFonts w:ascii="Arial" w:hAnsi="Arial" w:cs="Arial"/>
                <w:color w:val="FF0000"/>
              </w:rPr>
            </w:pPr>
            <w:r>
              <w:rPr>
                <w:rFonts w:ascii="Arial" w:hAnsi="Arial" w:cs="Arial"/>
                <w:color w:val="000000"/>
              </w:rPr>
              <w:t>+2</w:t>
            </w:r>
            <w:r w:rsidR="00D91A31">
              <w:rPr>
                <w:rFonts w:ascii="Arial" w:hAnsi="Arial" w:cs="Arial"/>
                <w:color w:val="000000"/>
              </w:rPr>
              <w:t>,</w:t>
            </w:r>
            <w:r>
              <w:rPr>
                <w:rFonts w:ascii="Arial" w:hAnsi="Arial" w:cs="Arial"/>
                <w:color w:val="000000"/>
              </w:rPr>
              <w:t>3%</w:t>
            </w:r>
          </w:p>
        </w:tc>
      </w:tr>
      <w:tr w:rsidR="002A7101" w:rsidRPr="002571F1" w14:paraId="7DB871E0" w14:textId="77777777" w:rsidTr="00E21523">
        <w:trPr>
          <w:trHeight w:val="298"/>
        </w:trPr>
        <w:tc>
          <w:tcPr>
            <w:tcW w:w="3657" w:type="dxa"/>
            <w:tcBorders>
              <w:top w:val="nil"/>
              <w:bottom w:val="nil"/>
              <w:right w:val="single" w:sz="2" w:space="0" w:color="808080" w:themeColor="background1" w:themeShade="80"/>
            </w:tcBorders>
            <w:shd w:val="clear" w:color="auto" w:fill="F2F2F2" w:themeFill="background1" w:themeFillShade="F2"/>
            <w:vAlign w:val="center"/>
          </w:tcPr>
          <w:p w14:paraId="635A3750" w14:textId="10B8C8CA" w:rsidR="002A7101" w:rsidRPr="00CC5811" w:rsidRDefault="002A7101" w:rsidP="002A7101">
            <w:pPr>
              <w:pStyle w:val="ColorfulList-Accent11"/>
              <w:tabs>
                <w:tab w:val="left" w:pos="0"/>
                <w:tab w:val="left" w:pos="284"/>
              </w:tabs>
              <w:ind w:left="0" w:right="-90"/>
              <w:rPr>
                <w:rFonts w:ascii="Arial" w:hAnsi="Arial" w:cs="Arial"/>
                <w:i/>
                <w:color w:val="000000" w:themeColor="text1"/>
              </w:rPr>
            </w:pPr>
            <w:proofErr w:type="spellStart"/>
            <w:r w:rsidRPr="003629D3">
              <w:rPr>
                <w:rFonts w:ascii="Arial" w:hAnsi="Arial" w:cs="Arial"/>
              </w:rPr>
              <w:t>Προσ</w:t>
            </w:r>
            <w:proofErr w:type="spellEnd"/>
            <w:r w:rsidRPr="003629D3">
              <w:rPr>
                <w:rFonts w:ascii="Arial" w:hAnsi="Arial" w:cs="Arial"/>
              </w:rPr>
              <w:t xml:space="preserve">αρμοσμένο EBITDA (AL) </w:t>
            </w:r>
          </w:p>
        </w:tc>
        <w:tc>
          <w:tcPr>
            <w:tcW w:w="1527" w:type="dxa"/>
            <w:tcBorders>
              <w:top w:val="nil"/>
              <w:left w:val="single" w:sz="2" w:space="0" w:color="808080" w:themeColor="background1" w:themeShade="80"/>
              <w:bottom w:val="nil"/>
              <w:right w:val="nil"/>
            </w:tcBorders>
            <w:shd w:val="clear" w:color="auto" w:fill="F2F2F2" w:themeFill="background1" w:themeFillShade="F2"/>
            <w:vAlign w:val="center"/>
          </w:tcPr>
          <w:p w14:paraId="1708EE14" w14:textId="38BA4C11" w:rsidR="002A7101" w:rsidRPr="002571F1" w:rsidRDefault="002A7101" w:rsidP="002A7101">
            <w:pPr>
              <w:pStyle w:val="ColorfulList-Accent11"/>
              <w:tabs>
                <w:tab w:val="left" w:pos="0"/>
                <w:tab w:val="left" w:pos="284"/>
              </w:tabs>
              <w:ind w:left="0" w:right="-90"/>
              <w:jc w:val="center"/>
              <w:rPr>
                <w:rFonts w:ascii="Arial" w:hAnsi="Arial" w:cs="Arial"/>
                <w:i/>
                <w:color w:val="FF0000"/>
              </w:rPr>
            </w:pPr>
            <w:r>
              <w:rPr>
                <w:rFonts w:ascii="Arial" w:hAnsi="Arial" w:cs="Arial"/>
                <w:color w:val="000000"/>
              </w:rPr>
              <w:t>360</w:t>
            </w:r>
            <w:r w:rsidR="00D91A31">
              <w:rPr>
                <w:rFonts w:ascii="Arial" w:hAnsi="Arial" w:cs="Arial"/>
                <w:color w:val="000000"/>
              </w:rPr>
              <w:t>,</w:t>
            </w:r>
            <w:r>
              <w:rPr>
                <w:rFonts w:ascii="Arial" w:hAnsi="Arial" w:cs="Arial"/>
                <w:color w:val="000000"/>
              </w:rPr>
              <w:t>1</w:t>
            </w:r>
          </w:p>
        </w:tc>
        <w:tc>
          <w:tcPr>
            <w:tcW w:w="1481" w:type="dxa"/>
            <w:tcBorders>
              <w:top w:val="nil"/>
              <w:left w:val="nil"/>
              <w:bottom w:val="nil"/>
              <w:right w:val="nil"/>
            </w:tcBorders>
            <w:shd w:val="clear" w:color="auto" w:fill="F2F2F2" w:themeFill="background1" w:themeFillShade="F2"/>
            <w:vAlign w:val="center"/>
          </w:tcPr>
          <w:p w14:paraId="4CA22BF6" w14:textId="5E04F49A" w:rsidR="002A7101" w:rsidRPr="002571F1" w:rsidRDefault="002A7101" w:rsidP="002A7101">
            <w:pPr>
              <w:pStyle w:val="ColorfulList-Accent11"/>
              <w:tabs>
                <w:tab w:val="left" w:pos="0"/>
                <w:tab w:val="left" w:pos="284"/>
              </w:tabs>
              <w:ind w:left="0" w:right="-90"/>
              <w:jc w:val="center"/>
              <w:rPr>
                <w:rFonts w:ascii="Arial" w:hAnsi="Arial" w:cs="Arial"/>
                <w:i/>
                <w:color w:val="FF0000"/>
              </w:rPr>
            </w:pPr>
            <w:r>
              <w:rPr>
                <w:rFonts w:ascii="Arial" w:hAnsi="Arial" w:cs="Arial"/>
                <w:color w:val="000000"/>
              </w:rPr>
              <w:t>353</w:t>
            </w:r>
            <w:r w:rsidR="00D91A31">
              <w:rPr>
                <w:rFonts w:ascii="Arial" w:hAnsi="Arial" w:cs="Arial"/>
                <w:color w:val="000000"/>
              </w:rPr>
              <w:t>,</w:t>
            </w:r>
            <w:r>
              <w:rPr>
                <w:rFonts w:ascii="Arial" w:hAnsi="Arial" w:cs="Arial"/>
                <w:color w:val="000000"/>
              </w:rPr>
              <w:t>1</w:t>
            </w:r>
          </w:p>
        </w:tc>
        <w:tc>
          <w:tcPr>
            <w:tcW w:w="1151" w:type="dxa"/>
            <w:tcBorders>
              <w:top w:val="nil"/>
              <w:left w:val="nil"/>
              <w:bottom w:val="nil"/>
              <w:right w:val="single" w:sz="2" w:space="0" w:color="808080" w:themeColor="background1" w:themeShade="80"/>
            </w:tcBorders>
            <w:shd w:val="clear" w:color="auto" w:fill="F2F2F2" w:themeFill="background1" w:themeFillShade="F2"/>
            <w:vAlign w:val="center"/>
          </w:tcPr>
          <w:p w14:paraId="047D6D23" w14:textId="23A98CC5" w:rsidR="002A7101" w:rsidRPr="002571F1" w:rsidRDefault="002A7101" w:rsidP="002A7101">
            <w:pPr>
              <w:pStyle w:val="ColorfulList-Accent11"/>
              <w:tabs>
                <w:tab w:val="left" w:pos="0"/>
                <w:tab w:val="left" w:pos="284"/>
              </w:tabs>
              <w:ind w:left="0" w:right="-90"/>
              <w:jc w:val="center"/>
              <w:rPr>
                <w:rFonts w:ascii="Arial" w:hAnsi="Arial" w:cs="Arial"/>
                <w:i/>
                <w:color w:val="FF0000"/>
              </w:rPr>
            </w:pPr>
            <w:r>
              <w:rPr>
                <w:rFonts w:ascii="Arial" w:hAnsi="Arial" w:cs="Arial"/>
                <w:color w:val="000000"/>
              </w:rPr>
              <w:t>+2</w:t>
            </w:r>
            <w:r w:rsidR="00D91A31">
              <w:rPr>
                <w:rFonts w:ascii="Arial" w:hAnsi="Arial" w:cs="Arial"/>
                <w:color w:val="000000"/>
              </w:rPr>
              <w:t>,</w:t>
            </w:r>
            <w:r>
              <w:rPr>
                <w:rFonts w:ascii="Arial" w:hAnsi="Arial" w:cs="Arial"/>
                <w:color w:val="000000"/>
              </w:rPr>
              <w:t>0%</w:t>
            </w:r>
          </w:p>
        </w:tc>
        <w:tc>
          <w:tcPr>
            <w:tcW w:w="886" w:type="dxa"/>
            <w:tcBorders>
              <w:top w:val="nil"/>
              <w:left w:val="single" w:sz="2" w:space="0" w:color="808080" w:themeColor="background1" w:themeShade="80"/>
              <w:bottom w:val="nil"/>
              <w:right w:val="nil"/>
            </w:tcBorders>
            <w:shd w:val="clear" w:color="auto" w:fill="F2F2F2" w:themeFill="background1" w:themeFillShade="F2"/>
            <w:vAlign w:val="center"/>
          </w:tcPr>
          <w:p w14:paraId="5AD0995A" w14:textId="7F289C45" w:rsidR="002A7101" w:rsidRPr="002571F1" w:rsidRDefault="002A7101" w:rsidP="002A7101">
            <w:pPr>
              <w:pStyle w:val="ColorfulList-Accent11"/>
              <w:tabs>
                <w:tab w:val="left" w:pos="0"/>
                <w:tab w:val="left" w:pos="284"/>
              </w:tabs>
              <w:ind w:left="0" w:right="-90"/>
              <w:jc w:val="center"/>
              <w:rPr>
                <w:rFonts w:ascii="Arial" w:hAnsi="Arial" w:cs="Arial"/>
                <w:color w:val="FF0000"/>
              </w:rPr>
            </w:pPr>
            <w:r>
              <w:rPr>
                <w:rFonts w:ascii="Arial" w:hAnsi="Arial" w:cs="Arial"/>
                <w:color w:val="000000"/>
              </w:rPr>
              <w:t>1</w:t>
            </w:r>
            <w:r w:rsidR="00D91A31">
              <w:rPr>
                <w:rFonts w:ascii="Arial" w:hAnsi="Arial" w:cs="Arial"/>
                <w:color w:val="000000"/>
              </w:rPr>
              <w:t>.</w:t>
            </w:r>
            <w:r>
              <w:rPr>
                <w:rFonts w:ascii="Arial" w:hAnsi="Arial" w:cs="Arial"/>
                <w:color w:val="000000"/>
              </w:rPr>
              <w:t>022</w:t>
            </w:r>
            <w:r w:rsidR="00D91A31">
              <w:rPr>
                <w:rFonts w:ascii="Arial" w:hAnsi="Arial" w:cs="Arial"/>
                <w:color w:val="000000"/>
              </w:rPr>
              <w:t>,</w:t>
            </w:r>
            <w:r>
              <w:rPr>
                <w:rFonts w:ascii="Arial" w:hAnsi="Arial" w:cs="Arial"/>
                <w:color w:val="000000"/>
              </w:rPr>
              <w:t>4</w:t>
            </w:r>
          </w:p>
        </w:tc>
        <w:tc>
          <w:tcPr>
            <w:tcW w:w="886" w:type="dxa"/>
            <w:tcBorders>
              <w:top w:val="nil"/>
              <w:left w:val="nil"/>
              <w:bottom w:val="nil"/>
              <w:right w:val="nil"/>
            </w:tcBorders>
            <w:shd w:val="clear" w:color="auto" w:fill="F2F2F2" w:themeFill="background1" w:themeFillShade="F2"/>
            <w:vAlign w:val="center"/>
          </w:tcPr>
          <w:p w14:paraId="0F97F009" w14:textId="54000B96" w:rsidR="002A7101" w:rsidRPr="002571F1" w:rsidRDefault="002A7101" w:rsidP="002A7101">
            <w:pPr>
              <w:pStyle w:val="ColorfulList-Accent11"/>
              <w:tabs>
                <w:tab w:val="left" w:pos="0"/>
                <w:tab w:val="left" w:pos="284"/>
              </w:tabs>
              <w:ind w:left="0" w:right="-90"/>
              <w:jc w:val="center"/>
              <w:rPr>
                <w:rFonts w:ascii="Arial" w:hAnsi="Arial" w:cs="Arial"/>
                <w:color w:val="FF0000"/>
              </w:rPr>
            </w:pPr>
            <w:r>
              <w:rPr>
                <w:rFonts w:ascii="Arial" w:hAnsi="Arial" w:cs="Arial"/>
                <w:color w:val="000000"/>
              </w:rPr>
              <w:t>1</w:t>
            </w:r>
            <w:r w:rsidR="00D91A31">
              <w:rPr>
                <w:rFonts w:ascii="Arial" w:hAnsi="Arial" w:cs="Arial"/>
                <w:color w:val="000000"/>
              </w:rPr>
              <w:t>.</w:t>
            </w:r>
            <w:r>
              <w:rPr>
                <w:rFonts w:ascii="Arial" w:hAnsi="Arial" w:cs="Arial"/>
                <w:color w:val="000000"/>
              </w:rPr>
              <w:t>003</w:t>
            </w:r>
            <w:r w:rsidR="00D91A31">
              <w:rPr>
                <w:rFonts w:ascii="Arial" w:hAnsi="Arial" w:cs="Arial"/>
                <w:color w:val="000000"/>
              </w:rPr>
              <w:t>,</w:t>
            </w:r>
            <w:r>
              <w:rPr>
                <w:rFonts w:ascii="Arial" w:hAnsi="Arial" w:cs="Arial"/>
                <w:color w:val="000000"/>
              </w:rPr>
              <w:t>1</w:t>
            </w:r>
          </w:p>
        </w:tc>
        <w:tc>
          <w:tcPr>
            <w:tcW w:w="900" w:type="dxa"/>
            <w:tcBorders>
              <w:top w:val="nil"/>
              <w:left w:val="nil"/>
              <w:bottom w:val="nil"/>
              <w:right w:val="nil"/>
            </w:tcBorders>
            <w:shd w:val="clear" w:color="auto" w:fill="F2F2F2" w:themeFill="background1" w:themeFillShade="F2"/>
            <w:vAlign w:val="center"/>
          </w:tcPr>
          <w:p w14:paraId="52E030AE" w14:textId="5785C718" w:rsidR="002A7101" w:rsidRPr="002571F1" w:rsidRDefault="002A7101" w:rsidP="002A7101">
            <w:pPr>
              <w:pStyle w:val="ColorfulList-Accent11"/>
              <w:tabs>
                <w:tab w:val="left" w:pos="0"/>
                <w:tab w:val="left" w:pos="284"/>
              </w:tabs>
              <w:ind w:left="0" w:right="-90"/>
              <w:jc w:val="center"/>
              <w:rPr>
                <w:rFonts w:ascii="Arial" w:hAnsi="Arial" w:cs="Arial"/>
                <w:color w:val="FF0000"/>
              </w:rPr>
            </w:pPr>
            <w:r>
              <w:rPr>
                <w:rFonts w:ascii="Arial" w:hAnsi="Arial" w:cs="Arial"/>
                <w:color w:val="000000"/>
              </w:rPr>
              <w:t>+1</w:t>
            </w:r>
            <w:r w:rsidR="00D91A31">
              <w:rPr>
                <w:rFonts w:ascii="Arial" w:hAnsi="Arial" w:cs="Arial"/>
                <w:color w:val="000000"/>
              </w:rPr>
              <w:t>,</w:t>
            </w:r>
            <w:r>
              <w:rPr>
                <w:rFonts w:ascii="Arial" w:hAnsi="Arial" w:cs="Arial"/>
                <w:color w:val="000000"/>
              </w:rPr>
              <w:t>9%</w:t>
            </w:r>
          </w:p>
        </w:tc>
      </w:tr>
      <w:tr w:rsidR="002A7101" w:rsidRPr="002571F1" w14:paraId="6EE6CD65" w14:textId="77777777" w:rsidTr="00E21523">
        <w:trPr>
          <w:trHeight w:val="286"/>
        </w:trPr>
        <w:tc>
          <w:tcPr>
            <w:tcW w:w="3657" w:type="dxa"/>
            <w:tcBorders>
              <w:top w:val="nil"/>
              <w:bottom w:val="nil"/>
              <w:right w:val="nil"/>
            </w:tcBorders>
            <w:shd w:val="clear" w:color="auto" w:fill="FFFFFF" w:themeFill="background1"/>
            <w:vAlign w:val="center"/>
          </w:tcPr>
          <w:p w14:paraId="27F5A972" w14:textId="201780EE" w:rsidR="002A7101" w:rsidRPr="00CC5811" w:rsidRDefault="002A7101" w:rsidP="002A7101">
            <w:pPr>
              <w:pStyle w:val="ColorfulList-Accent11"/>
              <w:tabs>
                <w:tab w:val="left" w:pos="0"/>
                <w:tab w:val="left" w:pos="284"/>
              </w:tabs>
              <w:ind w:left="0" w:right="-90"/>
              <w:jc w:val="right"/>
              <w:rPr>
                <w:rFonts w:ascii="Arial" w:hAnsi="Arial" w:cs="Arial"/>
                <w:i/>
                <w:color w:val="000000" w:themeColor="text1"/>
              </w:rPr>
            </w:pPr>
            <w:proofErr w:type="spellStart"/>
            <w:r w:rsidRPr="003629D3">
              <w:rPr>
                <w:rFonts w:ascii="Arial" w:hAnsi="Arial" w:cs="Arial"/>
                <w:i/>
              </w:rPr>
              <w:t>Περιθώριο</w:t>
            </w:r>
            <w:proofErr w:type="spellEnd"/>
            <w:r w:rsidRPr="003629D3">
              <w:rPr>
                <w:rFonts w:ascii="Arial" w:hAnsi="Arial" w:cs="Arial"/>
                <w:i/>
              </w:rPr>
              <w:t xml:space="preserve"> (%) </w:t>
            </w:r>
          </w:p>
        </w:tc>
        <w:tc>
          <w:tcPr>
            <w:tcW w:w="1527" w:type="dxa"/>
            <w:tcBorders>
              <w:top w:val="nil"/>
              <w:left w:val="nil"/>
              <w:bottom w:val="nil"/>
              <w:right w:val="nil"/>
            </w:tcBorders>
            <w:shd w:val="clear" w:color="auto" w:fill="FFFFFF" w:themeFill="background1"/>
            <w:vAlign w:val="center"/>
          </w:tcPr>
          <w:p w14:paraId="167232B0" w14:textId="5751F93B" w:rsidR="002A7101" w:rsidRPr="002571F1" w:rsidRDefault="002A7101" w:rsidP="002A7101">
            <w:pPr>
              <w:pStyle w:val="ColorfulList-Accent11"/>
              <w:tabs>
                <w:tab w:val="left" w:pos="0"/>
                <w:tab w:val="left" w:pos="284"/>
              </w:tabs>
              <w:ind w:left="0" w:right="-90"/>
              <w:jc w:val="center"/>
              <w:rPr>
                <w:rFonts w:ascii="Arial" w:hAnsi="Arial" w:cs="Arial"/>
                <w:i/>
                <w:color w:val="FF0000"/>
              </w:rPr>
            </w:pPr>
            <w:r>
              <w:rPr>
                <w:rFonts w:ascii="Arial" w:hAnsi="Arial" w:cs="Arial"/>
                <w:i/>
                <w:iCs/>
                <w:color w:val="000000"/>
              </w:rPr>
              <w:t>41</w:t>
            </w:r>
            <w:r w:rsidR="00D91A31">
              <w:rPr>
                <w:rFonts w:ascii="Arial" w:hAnsi="Arial" w:cs="Arial"/>
                <w:i/>
                <w:iCs/>
                <w:color w:val="000000"/>
              </w:rPr>
              <w:t>,</w:t>
            </w:r>
            <w:r>
              <w:rPr>
                <w:rFonts w:ascii="Arial" w:hAnsi="Arial" w:cs="Arial"/>
                <w:i/>
                <w:iCs/>
                <w:color w:val="000000"/>
              </w:rPr>
              <w:t>2%</w:t>
            </w:r>
          </w:p>
        </w:tc>
        <w:tc>
          <w:tcPr>
            <w:tcW w:w="1481" w:type="dxa"/>
            <w:tcBorders>
              <w:top w:val="nil"/>
              <w:left w:val="nil"/>
              <w:bottom w:val="nil"/>
              <w:right w:val="nil"/>
            </w:tcBorders>
            <w:shd w:val="clear" w:color="auto" w:fill="FFFFFF" w:themeFill="background1"/>
            <w:vAlign w:val="center"/>
          </w:tcPr>
          <w:p w14:paraId="360F4D39" w14:textId="069DEF87" w:rsidR="002A7101" w:rsidRPr="002571F1" w:rsidRDefault="002A7101" w:rsidP="002A7101">
            <w:pPr>
              <w:pStyle w:val="ColorfulList-Accent11"/>
              <w:tabs>
                <w:tab w:val="left" w:pos="0"/>
                <w:tab w:val="left" w:pos="284"/>
              </w:tabs>
              <w:ind w:left="0" w:right="-90"/>
              <w:jc w:val="center"/>
              <w:rPr>
                <w:rFonts w:ascii="Arial" w:hAnsi="Arial" w:cs="Arial"/>
                <w:i/>
                <w:color w:val="FF0000"/>
              </w:rPr>
            </w:pPr>
            <w:r>
              <w:rPr>
                <w:rFonts w:ascii="Arial" w:hAnsi="Arial" w:cs="Arial"/>
                <w:i/>
                <w:iCs/>
                <w:color w:val="000000"/>
              </w:rPr>
              <w:t>42</w:t>
            </w:r>
            <w:r w:rsidR="00D91A31">
              <w:rPr>
                <w:rFonts w:ascii="Arial" w:hAnsi="Arial" w:cs="Arial"/>
                <w:i/>
                <w:iCs/>
                <w:color w:val="000000"/>
              </w:rPr>
              <w:t>,</w:t>
            </w:r>
            <w:r>
              <w:rPr>
                <w:rFonts w:ascii="Arial" w:hAnsi="Arial" w:cs="Arial"/>
                <w:i/>
                <w:iCs/>
                <w:color w:val="000000"/>
              </w:rPr>
              <w:t>4%</w:t>
            </w:r>
          </w:p>
        </w:tc>
        <w:tc>
          <w:tcPr>
            <w:tcW w:w="1151" w:type="dxa"/>
            <w:tcBorders>
              <w:top w:val="nil"/>
              <w:left w:val="nil"/>
              <w:bottom w:val="nil"/>
              <w:right w:val="nil"/>
            </w:tcBorders>
            <w:shd w:val="clear" w:color="auto" w:fill="FFFFFF" w:themeFill="background1"/>
            <w:vAlign w:val="center"/>
          </w:tcPr>
          <w:p w14:paraId="041261E5" w14:textId="45105096" w:rsidR="002A7101" w:rsidRPr="006A7B64" w:rsidRDefault="002A7101" w:rsidP="002A7101">
            <w:pPr>
              <w:pStyle w:val="ColorfulList-Accent11"/>
              <w:tabs>
                <w:tab w:val="left" w:pos="0"/>
                <w:tab w:val="left" w:pos="284"/>
              </w:tabs>
              <w:ind w:left="0" w:right="-90"/>
              <w:jc w:val="center"/>
              <w:rPr>
                <w:rFonts w:ascii="Arial" w:hAnsi="Arial" w:cs="Arial"/>
                <w:i/>
                <w:color w:val="FF0000"/>
                <w:lang w:val="el-GR"/>
              </w:rPr>
            </w:pPr>
            <w:r>
              <w:rPr>
                <w:rFonts w:ascii="Arial" w:hAnsi="Arial" w:cs="Arial"/>
                <w:i/>
                <w:iCs/>
                <w:color w:val="000000"/>
              </w:rPr>
              <w:t>-1</w:t>
            </w:r>
            <w:r w:rsidR="00D91A31">
              <w:rPr>
                <w:rFonts w:ascii="Arial" w:hAnsi="Arial" w:cs="Arial"/>
                <w:i/>
                <w:iCs/>
                <w:color w:val="000000"/>
              </w:rPr>
              <w:t>,</w:t>
            </w:r>
            <w:r>
              <w:rPr>
                <w:rFonts w:ascii="Arial" w:hAnsi="Arial" w:cs="Arial"/>
                <w:i/>
                <w:iCs/>
                <w:color w:val="000000"/>
              </w:rPr>
              <w:t>2</w:t>
            </w:r>
            <w:proofErr w:type="spellStart"/>
            <w:r w:rsidR="0098269A">
              <w:rPr>
                <w:rFonts w:ascii="Arial" w:hAnsi="Arial" w:cs="Arial"/>
                <w:i/>
                <w:iCs/>
                <w:color w:val="000000"/>
                <w:lang w:val="el-GR"/>
              </w:rPr>
              <w:t>μον</w:t>
            </w:r>
            <w:proofErr w:type="spellEnd"/>
          </w:p>
        </w:tc>
        <w:tc>
          <w:tcPr>
            <w:tcW w:w="886" w:type="dxa"/>
            <w:tcBorders>
              <w:top w:val="nil"/>
              <w:left w:val="nil"/>
              <w:bottom w:val="nil"/>
              <w:right w:val="nil"/>
            </w:tcBorders>
            <w:shd w:val="clear" w:color="auto" w:fill="FFFFFF" w:themeFill="background1"/>
            <w:vAlign w:val="center"/>
          </w:tcPr>
          <w:p w14:paraId="50424E08" w14:textId="55C94D01" w:rsidR="002A7101" w:rsidRPr="002571F1" w:rsidRDefault="002A7101" w:rsidP="002A7101">
            <w:pPr>
              <w:pStyle w:val="ColorfulList-Accent11"/>
              <w:tabs>
                <w:tab w:val="left" w:pos="0"/>
                <w:tab w:val="left" w:pos="284"/>
              </w:tabs>
              <w:ind w:left="0" w:right="-90"/>
              <w:jc w:val="center"/>
              <w:rPr>
                <w:rFonts w:ascii="Arial" w:hAnsi="Arial" w:cs="Arial"/>
                <w:i/>
                <w:iCs/>
                <w:color w:val="FF0000"/>
              </w:rPr>
            </w:pPr>
            <w:r>
              <w:rPr>
                <w:rFonts w:ascii="Arial" w:hAnsi="Arial" w:cs="Arial"/>
                <w:i/>
                <w:iCs/>
                <w:color w:val="000000"/>
              </w:rPr>
              <w:t>40</w:t>
            </w:r>
            <w:r w:rsidR="00D91A31">
              <w:rPr>
                <w:rFonts w:ascii="Arial" w:hAnsi="Arial" w:cs="Arial"/>
                <w:i/>
                <w:iCs/>
                <w:color w:val="000000"/>
              </w:rPr>
              <w:t>,</w:t>
            </w:r>
            <w:r>
              <w:rPr>
                <w:rFonts w:ascii="Arial" w:hAnsi="Arial" w:cs="Arial"/>
                <w:i/>
                <w:iCs/>
                <w:color w:val="000000"/>
              </w:rPr>
              <w:t>1%</w:t>
            </w:r>
          </w:p>
        </w:tc>
        <w:tc>
          <w:tcPr>
            <w:tcW w:w="886" w:type="dxa"/>
            <w:tcBorders>
              <w:top w:val="nil"/>
              <w:left w:val="nil"/>
              <w:bottom w:val="nil"/>
              <w:right w:val="nil"/>
            </w:tcBorders>
            <w:shd w:val="clear" w:color="auto" w:fill="FFFFFF" w:themeFill="background1"/>
            <w:vAlign w:val="center"/>
          </w:tcPr>
          <w:p w14:paraId="1AB85975" w14:textId="49C52547" w:rsidR="002A7101" w:rsidRPr="002571F1" w:rsidRDefault="002A7101" w:rsidP="002A7101">
            <w:pPr>
              <w:pStyle w:val="ColorfulList-Accent11"/>
              <w:tabs>
                <w:tab w:val="left" w:pos="0"/>
                <w:tab w:val="left" w:pos="284"/>
              </w:tabs>
              <w:ind w:left="0" w:right="-90"/>
              <w:jc w:val="center"/>
              <w:rPr>
                <w:rFonts w:ascii="Arial" w:hAnsi="Arial" w:cs="Arial"/>
                <w:i/>
                <w:iCs/>
                <w:color w:val="FF0000"/>
              </w:rPr>
            </w:pPr>
            <w:r>
              <w:rPr>
                <w:rFonts w:ascii="Arial" w:hAnsi="Arial" w:cs="Arial"/>
                <w:i/>
                <w:iCs/>
                <w:color w:val="000000"/>
              </w:rPr>
              <w:t>40</w:t>
            </w:r>
            <w:r w:rsidR="00D91A31">
              <w:rPr>
                <w:rFonts w:ascii="Arial" w:hAnsi="Arial" w:cs="Arial"/>
                <w:i/>
                <w:iCs/>
                <w:color w:val="000000"/>
              </w:rPr>
              <w:t>,</w:t>
            </w:r>
            <w:r>
              <w:rPr>
                <w:rFonts w:ascii="Arial" w:hAnsi="Arial" w:cs="Arial"/>
                <w:i/>
                <w:iCs/>
                <w:color w:val="000000"/>
              </w:rPr>
              <w:t>3%</w:t>
            </w:r>
          </w:p>
        </w:tc>
        <w:tc>
          <w:tcPr>
            <w:tcW w:w="900" w:type="dxa"/>
            <w:tcBorders>
              <w:top w:val="nil"/>
              <w:left w:val="nil"/>
              <w:bottom w:val="nil"/>
              <w:right w:val="nil"/>
            </w:tcBorders>
            <w:shd w:val="clear" w:color="auto" w:fill="FFFFFF" w:themeFill="background1"/>
            <w:vAlign w:val="center"/>
          </w:tcPr>
          <w:p w14:paraId="2D4C9B19" w14:textId="510F2F2D" w:rsidR="002A7101" w:rsidRPr="006A7B64" w:rsidRDefault="002A7101" w:rsidP="002A7101">
            <w:pPr>
              <w:pStyle w:val="ColorfulList-Accent11"/>
              <w:tabs>
                <w:tab w:val="left" w:pos="0"/>
                <w:tab w:val="left" w:pos="284"/>
              </w:tabs>
              <w:ind w:left="0" w:right="-90"/>
              <w:jc w:val="center"/>
              <w:rPr>
                <w:rFonts w:ascii="Arial" w:hAnsi="Arial" w:cs="Arial"/>
                <w:i/>
                <w:color w:val="FF0000"/>
                <w:lang w:val="el-GR"/>
              </w:rPr>
            </w:pPr>
            <w:r>
              <w:rPr>
                <w:rFonts w:ascii="Arial" w:hAnsi="Arial" w:cs="Arial"/>
                <w:i/>
                <w:iCs/>
                <w:color w:val="000000"/>
              </w:rPr>
              <w:t>-0</w:t>
            </w:r>
            <w:r w:rsidR="00D91A31">
              <w:rPr>
                <w:rFonts w:ascii="Arial" w:hAnsi="Arial" w:cs="Arial"/>
                <w:i/>
                <w:iCs/>
                <w:color w:val="000000"/>
              </w:rPr>
              <w:t>,</w:t>
            </w:r>
            <w:r>
              <w:rPr>
                <w:rFonts w:ascii="Arial" w:hAnsi="Arial" w:cs="Arial"/>
                <w:i/>
                <w:iCs/>
                <w:color w:val="000000"/>
              </w:rPr>
              <w:t>2</w:t>
            </w:r>
            <w:proofErr w:type="spellStart"/>
            <w:r w:rsidR="0098269A">
              <w:rPr>
                <w:rFonts w:ascii="Arial" w:hAnsi="Arial" w:cs="Arial"/>
                <w:i/>
                <w:iCs/>
                <w:color w:val="000000"/>
                <w:lang w:val="el-GR"/>
              </w:rPr>
              <w:t>μον</w:t>
            </w:r>
            <w:proofErr w:type="spellEnd"/>
          </w:p>
        </w:tc>
      </w:tr>
      <w:tr w:rsidR="00B4474B" w:rsidRPr="002571F1" w14:paraId="1E15C5A1" w14:textId="77777777" w:rsidTr="00182978">
        <w:trPr>
          <w:trHeight w:val="286"/>
        </w:trPr>
        <w:tc>
          <w:tcPr>
            <w:tcW w:w="3657" w:type="dxa"/>
            <w:tcBorders>
              <w:top w:val="nil"/>
              <w:bottom w:val="nil"/>
              <w:right w:val="nil"/>
            </w:tcBorders>
            <w:shd w:val="clear" w:color="auto" w:fill="F2F2F2" w:themeFill="background1" w:themeFillShade="F2"/>
            <w:vAlign w:val="center"/>
          </w:tcPr>
          <w:p w14:paraId="7851963C" w14:textId="1B52854E" w:rsidR="002A7101" w:rsidRPr="00CC5811" w:rsidRDefault="002A7101" w:rsidP="002A7101">
            <w:pPr>
              <w:pStyle w:val="ColorfulList-Accent11"/>
              <w:tabs>
                <w:tab w:val="left" w:pos="0"/>
                <w:tab w:val="left" w:pos="284"/>
              </w:tabs>
              <w:ind w:left="0" w:right="-90"/>
              <w:rPr>
                <w:rFonts w:ascii="Arial" w:hAnsi="Arial" w:cs="Arial"/>
                <w:color w:val="000000" w:themeColor="text1"/>
              </w:rPr>
            </w:pPr>
            <w:r>
              <w:rPr>
                <w:rFonts w:ascii="Arial" w:hAnsi="Arial" w:cs="Arial"/>
              </w:rPr>
              <w:t>EBIT</w:t>
            </w:r>
          </w:p>
        </w:tc>
        <w:tc>
          <w:tcPr>
            <w:tcW w:w="1527" w:type="dxa"/>
            <w:tcBorders>
              <w:top w:val="nil"/>
              <w:left w:val="nil"/>
              <w:bottom w:val="nil"/>
              <w:right w:val="nil"/>
            </w:tcBorders>
            <w:shd w:val="clear" w:color="auto" w:fill="F2F2F2" w:themeFill="background1" w:themeFillShade="F2"/>
            <w:vAlign w:val="center"/>
          </w:tcPr>
          <w:p w14:paraId="6CFD7F72" w14:textId="20C95189" w:rsidR="002A7101" w:rsidRPr="002571F1" w:rsidRDefault="002A7101" w:rsidP="002A7101">
            <w:pPr>
              <w:pStyle w:val="ColorfulList-Accent11"/>
              <w:tabs>
                <w:tab w:val="left" w:pos="0"/>
                <w:tab w:val="left" w:pos="284"/>
              </w:tabs>
              <w:ind w:left="0" w:right="-90"/>
              <w:jc w:val="center"/>
              <w:rPr>
                <w:rFonts w:ascii="Arial" w:hAnsi="Arial" w:cs="Arial"/>
                <w:color w:val="FF0000"/>
              </w:rPr>
            </w:pPr>
            <w:r>
              <w:rPr>
                <w:rFonts w:ascii="Arial" w:hAnsi="Arial" w:cs="Arial"/>
              </w:rPr>
              <w:t>223</w:t>
            </w:r>
            <w:r w:rsidR="00D91A31">
              <w:rPr>
                <w:rFonts w:ascii="Arial" w:hAnsi="Arial" w:cs="Arial"/>
              </w:rPr>
              <w:t>,</w:t>
            </w:r>
            <w:r>
              <w:rPr>
                <w:rFonts w:ascii="Arial" w:hAnsi="Arial" w:cs="Arial"/>
              </w:rPr>
              <w:t>5</w:t>
            </w:r>
          </w:p>
        </w:tc>
        <w:tc>
          <w:tcPr>
            <w:tcW w:w="1481" w:type="dxa"/>
            <w:tcBorders>
              <w:top w:val="nil"/>
              <w:left w:val="nil"/>
              <w:bottom w:val="nil"/>
              <w:right w:val="nil"/>
            </w:tcBorders>
            <w:shd w:val="clear" w:color="auto" w:fill="F2F2F2" w:themeFill="background1" w:themeFillShade="F2"/>
            <w:vAlign w:val="center"/>
          </w:tcPr>
          <w:p w14:paraId="540F17CC" w14:textId="6649B8A7" w:rsidR="002A7101" w:rsidRPr="002571F1" w:rsidRDefault="002A7101" w:rsidP="002A7101">
            <w:pPr>
              <w:pStyle w:val="ColorfulList-Accent11"/>
              <w:tabs>
                <w:tab w:val="left" w:pos="0"/>
                <w:tab w:val="left" w:pos="284"/>
              </w:tabs>
              <w:ind w:left="0" w:right="-90"/>
              <w:jc w:val="center"/>
              <w:rPr>
                <w:rFonts w:ascii="Arial" w:hAnsi="Arial" w:cs="Arial"/>
                <w:color w:val="FF0000"/>
              </w:rPr>
            </w:pPr>
            <w:r>
              <w:rPr>
                <w:rFonts w:ascii="Arial" w:hAnsi="Arial" w:cs="Arial"/>
              </w:rPr>
              <w:t>225</w:t>
            </w:r>
            <w:r w:rsidR="00D91A31">
              <w:rPr>
                <w:rFonts w:ascii="Arial" w:hAnsi="Arial" w:cs="Arial"/>
              </w:rPr>
              <w:t>,</w:t>
            </w:r>
            <w:r>
              <w:rPr>
                <w:rFonts w:ascii="Arial" w:hAnsi="Arial" w:cs="Arial"/>
              </w:rPr>
              <w:t>1</w:t>
            </w:r>
          </w:p>
        </w:tc>
        <w:tc>
          <w:tcPr>
            <w:tcW w:w="1151" w:type="dxa"/>
            <w:tcBorders>
              <w:top w:val="nil"/>
              <w:left w:val="nil"/>
              <w:bottom w:val="nil"/>
              <w:right w:val="nil"/>
            </w:tcBorders>
            <w:shd w:val="clear" w:color="auto" w:fill="F2F2F2" w:themeFill="background1" w:themeFillShade="F2"/>
            <w:vAlign w:val="center"/>
          </w:tcPr>
          <w:p w14:paraId="6210CFCA" w14:textId="223F53BC" w:rsidR="002A7101" w:rsidRPr="002571F1" w:rsidRDefault="002A7101" w:rsidP="002A7101">
            <w:pPr>
              <w:pStyle w:val="ColorfulList-Accent11"/>
              <w:tabs>
                <w:tab w:val="left" w:pos="0"/>
                <w:tab w:val="left" w:pos="284"/>
              </w:tabs>
              <w:ind w:left="0" w:right="-90"/>
              <w:jc w:val="center"/>
              <w:rPr>
                <w:rFonts w:ascii="Arial" w:hAnsi="Arial" w:cs="Arial"/>
                <w:color w:val="FF0000"/>
              </w:rPr>
            </w:pPr>
            <w:r>
              <w:rPr>
                <w:rFonts w:ascii="Arial" w:hAnsi="Arial" w:cs="Arial"/>
              </w:rPr>
              <w:t>-0</w:t>
            </w:r>
            <w:r w:rsidR="00D91A31">
              <w:rPr>
                <w:rFonts w:ascii="Arial" w:hAnsi="Arial" w:cs="Arial"/>
              </w:rPr>
              <w:t>,</w:t>
            </w:r>
            <w:r>
              <w:rPr>
                <w:rFonts w:ascii="Arial" w:hAnsi="Arial" w:cs="Arial"/>
              </w:rPr>
              <w:t>7%</w:t>
            </w:r>
          </w:p>
        </w:tc>
        <w:tc>
          <w:tcPr>
            <w:tcW w:w="886" w:type="dxa"/>
            <w:tcBorders>
              <w:top w:val="nil"/>
              <w:left w:val="nil"/>
              <w:bottom w:val="nil"/>
              <w:right w:val="nil"/>
            </w:tcBorders>
            <w:shd w:val="clear" w:color="auto" w:fill="F2F2F2" w:themeFill="background1" w:themeFillShade="F2"/>
            <w:vAlign w:val="center"/>
          </w:tcPr>
          <w:p w14:paraId="3A005AB0" w14:textId="353DCE3D" w:rsidR="002A7101" w:rsidRPr="002571F1" w:rsidRDefault="002A7101" w:rsidP="002A7101">
            <w:pPr>
              <w:pStyle w:val="ColorfulList-Accent11"/>
              <w:tabs>
                <w:tab w:val="left" w:pos="0"/>
                <w:tab w:val="left" w:pos="284"/>
              </w:tabs>
              <w:ind w:left="0" w:right="-90"/>
              <w:jc w:val="center"/>
              <w:rPr>
                <w:rFonts w:ascii="Arial" w:hAnsi="Arial" w:cs="Arial"/>
                <w:color w:val="FF0000"/>
              </w:rPr>
            </w:pPr>
            <w:r>
              <w:rPr>
                <w:rFonts w:ascii="Arial" w:hAnsi="Arial" w:cs="Arial"/>
              </w:rPr>
              <w:t>603</w:t>
            </w:r>
            <w:r w:rsidR="00D91A31">
              <w:rPr>
                <w:rFonts w:ascii="Arial" w:hAnsi="Arial" w:cs="Arial"/>
              </w:rPr>
              <w:t>,</w:t>
            </w:r>
            <w:r>
              <w:rPr>
                <w:rFonts w:ascii="Arial" w:hAnsi="Arial" w:cs="Arial"/>
              </w:rPr>
              <w:t>4</w:t>
            </w:r>
          </w:p>
        </w:tc>
        <w:tc>
          <w:tcPr>
            <w:tcW w:w="886" w:type="dxa"/>
            <w:tcBorders>
              <w:top w:val="nil"/>
              <w:left w:val="nil"/>
              <w:bottom w:val="nil"/>
              <w:right w:val="nil"/>
            </w:tcBorders>
            <w:shd w:val="clear" w:color="auto" w:fill="F2F2F2" w:themeFill="background1" w:themeFillShade="F2"/>
            <w:vAlign w:val="center"/>
          </w:tcPr>
          <w:p w14:paraId="3AA3F7C4" w14:textId="1F1DBF65" w:rsidR="002A7101" w:rsidRPr="002571F1" w:rsidRDefault="002A7101" w:rsidP="002A7101">
            <w:pPr>
              <w:pStyle w:val="ColorfulList-Accent11"/>
              <w:tabs>
                <w:tab w:val="left" w:pos="0"/>
                <w:tab w:val="left" w:pos="284"/>
              </w:tabs>
              <w:ind w:left="0" w:right="-90"/>
              <w:jc w:val="center"/>
              <w:rPr>
                <w:rFonts w:ascii="Arial" w:hAnsi="Arial" w:cs="Arial"/>
                <w:color w:val="FF0000"/>
              </w:rPr>
            </w:pPr>
            <w:r>
              <w:rPr>
                <w:rFonts w:ascii="Arial" w:hAnsi="Arial" w:cs="Arial"/>
              </w:rPr>
              <w:t>579</w:t>
            </w:r>
            <w:r w:rsidR="00D91A31">
              <w:rPr>
                <w:rFonts w:ascii="Arial" w:hAnsi="Arial" w:cs="Arial"/>
              </w:rPr>
              <w:t>,</w:t>
            </w:r>
            <w:r>
              <w:rPr>
                <w:rFonts w:ascii="Arial" w:hAnsi="Arial" w:cs="Arial"/>
              </w:rPr>
              <w:t>5</w:t>
            </w:r>
          </w:p>
        </w:tc>
        <w:tc>
          <w:tcPr>
            <w:tcW w:w="900" w:type="dxa"/>
            <w:tcBorders>
              <w:top w:val="nil"/>
              <w:left w:val="nil"/>
              <w:bottom w:val="nil"/>
              <w:right w:val="nil"/>
            </w:tcBorders>
            <w:shd w:val="clear" w:color="auto" w:fill="F2F2F2" w:themeFill="background1" w:themeFillShade="F2"/>
            <w:vAlign w:val="center"/>
          </w:tcPr>
          <w:p w14:paraId="3F64EE46" w14:textId="5B2BA882" w:rsidR="002A7101" w:rsidRPr="002571F1" w:rsidRDefault="002A7101" w:rsidP="002A7101">
            <w:pPr>
              <w:pStyle w:val="ColorfulList-Accent11"/>
              <w:tabs>
                <w:tab w:val="left" w:pos="0"/>
                <w:tab w:val="left" w:pos="284"/>
              </w:tabs>
              <w:ind w:left="0" w:right="-90"/>
              <w:jc w:val="center"/>
              <w:rPr>
                <w:rFonts w:ascii="Arial" w:hAnsi="Arial" w:cs="Arial"/>
                <w:color w:val="FF0000"/>
              </w:rPr>
            </w:pPr>
            <w:r>
              <w:rPr>
                <w:rFonts w:ascii="Arial" w:hAnsi="Arial" w:cs="Arial"/>
              </w:rPr>
              <w:t>+4</w:t>
            </w:r>
            <w:r w:rsidR="00D91A31">
              <w:rPr>
                <w:rFonts w:ascii="Arial" w:hAnsi="Arial" w:cs="Arial"/>
              </w:rPr>
              <w:t>,</w:t>
            </w:r>
            <w:r>
              <w:rPr>
                <w:rFonts w:ascii="Arial" w:hAnsi="Arial" w:cs="Arial"/>
              </w:rPr>
              <w:t>1%</w:t>
            </w:r>
          </w:p>
        </w:tc>
      </w:tr>
      <w:tr w:rsidR="00B4474B" w:rsidRPr="002571F1" w14:paraId="41EF6550" w14:textId="77777777" w:rsidTr="00182978">
        <w:trPr>
          <w:trHeight w:val="286"/>
        </w:trPr>
        <w:tc>
          <w:tcPr>
            <w:tcW w:w="3657" w:type="dxa"/>
            <w:tcBorders>
              <w:top w:val="nil"/>
              <w:bottom w:val="nil"/>
              <w:right w:val="single" w:sz="2" w:space="0" w:color="808080" w:themeColor="background1" w:themeShade="80"/>
            </w:tcBorders>
            <w:shd w:val="clear" w:color="auto" w:fill="FFFFFF" w:themeFill="background1"/>
            <w:vAlign w:val="center"/>
          </w:tcPr>
          <w:p w14:paraId="444B6EEE" w14:textId="2C7BE3D3" w:rsidR="002A7101" w:rsidRPr="00DB61A4" w:rsidRDefault="002A7101" w:rsidP="002A7101">
            <w:pPr>
              <w:pStyle w:val="ColorfulList-Accent11"/>
              <w:tabs>
                <w:tab w:val="left" w:pos="0"/>
                <w:tab w:val="left" w:pos="284"/>
              </w:tabs>
              <w:ind w:left="0" w:right="-90"/>
              <w:rPr>
                <w:rFonts w:ascii="Arial" w:hAnsi="Arial" w:cs="Arial"/>
                <w:i/>
                <w:color w:val="000000" w:themeColor="text1"/>
                <w:lang w:val="el-GR"/>
              </w:rPr>
            </w:pPr>
            <w:r w:rsidRPr="003629D3">
              <w:rPr>
                <w:rFonts w:ascii="Arial" w:hAnsi="Arial" w:cs="Arial"/>
                <w:lang w:val="el-GR"/>
              </w:rPr>
              <w:t>Κέρδη κατανεμημένα στους μετόχους της Εταιρείας</w:t>
            </w:r>
          </w:p>
        </w:tc>
        <w:tc>
          <w:tcPr>
            <w:tcW w:w="1527" w:type="dxa"/>
            <w:tcBorders>
              <w:top w:val="nil"/>
              <w:left w:val="single" w:sz="2" w:space="0" w:color="808080" w:themeColor="background1" w:themeShade="80"/>
              <w:bottom w:val="nil"/>
              <w:right w:val="nil"/>
            </w:tcBorders>
            <w:shd w:val="clear" w:color="auto" w:fill="FFFFFF" w:themeFill="background1"/>
            <w:vAlign w:val="center"/>
          </w:tcPr>
          <w:p w14:paraId="1CEB7834" w14:textId="5344593C" w:rsidR="002A7101" w:rsidRPr="002571F1" w:rsidRDefault="002A7101" w:rsidP="002A7101">
            <w:pPr>
              <w:pStyle w:val="ColorfulList-Accent11"/>
              <w:tabs>
                <w:tab w:val="left" w:pos="0"/>
                <w:tab w:val="left" w:pos="284"/>
              </w:tabs>
              <w:ind w:left="0" w:right="-90"/>
              <w:jc w:val="center"/>
              <w:rPr>
                <w:rFonts w:ascii="Arial" w:hAnsi="Arial" w:cs="Arial"/>
                <w:color w:val="FF0000"/>
                <w:lang w:val="el-GR"/>
              </w:rPr>
            </w:pPr>
            <w:r w:rsidRPr="00433945">
              <w:rPr>
                <w:rFonts w:ascii="Arial" w:hAnsi="Arial" w:cs="Arial"/>
              </w:rPr>
              <w:t>271</w:t>
            </w:r>
            <w:r w:rsidR="00D91A31">
              <w:rPr>
                <w:rFonts w:ascii="Arial" w:hAnsi="Arial" w:cs="Arial"/>
              </w:rPr>
              <w:t>,</w:t>
            </w:r>
            <w:r>
              <w:rPr>
                <w:rFonts w:ascii="Arial" w:hAnsi="Arial" w:cs="Arial"/>
              </w:rPr>
              <w:t>5</w:t>
            </w:r>
          </w:p>
        </w:tc>
        <w:tc>
          <w:tcPr>
            <w:tcW w:w="1481" w:type="dxa"/>
            <w:tcBorders>
              <w:top w:val="nil"/>
              <w:left w:val="nil"/>
              <w:bottom w:val="nil"/>
              <w:right w:val="nil"/>
            </w:tcBorders>
            <w:shd w:val="clear" w:color="auto" w:fill="FFFFFF" w:themeFill="background1"/>
            <w:vAlign w:val="center"/>
          </w:tcPr>
          <w:p w14:paraId="106F3145" w14:textId="002040F2" w:rsidR="002A7101" w:rsidRPr="002571F1" w:rsidRDefault="002A7101" w:rsidP="002A7101">
            <w:pPr>
              <w:pStyle w:val="ColorfulList-Accent11"/>
              <w:tabs>
                <w:tab w:val="left" w:pos="0"/>
                <w:tab w:val="left" w:pos="284"/>
              </w:tabs>
              <w:ind w:left="0" w:right="-90"/>
              <w:jc w:val="center"/>
              <w:rPr>
                <w:rFonts w:ascii="Arial" w:hAnsi="Arial" w:cs="Arial"/>
                <w:color w:val="FF0000"/>
                <w:lang w:val="el-GR"/>
              </w:rPr>
            </w:pPr>
            <w:r w:rsidRPr="00433945">
              <w:rPr>
                <w:rFonts w:ascii="Arial" w:hAnsi="Arial" w:cs="Arial"/>
              </w:rPr>
              <w:t>199</w:t>
            </w:r>
            <w:r w:rsidR="00D91A31">
              <w:rPr>
                <w:rFonts w:ascii="Arial" w:hAnsi="Arial" w:cs="Arial"/>
              </w:rPr>
              <w:t>,</w:t>
            </w:r>
            <w:r>
              <w:rPr>
                <w:rFonts w:ascii="Arial" w:hAnsi="Arial" w:cs="Arial"/>
              </w:rPr>
              <w:t>6</w:t>
            </w:r>
          </w:p>
        </w:tc>
        <w:tc>
          <w:tcPr>
            <w:tcW w:w="1151" w:type="dxa"/>
            <w:tcBorders>
              <w:top w:val="nil"/>
              <w:left w:val="nil"/>
              <w:bottom w:val="nil"/>
              <w:right w:val="single" w:sz="2" w:space="0" w:color="808080" w:themeColor="background1" w:themeShade="80"/>
            </w:tcBorders>
            <w:shd w:val="clear" w:color="auto" w:fill="FFFFFF" w:themeFill="background1"/>
            <w:vAlign w:val="center"/>
          </w:tcPr>
          <w:p w14:paraId="14C1D765" w14:textId="27985FF1" w:rsidR="002A7101" w:rsidRPr="00852D23" w:rsidRDefault="002A7101" w:rsidP="002A7101">
            <w:pPr>
              <w:pStyle w:val="ColorfulList-Accent11"/>
              <w:tabs>
                <w:tab w:val="left" w:pos="0"/>
                <w:tab w:val="left" w:pos="284"/>
              </w:tabs>
              <w:ind w:left="0" w:right="-90"/>
              <w:jc w:val="center"/>
              <w:rPr>
                <w:rFonts w:ascii="Arial" w:hAnsi="Arial" w:cs="Arial"/>
                <w:color w:val="FF0000"/>
                <w:lang w:val="el-GR"/>
              </w:rPr>
            </w:pPr>
            <w:r>
              <w:rPr>
                <w:rFonts w:ascii="Arial" w:hAnsi="Arial" w:cs="Arial"/>
              </w:rPr>
              <w:t>+</w:t>
            </w:r>
            <w:r w:rsidRPr="00433945">
              <w:rPr>
                <w:rFonts w:ascii="Arial" w:hAnsi="Arial" w:cs="Arial"/>
                <w:lang w:val="el-GR"/>
              </w:rPr>
              <w:t>36</w:t>
            </w:r>
            <w:r w:rsidR="00D91A31">
              <w:rPr>
                <w:rFonts w:ascii="Arial" w:hAnsi="Arial" w:cs="Arial"/>
              </w:rPr>
              <w:t>,</w:t>
            </w:r>
            <w:r w:rsidRPr="00433945">
              <w:rPr>
                <w:rFonts w:ascii="Arial" w:hAnsi="Arial" w:cs="Arial"/>
                <w:lang w:val="el-GR"/>
              </w:rPr>
              <w:t>0</w:t>
            </w:r>
            <w:r>
              <w:rPr>
                <w:rFonts w:ascii="Arial" w:hAnsi="Arial" w:cs="Arial"/>
              </w:rPr>
              <w:t>%</w:t>
            </w:r>
          </w:p>
        </w:tc>
        <w:tc>
          <w:tcPr>
            <w:tcW w:w="886" w:type="dxa"/>
            <w:tcBorders>
              <w:top w:val="nil"/>
              <w:left w:val="single" w:sz="2" w:space="0" w:color="808080" w:themeColor="background1" w:themeShade="80"/>
              <w:bottom w:val="nil"/>
              <w:right w:val="nil"/>
            </w:tcBorders>
            <w:shd w:val="clear" w:color="auto" w:fill="FFFFFF" w:themeFill="background1"/>
            <w:vAlign w:val="center"/>
          </w:tcPr>
          <w:p w14:paraId="6B71016D" w14:textId="706837D6" w:rsidR="002A7101" w:rsidRPr="00852D23" w:rsidRDefault="002A7101" w:rsidP="002A7101">
            <w:pPr>
              <w:pStyle w:val="ColorfulList-Accent11"/>
              <w:tabs>
                <w:tab w:val="left" w:pos="0"/>
                <w:tab w:val="left" w:pos="284"/>
              </w:tabs>
              <w:ind w:left="0" w:right="-90"/>
              <w:jc w:val="center"/>
              <w:rPr>
                <w:rFonts w:ascii="Arial" w:hAnsi="Arial" w:cs="Arial"/>
                <w:color w:val="FF0000"/>
                <w:lang w:val="el-GR"/>
              </w:rPr>
            </w:pPr>
            <w:r w:rsidRPr="00433945">
              <w:rPr>
                <w:rFonts w:ascii="Arial" w:hAnsi="Arial" w:cs="Arial"/>
              </w:rPr>
              <w:t>552</w:t>
            </w:r>
            <w:r w:rsidR="00D91A31">
              <w:rPr>
                <w:rFonts w:ascii="Arial" w:hAnsi="Arial" w:cs="Arial"/>
              </w:rPr>
              <w:t>,</w:t>
            </w:r>
            <w:r w:rsidRPr="00433945">
              <w:rPr>
                <w:rFonts w:ascii="Arial" w:hAnsi="Arial" w:cs="Arial"/>
              </w:rPr>
              <w:t>5</w:t>
            </w:r>
          </w:p>
        </w:tc>
        <w:tc>
          <w:tcPr>
            <w:tcW w:w="886" w:type="dxa"/>
            <w:tcBorders>
              <w:top w:val="nil"/>
              <w:left w:val="nil"/>
              <w:bottom w:val="nil"/>
              <w:right w:val="nil"/>
            </w:tcBorders>
            <w:shd w:val="clear" w:color="auto" w:fill="FFFFFF" w:themeFill="background1"/>
            <w:vAlign w:val="center"/>
          </w:tcPr>
          <w:p w14:paraId="6950943A" w14:textId="69330839" w:rsidR="002A7101" w:rsidRPr="00852D23" w:rsidRDefault="002A7101" w:rsidP="002A7101">
            <w:pPr>
              <w:pStyle w:val="ColorfulList-Accent11"/>
              <w:tabs>
                <w:tab w:val="left" w:pos="0"/>
                <w:tab w:val="left" w:pos="284"/>
              </w:tabs>
              <w:ind w:left="0" w:right="-90"/>
              <w:jc w:val="center"/>
              <w:rPr>
                <w:rFonts w:ascii="Arial" w:hAnsi="Arial" w:cs="Arial"/>
                <w:color w:val="FF0000"/>
                <w:lang w:val="el-GR"/>
              </w:rPr>
            </w:pPr>
            <w:r>
              <w:rPr>
                <w:rFonts w:ascii="Arial" w:hAnsi="Arial" w:cs="Arial"/>
              </w:rPr>
              <w:t>462</w:t>
            </w:r>
            <w:r w:rsidR="00D91A31">
              <w:rPr>
                <w:rFonts w:ascii="Arial" w:hAnsi="Arial" w:cs="Arial"/>
              </w:rPr>
              <w:t>,</w:t>
            </w:r>
            <w:r>
              <w:rPr>
                <w:rFonts w:ascii="Arial" w:hAnsi="Arial" w:cs="Arial"/>
              </w:rPr>
              <w:t>5</w:t>
            </w:r>
          </w:p>
        </w:tc>
        <w:tc>
          <w:tcPr>
            <w:tcW w:w="900" w:type="dxa"/>
            <w:tcBorders>
              <w:top w:val="nil"/>
              <w:left w:val="nil"/>
              <w:bottom w:val="nil"/>
              <w:right w:val="nil"/>
            </w:tcBorders>
            <w:shd w:val="clear" w:color="auto" w:fill="FFFFFF" w:themeFill="background1"/>
            <w:vAlign w:val="center"/>
          </w:tcPr>
          <w:p w14:paraId="535368FC" w14:textId="5F1A7C85" w:rsidR="002A7101" w:rsidRPr="00852D23" w:rsidRDefault="002A7101" w:rsidP="002A7101">
            <w:pPr>
              <w:pStyle w:val="ColorfulList-Accent11"/>
              <w:tabs>
                <w:tab w:val="left" w:pos="0"/>
                <w:tab w:val="left" w:pos="284"/>
              </w:tabs>
              <w:ind w:left="0" w:right="-90"/>
              <w:jc w:val="center"/>
              <w:rPr>
                <w:rFonts w:ascii="Arial" w:hAnsi="Arial" w:cs="Arial"/>
                <w:color w:val="FF0000"/>
                <w:lang w:val="el-GR"/>
              </w:rPr>
            </w:pPr>
            <w:r>
              <w:rPr>
                <w:rFonts w:ascii="Arial" w:hAnsi="Arial" w:cs="Arial"/>
              </w:rPr>
              <w:t>+1</w:t>
            </w:r>
            <w:r>
              <w:rPr>
                <w:rFonts w:ascii="Arial" w:hAnsi="Arial" w:cs="Arial"/>
                <w:lang w:val="el-GR"/>
              </w:rPr>
              <w:t>9</w:t>
            </w:r>
            <w:r w:rsidR="00D91A31">
              <w:rPr>
                <w:rFonts w:ascii="Arial" w:hAnsi="Arial" w:cs="Arial"/>
              </w:rPr>
              <w:t>,</w:t>
            </w:r>
            <w:r>
              <w:rPr>
                <w:rFonts w:ascii="Arial" w:hAnsi="Arial" w:cs="Arial"/>
                <w:lang w:val="el-GR"/>
              </w:rPr>
              <w:t>5</w:t>
            </w:r>
            <w:r>
              <w:rPr>
                <w:rFonts w:ascii="Arial" w:hAnsi="Arial" w:cs="Arial"/>
              </w:rPr>
              <w:t>%</w:t>
            </w:r>
          </w:p>
        </w:tc>
      </w:tr>
      <w:tr w:rsidR="00B4474B" w:rsidRPr="002571F1" w14:paraId="0DD6E122" w14:textId="77777777" w:rsidTr="00182978">
        <w:trPr>
          <w:trHeight w:val="286"/>
        </w:trPr>
        <w:tc>
          <w:tcPr>
            <w:tcW w:w="3657" w:type="dxa"/>
            <w:tcBorders>
              <w:top w:val="nil"/>
              <w:bottom w:val="nil"/>
              <w:right w:val="single" w:sz="2" w:space="0" w:color="808080" w:themeColor="background1" w:themeShade="80"/>
            </w:tcBorders>
            <w:shd w:val="clear" w:color="auto" w:fill="F2F2F2" w:themeFill="background1" w:themeFillShade="F2"/>
            <w:vAlign w:val="center"/>
          </w:tcPr>
          <w:p w14:paraId="180E78C5" w14:textId="44B11555" w:rsidR="002A7101" w:rsidRPr="00DB61A4" w:rsidRDefault="00927497" w:rsidP="00927497">
            <w:pPr>
              <w:pStyle w:val="ColorfulList-Accent11"/>
              <w:tabs>
                <w:tab w:val="left" w:pos="0"/>
                <w:tab w:val="left" w:pos="284"/>
              </w:tabs>
              <w:ind w:left="0" w:right="-90"/>
              <w:jc w:val="right"/>
              <w:rPr>
                <w:rFonts w:ascii="Arial" w:hAnsi="Arial" w:cs="Arial"/>
                <w:color w:val="000000" w:themeColor="text1"/>
                <w:lang w:val="el-GR"/>
              </w:rPr>
            </w:pPr>
            <w:r w:rsidRPr="003629D3">
              <w:rPr>
                <w:rFonts w:ascii="Arial" w:hAnsi="Arial" w:cs="Arial"/>
                <w:i/>
              </w:rPr>
              <w:t>Βα</w:t>
            </w:r>
            <w:proofErr w:type="spellStart"/>
            <w:r w:rsidRPr="003629D3">
              <w:rPr>
                <w:rFonts w:ascii="Arial" w:hAnsi="Arial" w:cs="Arial"/>
                <w:i/>
              </w:rPr>
              <w:t>σικά</w:t>
            </w:r>
            <w:proofErr w:type="spellEnd"/>
            <w:r w:rsidRPr="003629D3">
              <w:rPr>
                <w:rFonts w:ascii="Arial" w:hAnsi="Arial" w:cs="Arial"/>
                <w:i/>
              </w:rPr>
              <w:t xml:space="preserve"> </w:t>
            </w:r>
            <w:proofErr w:type="spellStart"/>
            <w:r w:rsidRPr="003629D3">
              <w:rPr>
                <w:rFonts w:ascii="Arial" w:hAnsi="Arial" w:cs="Arial"/>
                <w:i/>
              </w:rPr>
              <w:t>Κέρδη</w:t>
            </w:r>
            <w:proofErr w:type="spellEnd"/>
            <w:r w:rsidRPr="003629D3">
              <w:rPr>
                <w:rFonts w:ascii="Arial" w:hAnsi="Arial" w:cs="Arial"/>
                <w:i/>
              </w:rPr>
              <w:t xml:space="preserve"> α</w:t>
            </w:r>
            <w:proofErr w:type="spellStart"/>
            <w:r w:rsidRPr="003629D3">
              <w:rPr>
                <w:rFonts w:ascii="Arial" w:hAnsi="Arial" w:cs="Arial"/>
                <w:i/>
              </w:rPr>
              <w:t>νά</w:t>
            </w:r>
            <w:proofErr w:type="spellEnd"/>
            <w:r w:rsidRPr="003629D3">
              <w:rPr>
                <w:rFonts w:ascii="Arial" w:hAnsi="Arial" w:cs="Arial"/>
                <w:i/>
              </w:rPr>
              <w:t xml:space="preserve"> </w:t>
            </w:r>
            <w:proofErr w:type="spellStart"/>
            <w:r w:rsidRPr="003629D3">
              <w:rPr>
                <w:rFonts w:ascii="Arial" w:hAnsi="Arial" w:cs="Arial"/>
                <w:i/>
              </w:rPr>
              <w:t>μετοχή</w:t>
            </w:r>
            <w:proofErr w:type="spellEnd"/>
            <w:r w:rsidRPr="003629D3">
              <w:rPr>
                <w:rFonts w:ascii="Arial" w:hAnsi="Arial" w:cs="Arial"/>
                <w:i/>
              </w:rPr>
              <w:t xml:space="preserve"> (€)</w:t>
            </w:r>
          </w:p>
        </w:tc>
        <w:tc>
          <w:tcPr>
            <w:tcW w:w="1527" w:type="dxa"/>
            <w:tcBorders>
              <w:top w:val="nil"/>
              <w:left w:val="single" w:sz="2" w:space="0" w:color="808080" w:themeColor="background1" w:themeShade="80"/>
              <w:bottom w:val="nil"/>
              <w:right w:val="nil"/>
            </w:tcBorders>
            <w:shd w:val="clear" w:color="auto" w:fill="F2F2F2" w:themeFill="background1" w:themeFillShade="F2"/>
            <w:vAlign w:val="center"/>
          </w:tcPr>
          <w:p w14:paraId="7E3BD4B6" w14:textId="11A3CCF7" w:rsidR="002A7101" w:rsidRPr="002571F1" w:rsidRDefault="002A7101" w:rsidP="002A7101">
            <w:pPr>
              <w:pStyle w:val="ColorfulList-Accent11"/>
              <w:tabs>
                <w:tab w:val="left" w:pos="0"/>
                <w:tab w:val="left" w:pos="284"/>
              </w:tabs>
              <w:ind w:left="0" w:right="-90"/>
              <w:jc w:val="center"/>
              <w:rPr>
                <w:rFonts w:ascii="Arial" w:hAnsi="Arial" w:cs="Arial"/>
                <w:color w:val="FF0000"/>
                <w:lang w:val="el-GR"/>
              </w:rPr>
            </w:pPr>
            <w:r>
              <w:rPr>
                <w:rFonts w:ascii="Arial" w:hAnsi="Arial" w:cs="Arial"/>
                <w:color w:val="000000"/>
                <w:lang w:eastAsia="el-GR"/>
              </w:rPr>
              <w:t>0</w:t>
            </w:r>
            <w:r w:rsidR="00D91A31">
              <w:rPr>
                <w:rFonts w:ascii="Arial" w:hAnsi="Arial" w:cs="Arial"/>
                <w:color w:val="000000"/>
                <w:lang w:eastAsia="el-GR"/>
              </w:rPr>
              <w:t>,</w:t>
            </w:r>
            <w:r>
              <w:rPr>
                <w:rFonts w:ascii="Arial" w:hAnsi="Arial" w:cs="Arial"/>
                <w:color w:val="000000"/>
                <w:lang w:eastAsia="el-GR"/>
              </w:rPr>
              <w:t>6784</w:t>
            </w:r>
          </w:p>
        </w:tc>
        <w:tc>
          <w:tcPr>
            <w:tcW w:w="1481" w:type="dxa"/>
            <w:tcBorders>
              <w:top w:val="nil"/>
              <w:left w:val="nil"/>
              <w:bottom w:val="nil"/>
              <w:right w:val="nil"/>
            </w:tcBorders>
            <w:shd w:val="clear" w:color="auto" w:fill="F2F2F2" w:themeFill="background1" w:themeFillShade="F2"/>
            <w:vAlign w:val="center"/>
          </w:tcPr>
          <w:p w14:paraId="585C3E54" w14:textId="585D2BBC" w:rsidR="002A7101" w:rsidRPr="00852D23" w:rsidRDefault="002A7101" w:rsidP="002A7101">
            <w:pPr>
              <w:pStyle w:val="ColorfulList-Accent11"/>
              <w:tabs>
                <w:tab w:val="left" w:pos="0"/>
                <w:tab w:val="left" w:pos="284"/>
              </w:tabs>
              <w:ind w:left="0" w:right="-90"/>
              <w:jc w:val="center"/>
              <w:rPr>
                <w:rFonts w:ascii="Arial" w:hAnsi="Arial" w:cs="Arial"/>
                <w:color w:val="FF0000"/>
                <w:lang w:val="el-GR"/>
              </w:rPr>
            </w:pPr>
            <w:r>
              <w:rPr>
                <w:rFonts w:ascii="Arial" w:hAnsi="Arial" w:cs="Arial"/>
                <w:color w:val="000000"/>
                <w:lang w:eastAsia="el-GR"/>
              </w:rPr>
              <w:t>0</w:t>
            </w:r>
            <w:r w:rsidR="00D91A31">
              <w:rPr>
                <w:rFonts w:ascii="Arial" w:hAnsi="Arial" w:cs="Arial"/>
                <w:color w:val="000000"/>
                <w:lang w:eastAsia="el-GR"/>
              </w:rPr>
              <w:t>,</w:t>
            </w:r>
            <w:r>
              <w:rPr>
                <w:rFonts w:ascii="Arial" w:hAnsi="Arial" w:cs="Arial"/>
                <w:color w:val="000000"/>
                <w:lang w:eastAsia="el-GR"/>
              </w:rPr>
              <w:t>4863</w:t>
            </w:r>
          </w:p>
        </w:tc>
        <w:tc>
          <w:tcPr>
            <w:tcW w:w="1151" w:type="dxa"/>
            <w:tcBorders>
              <w:top w:val="nil"/>
              <w:left w:val="nil"/>
              <w:bottom w:val="nil"/>
              <w:right w:val="single" w:sz="2" w:space="0" w:color="808080" w:themeColor="background1" w:themeShade="80"/>
            </w:tcBorders>
            <w:shd w:val="clear" w:color="auto" w:fill="F2F2F2" w:themeFill="background1" w:themeFillShade="F2"/>
            <w:vAlign w:val="center"/>
          </w:tcPr>
          <w:p w14:paraId="65D0123A" w14:textId="519760CC" w:rsidR="002A7101" w:rsidRPr="00852D23" w:rsidRDefault="002A7101" w:rsidP="002A7101">
            <w:pPr>
              <w:pStyle w:val="ColorfulList-Accent11"/>
              <w:tabs>
                <w:tab w:val="left" w:pos="0"/>
                <w:tab w:val="left" w:pos="284"/>
              </w:tabs>
              <w:ind w:left="0" w:right="-90"/>
              <w:jc w:val="center"/>
              <w:rPr>
                <w:rFonts w:ascii="Arial" w:hAnsi="Arial" w:cs="Arial"/>
                <w:color w:val="FF0000"/>
                <w:lang w:val="el-GR"/>
              </w:rPr>
            </w:pPr>
            <w:r>
              <w:rPr>
                <w:rFonts w:ascii="Arial" w:hAnsi="Arial" w:cs="Arial"/>
                <w:color w:val="000000"/>
                <w:lang w:val="el-GR" w:eastAsia="el-GR"/>
              </w:rPr>
              <w:t>+39</w:t>
            </w:r>
            <w:r w:rsidR="00D91A31">
              <w:rPr>
                <w:rFonts w:ascii="Arial" w:hAnsi="Arial" w:cs="Arial"/>
                <w:color w:val="000000"/>
                <w:lang w:val="el-GR" w:eastAsia="el-GR"/>
              </w:rPr>
              <w:t>,</w:t>
            </w:r>
            <w:r>
              <w:rPr>
                <w:rFonts w:ascii="Arial" w:hAnsi="Arial" w:cs="Arial"/>
                <w:color w:val="000000"/>
                <w:lang w:val="el-GR" w:eastAsia="el-GR"/>
              </w:rPr>
              <w:t>5%</w:t>
            </w:r>
          </w:p>
        </w:tc>
        <w:tc>
          <w:tcPr>
            <w:tcW w:w="886" w:type="dxa"/>
            <w:tcBorders>
              <w:top w:val="nil"/>
              <w:left w:val="single" w:sz="2" w:space="0" w:color="808080" w:themeColor="background1" w:themeShade="80"/>
              <w:bottom w:val="nil"/>
              <w:right w:val="nil"/>
            </w:tcBorders>
            <w:shd w:val="clear" w:color="auto" w:fill="F2F2F2" w:themeFill="background1" w:themeFillShade="F2"/>
            <w:vAlign w:val="center"/>
          </w:tcPr>
          <w:p w14:paraId="7A58229E" w14:textId="5D1AC061" w:rsidR="002A7101" w:rsidRPr="00852D23" w:rsidRDefault="002A7101" w:rsidP="002A7101">
            <w:pPr>
              <w:pStyle w:val="ColorfulList-Accent11"/>
              <w:tabs>
                <w:tab w:val="left" w:pos="0"/>
                <w:tab w:val="left" w:pos="284"/>
              </w:tabs>
              <w:ind w:left="0" w:right="-90"/>
              <w:jc w:val="center"/>
              <w:rPr>
                <w:rFonts w:ascii="Arial" w:hAnsi="Arial" w:cs="Arial"/>
                <w:color w:val="FF0000"/>
                <w:lang w:val="el-GR"/>
              </w:rPr>
            </w:pPr>
            <w:r>
              <w:rPr>
                <w:rFonts w:ascii="Arial" w:hAnsi="Arial" w:cs="Arial"/>
                <w:color w:val="000000"/>
                <w:lang w:eastAsia="el-GR"/>
              </w:rPr>
              <w:t>1</w:t>
            </w:r>
            <w:r w:rsidR="00D91A31">
              <w:rPr>
                <w:rFonts w:ascii="Arial" w:hAnsi="Arial" w:cs="Arial"/>
                <w:color w:val="000000"/>
                <w:lang w:eastAsia="el-GR"/>
              </w:rPr>
              <w:t>,</w:t>
            </w:r>
            <w:r>
              <w:rPr>
                <w:rFonts w:ascii="Arial" w:hAnsi="Arial" w:cs="Arial"/>
                <w:color w:val="000000"/>
                <w:lang w:eastAsia="el-GR"/>
              </w:rPr>
              <w:t>3712</w:t>
            </w:r>
          </w:p>
        </w:tc>
        <w:tc>
          <w:tcPr>
            <w:tcW w:w="886" w:type="dxa"/>
            <w:tcBorders>
              <w:top w:val="nil"/>
              <w:left w:val="nil"/>
              <w:bottom w:val="nil"/>
              <w:right w:val="nil"/>
            </w:tcBorders>
            <w:shd w:val="clear" w:color="auto" w:fill="F2F2F2" w:themeFill="background1" w:themeFillShade="F2"/>
            <w:vAlign w:val="center"/>
          </w:tcPr>
          <w:p w14:paraId="223508A7" w14:textId="215566D5" w:rsidR="002A7101" w:rsidRPr="00852D23" w:rsidRDefault="002A7101" w:rsidP="002A7101">
            <w:pPr>
              <w:pStyle w:val="ColorfulList-Accent11"/>
              <w:tabs>
                <w:tab w:val="left" w:pos="0"/>
                <w:tab w:val="left" w:pos="284"/>
              </w:tabs>
              <w:ind w:left="0" w:right="-90"/>
              <w:jc w:val="center"/>
              <w:rPr>
                <w:rFonts w:ascii="Arial" w:hAnsi="Arial" w:cs="Arial"/>
                <w:color w:val="FF0000"/>
                <w:lang w:val="el-GR"/>
              </w:rPr>
            </w:pPr>
            <w:r>
              <w:rPr>
                <w:rFonts w:ascii="Arial" w:hAnsi="Arial" w:cs="Arial"/>
                <w:color w:val="000000"/>
                <w:lang w:eastAsia="el-GR"/>
              </w:rPr>
              <w:t>1</w:t>
            </w:r>
            <w:r w:rsidR="00D91A31">
              <w:rPr>
                <w:rFonts w:ascii="Arial" w:hAnsi="Arial" w:cs="Arial"/>
                <w:color w:val="000000"/>
                <w:lang w:eastAsia="el-GR"/>
              </w:rPr>
              <w:t>,</w:t>
            </w:r>
            <w:r>
              <w:rPr>
                <w:rFonts w:ascii="Arial" w:hAnsi="Arial" w:cs="Arial"/>
                <w:color w:val="000000"/>
                <w:lang w:eastAsia="el-GR"/>
              </w:rPr>
              <w:t>1194</w:t>
            </w:r>
          </w:p>
        </w:tc>
        <w:tc>
          <w:tcPr>
            <w:tcW w:w="900" w:type="dxa"/>
            <w:tcBorders>
              <w:top w:val="nil"/>
              <w:left w:val="nil"/>
              <w:bottom w:val="nil"/>
              <w:right w:val="nil"/>
            </w:tcBorders>
            <w:shd w:val="clear" w:color="auto" w:fill="F2F2F2" w:themeFill="background1" w:themeFillShade="F2"/>
            <w:vAlign w:val="center"/>
          </w:tcPr>
          <w:p w14:paraId="6799AEE1" w14:textId="6F00BEE5" w:rsidR="002A7101" w:rsidRPr="00852D23" w:rsidRDefault="002A7101" w:rsidP="002A7101">
            <w:pPr>
              <w:pStyle w:val="ColorfulList-Accent11"/>
              <w:tabs>
                <w:tab w:val="left" w:pos="0"/>
                <w:tab w:val="left" w:pos="284"/>
              </w:tabs>
              <w:ind w:left="0" w:right="-90"/>
              <w:jc w:val="center"/>
              <w:rPr>
                <w:rFonts w:ascii="Arial" w:hAnsi="Arial" w:cs="Arial"/>
                <w:color w:val="FF0000"/>
                <w:lang w:val="el-GR"/>
              </w:rPr>
            </w:pPr>
            <w:r>
              <w:rPr>
                <w:rFonts w:ascii="Arial" w:hAnsi="Arial" w:cs="Arial"/>
                <w:color w:val="000000"/>
                <w:lang w:val="el-GR" w:eastAsia="el-GR"/>
              </w:rPr>
              <w:t>+22</w:t>
            </w:r>
            <w:r w:rsidR="00D91A31">
              <w:rPr>
                <w:rFonts w:ascii="Arial" w:hAnsi="Arial" w:cs="Arial"/>
                <w:color w:val="000000"/>
                <w:lang w:val="el-GR" w:eastAsia="el-GR"/>
              </w:rPr>
              <w:t>,</w:t>
            </w:r>
            <w:r>
              <w:rPr>
                <w:rFonts w:ascii="Arial" w:hAnsi="Arial" w:cs="Arial"/>
                <w:color w:val="000000"/>
                <w:lang w:val="el-GR" w:eastAsia="el-GR"/>
              </w:rPr>
              <w:t>5%</w:t>
            </w:r>
          </w:p>
        </w:tc>
      </w:tr>
      <w:tr w:rsidR="00B4474B" w:rsidRPr="002571F1" w14:paraId="235618EF" w14:textId="77777777" w:rsidTr="00182978">
        <w:trPr>
          <w:trHeight w:val="298"/>
        </w:trPr>
        <w:tc>
          <w:tcPr>
            <w:tcW w:w="3657" w:type="dxa"/>
            <w:tcBorders>
              <w:top w:val="nil"/>
              <w:bottom w:val="nil"/>
              <w:right w:val="single" w:sz="2" w:space="0" w:color="808080" w:themeColor="background1" w:themeShade="80"/>
            </w:tcBorders>
            <w:shd w:val="clear" w:color="auto" w:fill="FFFFFF" w:themeFill="background1"/>
            <w:vAlign w:val="center"/>
          </w:tcPr>
          <w:p w14:paraId="07877E57" w14:textId="67EF3EB5" w:rsidR="002A7101" w:rsidRPr="00927497" w:rsidRDefault="00927497" w:rsidP="00927497">
            <w:pPr>
              <w:pStyle w:val="ColorfulList-Accent11"/>
              <w:tabs>
                <w:tab w:val="left" w:pos="0"/>
                <w:tab w:val="left" w:pos="284"/>
              </w:tabs>
              <w:ind w:left="0" w:right="-90"/>
              <w:rPr>
                <w:rFonts w:ascii="Arial" w:hAnsi="Arial" w:cs="Arial"/>
                <w:i/>
                <w:color w:val="000000" w:themeColor="text1"/>
                <w:lang w:val="el-GR"/>
              </w:rPr>
            </w:pPr>
            <w:r w:rsidRPr="003629D3">
              <w:rPr>
                <w:rFonts w:ascii="Arial" w:hAnsi="Arial" w:cs="Arial"/>
                <w:lang w:val="el-GR"/>
              </w:rPr>
              <w:t>Προσαρμοσμένα Κέρδη κατανεμημένα στους μετόχους της Εταιρείας</w:t>
            </w:r>
          </w:p>
        </w:tc>
        <w:tc>
          <w:tcPr>
            <w:tcW w:w="1527" w:type="dxa"/>
            <w:tcBorders>
              <w:top w:val="nil"/>
              <w:left w:val="single" w:sz="2" w:space="0" w:color="808080" w:themeColor="background1" w:themeShade="80"/>
              <w:bottom w:val="nil"/>
              <w:right w:val="nil"/>
            </w:tcBorders>
            <w:shd w:val="clear" w:color="auto" w:fill="FFFFFF" w:themeFill="background1"/>
            <w:vAlign w:val="center"/>
          </w:tcPr>
          <w:p w14:paraId="740690CA" w14:textId="77F106A4" w:rsidR="002A7101" w:rsidRPr="002571F1" w:rsidRDefault="002A7101" w:rsidP="002A7101">
            <w:pPr>
              <w:pStyle w:val="ColorfulList-Accent11"/>
              <w:tabs>
                <w:tab w:val="left" w:pos="0"/>
                <w:tab w:val="left" w:pos="284"/>
              </w:tabs>
              <w:ind w:left="0" w:right="-90"/>
              <w:jc w:val="center"/>
              <w:rPr>
                <w:rFonts w:ascii="Arial" w:hAnsi="Arial" w:cs="Arial"/>
                <w:i/>
                <w:color w:val="FF0000"/>
                <w:lang w:val="el-GR"/>
              </w:rPr>
            </w:pPr>
            <w:r>
              <w:rPr>
                <w:rFonts w:ascii="Arial" w:hAnsi="Arial" w:cs="Arial"/>
                <w:color w:val="000000"/>
                <w:lang w:eastAsia="el-GR"/>
              </w:rPr>
              <w:t>170</w:t>
            </w:r>
            <w:r w:rsidR="00D91A31">
              <w:rPr>
                <w:rFonts w:ascii="Arial" w:hAnsi="Arial" w:cs="Arial"/>
                <w:color w:val="000000"/>
                <w:lang w:eastAsia="el-GR"/>
              </w:rPr>
              <w:t>,</w:t>
            </w:r>
            <w:r>
              <w:rPr>
                <w:rFonts w:ascii="Arial" w:hAnsi="Arial" w:cs="Arial"/>
                <w:color w:val="000000"/>
                <w:lang w:eastAsia="el-GR"/>
              </w:rPr>
              <w:t>0</w:t>
            </w:r>
          </w:p>
        </w:tc>
        <w:tc>
          <w:tcPr>
            <w:tcW w:w="1481" w:type="dxa"/>
            <w:tcBorders>
              <w:top w:val="nil"/>
              <w:left w:val="nil"/>
              <w:bottom w:val="nil"/>
              <w:right w:val="nil"/>
            </w:tcBorders>
            <w:shd w:val="clear" w:color="auto" w:fill="FFFFFF" w:themeFill="background1"/>
            <w:vAlign w:val="center"/>
          </w:tcPr>
          <w:p w14:paraId="3AED96A2" w14:textId="22889067" w:rsidR="002A7101" w:rsidRPr="002571F1" w:rsidRDefault="002A7101" w:rsidP="002A7101">
            <w:pPr>
              <w:pStyle w:val="ColorfulList-Accent11"/>
              <w:tabs>
                <w:tab w:val="left" w:pos="0"/>
                <w:tab w:val="left" w:pos="284"/>
              </w:tabs>
              <w:ind w:left="0" w:right="-90"/>
              <w:jc w:val="center"/>
              <w:rPr>
                <w:rFonts w:ascii="Arial" w:hAnsi="Arial" w:cs="Arial"/>
                <w:i/>
                <w:color w:val="FF0000"/>
                <w:lang w:val="el-GR"/>
              </w:rPr>
            </w:pPr>
            <w:r>
              <w:rPr>
                <w:rFonts w:ascii="Arial" w:hAnsi="Arial" w:cs="Arial"/>
                <w:color w:val="000000"/>
                <w:lang w:eastAsia="el-GR"/>
              </w:rPr>
              <w:t>173</w:t>
            </w:r>
            <w:r w:rsidR="00D91A31">
              <w:rPr>
                <w:rFonts w:ascii="Arial" w:hAnsi="Arial" w:cs="Arial"/>
                <w:color w:val="000000"/>
                <w:lang w:eastAsia="el-GR"/>
              </w:rPr>
              <w:t>,</w:t>
            </w:r>
            <w:r>
              <w:rPr>
                <w:rFonts w:ascii="Arial" w:hAnsi="Arial" w:cs="Arial"/>
                <w:color w:val="000000"/>
                <w:lang w:eastAsia="el-GR"/>
              </w:rPr>
              <w:t>5</w:t>
            </w:r>
          </w:p>
        </w:tc>
        <w:tc>
          <w:tcPr>
            <w:tcW w:w="1151" w:type="dxa"/>
            <w:tcBorders>
              <w:top w:val="nil"/>
              <w:left w:val="nil"/>
              <w:bottom w:val="nil"/>
              <w:right w:val="single" w:sz="2" w:space="0" w:color="808080" w:themeColor="background1" w:themeShade="80"/>
            </w:tcBorders>
            <w:shd w:val="clear" w:color="auto" w:fill="FFFFFF" w:themeFill="background1"/>
            <w:vAlign w:val="center"/>
          </w:tcPr>
          <w:p w14:paraId="47B8AB6E" w14:textId="05635A2C" w:rsidR="002A7101" w:rsidRPr="002571F1" w:rsidRDefault="002A7101" w:rsidP="002A7101">
            <w:pPr>
              <w:pStyle w:val="ColorfulList-Accent11"/>
              <w:tabs>
                <w:tab w:val="left" w:pos="0"/>
                <w:tab w:val="left" w:pos="284"/>
              </w:tabs>
              <w:ind w:left="0" w:right="-90"/>
              <w:jc w:val="center"/>
              <w:rPr>
                <w:rFonts w:ascii="Arial" w:hAnsi="Arial" w:cs="Arial"/>
                <w:i/>
                <w:color w:val="FF0000"/>
              </w:rPr>
            </w:pPr>
            <w:r>
              <w:rPr>
                <w:rFonts w:ascii="Arial" w:hAnsi="Arial" w:cs="Arial"/>
                <w:color w:val="000000"/>
                <w:lang w:eastAsia="el-GR"/>
              </w:rPr>
              <w:t>-2</w:t>
            </w:r>
            <w:r w:rsidR="00D91A31">
              <w:rPr>
                <w:rFonts w:ascii="Arial" w:hAnsi="Arial" w:cs="Arial"/>
                <w:color w:val="000000"/>
                <w:lang w:eastAsia="el-GR"/>
              </w:rPr>
              <w:t>,</w:t>
            </w:r>
            <w:r>
              <w:rPr>
                <w:rFonts w:ascii="Arial" w:hAnsi="Arial" w:cs="Arial"/>
                <w:color w:val="000000"/>
                <w:lang w:eastAsia="el-GR"/>
              </w:rPr>
              <w:t>0%</w:t>
            </w:r>
          </w:p>
        </w:tc>
        <w:tc>
          <w:tcPr>
            <w:tcW w:w="886" w:type="dxa"/>
            <w:tcBorders>
              <w:top w:val="nil"/>
              <w:left w:val="single" w:sz="2" w:space="0" w:color="808080" w:themeColor="background1" w:themeShade="80"/>
              <w:bottom w:val="nil"/>
              <w:right w:val="nil"/>
            </w:tcBorders>
            <w:shd w:val="clear" w:color="auto" w:fill="FFFFFF" w:themeFill="background1"/>
            <w:vAlign w:val="center"/>
          </w:tcPr>
          <w:p w14:paraId="129567FE" w14:textId="0809F14D" w:rsidR="002A7101" w:rsidRPr="002571F1" w:rsidRDefault="002A7101" w:rsidP="002A7101">
            <w:pPr>
              <w:pStyle w:val="ColorfulList-Accent11"/>
              <w:tabs>
                <w:tab w:val="left" w:pos="0"/>
                <w:tab w:val="left" w:pos="284"/>
              </w:tabs>
              <w:ind w:left="0" w:right="-90"/>
              <w:jc w:val="center"/>
              <w:rPr>
                <w:rFonts w:ascii="Arial" w:hAnsi="Arial" w:cs="Arial"/>
                <w:i/>
                <w:iCs/>
                <w:color w:val="FF0000"/>
              </w:rPr>
            </w:pPr>
            <w:r>
              <w:rPr>
                <w:rFonts w:ascii="Arial" w:hAnsi="Arial" w:cs="Arial"/>
                <w:color w:val="000000"/>
                <w:lang w:eastAsia="el-GR"/>
              </w:rPr>
              <w:t>469</w:t>
            </w:r>
            <w:r w:rsidR="00D91A31">
              <w:rPr>
                <w:rFonts w:ascii="Arial" w:hAnsi="Arial" w:cs="Arial"/>
                <w:color w:val="000000"/>
                <w:lang w:eastAsia="el-GR"/>
              </w:rPr>
              <w:t>,</w:t>
            </w:r>
            <w:r>
              <w:rPr>
                <w:rFonts w:ascii="Arial" w:hAnsi="Arial" w:cs="Arial"/>
                <w:color w:val="000000"/>
                <w:lang w:eastAsia="el-GR"/>
              </w:rPr>
              <w:t>9</w:t>
            </w:r>
          </w:p>
        </w:tc>
        <w:tc>
          <w:tcPr>
            <w:tcW w:w="886" w:type="dxa"/>
            <w:tcBorders>
              <w:top w:val="nil"/>
              <w:left w:val="nil"/>
              <w:bottom w:val="nil"/>
              <w:right w:val="nil"/>
            </w:tcBorders>
            <w:shd w:val="clear" w:color="auto" w:fill="FFFFFF" w:themeFill="background1"/>
            <w:vAlign w:val="center"/>
          </w:tcPr>
          <w:p w14:paraId="08C32443" w14:textId="043392BE" w:rsidR="002A7101" w:rsidRPr="002571F1" w:rsidRDefault="002A7101" w:rsidP="002A7101">
            <w:pPr>
              <w:pStyle w:val="ColorfulList-Accent11"/>
              <w:tabs>
                <w:tab w:val="left" w:pos="0"/>
                <w:tab w:val="left" w:pos="284"/>
              </w:tabs>
              <w:ind w:left="0" w:right="-90"/>
              <w:jc w:val="center"/>
              <w:rPr>
                <w:rFonts w:ascii="Arial" w:hAnsi="Arial" w:cs="Arial"/>
                <w:i/>
                <w:iCs/>
                <w:color w:val="FF0000"/>
              </w:rPr>
            </w:pPr>
            <w:r>
              <w:rPr>
                <w:rFonts w:ascii="Arial" w:hAnsi="Arial" w:cs="Arial"/>
                <w:color w:val="000000"/>
                <w:lang w:eastAsia="el-GR"/>
              </w:rPr>
              <w:t>458</w:t>
            </w:r>
            <w:r w:rsidR="00D91A31">
              <w:rPr>
                <w:rFonts w:ascii="Arial" w:hAnsi="Arial" w:cs="Arial"/>
                <w:color w:val="000000"/>
                <w:lang w:eastAsia="el-GR"/>
              </w:rPr>
              <w:t>,</w:t>
            </w:r>
            <w:r>
              <w:rPr>
                <w:rFonts w:ascii="Arial" w:hAnsi="Arial" w:cs="Arial"/>
                <w:color w:val="000000"/>
                <w:lang w:eastAsia="el-GR"/>
              </w:rPr>
              <w:t>7</w:t>
            </w:r>
          </w:p>
        </w:tc>
        <w:tc>
          <w:tcPr>
            <w:tcW w:w="900" w:type="dxa"/>
            <w:tcBorders>
              <w:top w:val="nil"/>
              <w:left w:val="nil"/>
              <w:bottom w:val="nil"/>
              <w:right w:val="nil"/>
            </w:tcBorders>
            <w:shd w:val="clear" w:color="auto" w:fill="FFFFFF" w:themeFill="background1"/>
            <w:vAlign w:val="center"/>
          </w:tcPr>
          <w:p w14:paraId="4152DF87" w14:textId="63B3A05B" w:rsidR="002A7101" w:rsidRPr="002571F1" w:rsidRDefault="002A7101" w:rsidP="002A7101">
            <w:pPr>
              <w:pStyle w:val="ColorfulList-Accent11"/>
              <w:tabs>
                <w:tab w:val="left" w:pos="0"/>
                <w:tab w:val="left" w:pos="284"/>
              </w:tabs>
              <w:ind w:left="0" w:right="-90"/>
              <w:jc w:val="center"/>
              <w:rPr>
                <w:rFonts w:ascii="Arial" w:hAnsi="Arial" w:cs="Arial"/>
                <w:i/>
                <w:iCs/>
                <w:color w:val="FF0000"/>
              </w:rPr>
            </w:pPr>
            <w:r>
              <w:rPr>
                <w:rFonts w:ascii="Arial" w:hAnsi="Arial" w:cs="Arial"/>
                <w:color w:val="000000"/>
                <w:lang w:eastAsia="el-GR"/>
              </w:rPr>
              <w:t>+2</w:t>
            </w:r>
            <w:r w:rsidR="00D91A31">
              <w:rPr>
                <w:rFonts w:ascii="Arial" w:hAnsi="Arial" w:cs="Arial"/>
                <w:color w:val="000000"/>
                <w:lang w:eastAsia="el-GR"/>
              </w:rPr>
              <w:t>,</w:t>
            </w:r>
            <w:r>
              <w:rPr>
                <w:rFonts w:ascii="Arial" w:hAnsi="Arial" w:cs="Arial"/>
                <w:color w:val="000000"/>
                <w:lang w:eastAsia="el-GR"/>
              </w:rPr>
              <w:t>4%</w:t>
            </w:r>
          </w:p>
        </w:tc>
      </w:tr>
      <w:tr w:rsidR="00B4474B" w:rsidRPr="002571F1" w14:paraId="4BFD0ABA" w14:textId="77777777" w:rsidTr="00182978">
        <w:trPr>
          <w:trHeight w:val="286"/>
        </w:trPr>
        <w:tc>
          <w:tcPr>
            <w:tcW w:w="3657" w:type="dxa"/>
            <w:tcBorders>
              <w:top w:val="nil"/>
              <w:bottom w:val="nil"/>
              <w:right w:val="single" w:sz="2" w:space="0" w:color="808080" w:themeColor="background1" w:themeShade="80"/>
            </w:tcBorders>
            <w:shd w:val="clear" w:color="auto" w:fill="F2F2F2" w:themeFill="background1" w:themeFillShade="F2"/>
            <w:vAlign w:val="center"/>
          </w:tcPr>
          <w:p w14:paraId="390748F7" w14:textId="00A1B003" w:rsidR="002A7101" w:rsidRPr="00DB61A4" w:rsidRDefault="002A7101" w:rsidP="002A7101">
            <w:pPr>
              <w:pStyle w:val="ColorfulList-Accent11"/>
              <w:tabs>
                <w:tab w:val="left" w:pos="0"/>
                <w:tab w:val="left" w:pos="284"/>
              </w:tabs>
              <w:ind w:left="0" w:right="-90"/>
              <w:rPr>
                <w:rFonts w:ascii="Arial" w:hAnsi="Arial" w:cs="Arial"/>
                <w:i/>
                <w:color w:val="000000" w:themeColor="text1"/>
                <w:lang w:val="el-GR"/>
              </w:rPr>
            </w:pPr>
            <w:r w:rsidRPr="003629D3">
              <w:rPr>
                <w:rFonts w:ascii="Arial" w:hAnsi="Arial" w:cs="Arial"/>
                <w:lang w:val="el-GR"/>
              </w:rPr>
              <w:t>Επενδύσεις σε πάγια περιουσιακά στοιχεία</w:t>
            </w:r>
          </w:p>
        </w:tc>
        <w:tc>
          <w:tcPr>
            <w:tcW w:w="1527" w:type="dxa"/>
            <w:tcBorders>
              <w:top w:val="nil"/>
              <w:left w:val="single" w:sz="2" w:space="0" w:color="808080" w:themeColor="background1" w:themeShade="80"/>
              <w:bottom w:val="nil"/>
              <w:right w:val="nil"/>
            </w:tcBorders>
            <w:shd w:val="clear" w:color="auto" w:fill="F2F2F2" w:themeFill="background1" w:themeFillShade="F2"/>
            <w:vAlign w:val="center"/>
          </w:tcPr>
          <w:p w14:paraId="6786F1C9" w14:textId="29E2D842" w:rsidR="002A7101" w:rsidRPr="00852D23" w:rsidRDefault="002A7101" w:rsidP="002A7101">
            <w:pPr>
              <w:pStyle w:val="ColorfulList-Accent11"/>
              <w:tabs>
                <w:tab w:val="left" w:pos="0"/>
                <w:tab w:val="left" w:pos="284"/>
              </w:tabs>
              <w:ind w:left="0" w:right="-90"/>
              <w:jc w:val="center"/>
              <w:rPr>
                <w:rFonts w:ascii="Arial" w:hAnsi="Arial" w:cs="Arial"/>
                <w:color w:val="FF0000"/>
                <w:lang w:val="el-GR"/>
              </w:rPr>
            </w:pPr>
            <w:r>
              <w:rPr>
                <w:rFonts w:ascii="Arial" w:hAnsi="Arial" w:cs="Arial"/>
                <w:color w:val="000000"/>
                <w:lang w:eastAsia="el-GR"/>
              </w:rPr>
              <w:t>149</w:t>
            </w:r>
            <w:r w:rsidR="00D91A31">
              <w:rPr>
                <w:rFonts w:ascii="Arial" w:hAnsi="Arial" w:cs="Arial"/>
                <w:color w:val="000000"/>
                <w:lang w:eastAsia="el-GR"/>
              </w:rPr>
              <w:t>,</w:t>
            </w:r>
            <w:r>
              <w:rPr>
                <w:rFonts w:ascii="Arial" w:hAnsi="Arial" w:cs="Arial"/>
                <w:color w:val="000000"/>
                <w:lang w:eastAsia="el-GR"/>
              </w:rPr>
              <w:t>8</w:t>
            </w:r>
          </w:p>
        </w:tc>
        <w:tc>
          <w:tcPr>
            <w:tcW w:w="1481" w:type="dxa"/>
            <w:tcBorders>
              <w:top w:val="nil"/>
              <w:left w:val="nil"/>
              <w:bottom w:val="nil"/>
              <w:right w:val="nil"/>
            </w:tcBorders>
            <w:shd w:val="clear" w:color="auto" w:fill="F2F2F2" w:themeFill="background1" w:themeFillShade="F2"/>
            <w:vAlign w:val="center"/>
          </w:tcPr>
          <w:p w14:paraId="3EF6A5DA" w14:textId="56A8E941" w:rsidR="002A7101" w:rsidRPr="00852D23" w:rsidRDefault="002A7101" w:rsidP="002A7101">
            <w:pPr>
              <w:pStyle w:val="ColorfulList-Accent11"/>
              <w:tabs>
                <w:tab w:val="left" w:pos="0"/>
                <w:tab w:val="left" w:pos="284"/>
              </w:tabs>
              <w:ind w:left="0" w:right="-90"/>
              <w:jc w:val="center"/>
              <w:rPr>
                <w:rFonts w:ascii="Arial" w:hAnsi="Arial" w:cs="Arial"/>
                <w:color w:val="FF0000"/>
                <w:lang w:val="el-GR"/>
              </w:rPr>
            </w:pPr>
            <w:r>
              <w:rPr>
                <w:rFonts w:ascii="Arial" w:hAnsi="Arial" w:cs="Arial"/>
                <w:color w:val="000000"/>
                <w:lang w:eastAsia="el-GR"/>
              </w:rPr>
              <w:t>152</w:t>
            </w:r>
            <w:r w:rsidR="00D91A31">
              <w:rPr>
                <w:rFonts w:ascii="Arial" w:hAnsi="Arial" w:cs="Arial"/>
                <w:color w:val="000000"/>
                <w:lang w:eastAsia="el-GR"/>
              </w:rPr>
              <w:t>,</w:t>
            </w:r>
            <w:r>
              <w:rPr>
                <w:rFonts w:ascii="Arial" w:hAnsi="Arial" w:cs="Arial"/>
                <w:color w:val="000000"/>
                <w:lang w:eastAsia="el-GR"/>
              </w:rPr>
              <w:t>2</w:t>
            </w:r>
          </w:p>
        </w:tc>
        <w:tc>
          <w:tcPr>
            <w:tcW w:w="1151" w:type="dxa"/>
            <w:tcBorders>
              <w:top w:val="nil"/>
              <w:left w:val="nil"/>
              <w:bottom w:val="nil"/>
              <w:right w:val="single" w:sz="2" w:space="0" w:color="808080" w:themeColor="background1" w:themeShade="80"/>
            </w:tcBorders>
            <w:shd w:val="clear" w:color="auto" w:fill="F2F2F2" w:themeFill="background1" w:themeFillShade="F2"/>
            <w:vAlign w:val="center"/>
          </w:tcPr>
          <w:p w14:paraId="17458360" w14:textId="6192091F" w:rsidR="002A7101" w:rsidRPr="00852D23" w:rsidRDefault="002A7101" w:rsidP="002A7101">
            <w:pPr>
              <w:pStyle w:val="ColorfulList-Accent11"/>
              <w:tabs>
                <w:tab w:val="left" w:pos="0"/>
                <w:tab w:val="left" w:pos="284"/>
              </w:tabs>
              <w:ind w:left="0" w:right="-90"/>
              <w:jc w:val="center"/>
              <w:rPr>
                <w:rFonts w:ascii="Arial" w:hAnsi="Arial" w:cs="Arial"/>
                <w:i/>
                <w:color w:val="FF0000"/>
                <w:lang w:val="el-GR"/>
              </w:rPr>
            </w:pPr>
            <w:r>
              <w:rPr>
                <w:rFonts w:ascii="Arial" w:hAnsi="Arial" w:cs="Arial"/>
                <w:color w:val="000000"/>
                <w:lang w:eastAsia="el-GR"/>
              </w:rPr>
              <w:t>-1</w:t>
            </w:r>
            <w:r w:rsidR="00D91A31">
              <w:rPr>
                <w:rFonts w:ascii="Arial" w:hAnsi="Arial" w:cs="Arial"/>
                <w:color w:val="000000"/>
                <w:lang w:eastAsia="el-GR"/>
              </w:rPr>
              <w:t>,</w:t>
            </w:r>
            <w:r>
              <w:rPr>
                <w:rFonts w:ascii="Arial" w:hAnsi="Arial" w:cs="Arial"/>
                <w:color w:val="000000"/>
                <w:lang w:eastAsia="el-GR"/>
              </w:rPr>
              <w:t>6%</w:t>
            </w:r>
          </w:p>
        </w:tc>
        <w:tc>
          <w:tcPr>
            <w:tcW w:w="886" w:type="dxa"/>
            <w:tcBorders>
              <w:top w:val="nil"/>
              <w:left w:val="single" w:sz="2" w:space="0" w:color="808080" w:themeColor="background1" w:themeShade="80"/>
              <w:bottom w:val="nil"/>
              <w:right w:val="nil"/>
            </w:tcBorders>
            <w:shd w:val="clear" w:color="auto" w:fill="F2F2F2" w:themeFill="background1" w:themeFillShade="F2"/>
            <w:vAlign w:val="center"/>
          </w:tcPr>
          <w:p w14:paraId="60CDB1EB" w14:textId="30BB7B45" w:rsidR="002A7101" w:rsidRPr="00852D23" w:rsidRDefault="002A7101" w:rsidP="002A7101">
            <w:pPr>
              <w:pStyle w:val="ColorfulList-Accent11"/>
              <w:tabs>
                <w:tab w:val="left" w:pos="0"/>
                <w:tab w:val="left" w:pos="284"/>
              </w:tabs>
              <w:ind w:left="0" w:right="-90"/>
              <w:jc w:val="center"/>
              <w:rPr>
                <w:rFonts w:ascii="Arial" w:hAnsi="Arial" w:cs="Arial"/>
                <w:color w:val="000000"/>
                <w:lang w:val="el-GR"/>
              </w:rPr>
            </w:pPr>
            <w:r>
              <w:rPr>
                <w:rFonts w:ascii="Arial" w:hAnsi="Arial" w:cs="Arial"/>
                <w:color w:val="000000"/>
                <w:lang w:eastAsia="el-GR"/>
              </w:rPr>
              <w:t>437</w:t>
            </w:r>
            <w:r w:rsidR="00D91A31">
              <w:rPr>
                <w:rFonts w:ascii="Arial" w:hAnsi="Arial" w:cs="Arial"/>
                <w:color w:val="000000"/>
                <w:lang w:eastAsia="el-GR"/>
              </w:rPr>
              <w:t>,</w:t>
            </w:r>
            <w:r>
              <w:rPr>
                <w:rFonts w:ascii="Arial" w:hAnsi="Arial" w:cs="Arial"/>
                <w:color w:val="000000"/>
                <w:lang w:eastAsia="el-GR"/>
              </w:rPr>
              <w:t>1</w:t>
            </w:r>
          </w:p>
        </w:tc>
        <w:tc>
          <w:tcPr>
            <w:tcW w:w="886" w:type="dxa"/>
            <w:tcBorders>
              <w:top w:val="nil"/>
              <w:left w:val="nil"/>
              <w:bottom w:val="nil"/>
              <w:right w:val="nil"/>
            </w:tcBorders>
            <w:shd w:val="clear" w:color="auto" w:fill="F2F2F2" w:themeFill="background1" w:themeFillShade="F2"/>
            <w:vAlign w:val="center"/>
          </w:tcPr>
          <w:p w14:paraId="4E2F7F7A" w14:textId="51634B21" w:rsidR="002A7101" w:rsidRPr="00852D23" w:rsidRDefault="002A7101" w:rsidP="002A7101">
            <w:pPr>
              <w:pStyle w:val="ColorfulList-Accent11"/>
              <w:tabs>
                <w:tab w:val="left" w:pos="0"/>
                <w:tab w:val="left" w:pos="284"/>
              </w:tabs>
              <w:ind w:left="0" w:right="-90"/>
              <w:jc w:val="center"/>
              <w:rPr>
                <w:rFonts w:ascii="Arial" w:hAnsi="Arial" w:cs="Arial"/>
                <w:color w:val="000000"/>
                <w:lang w:val="el-GR"/>
              </w:rPr>
            </w:pPr>
            <w:r>
              <w:rPr>
                <w:rFonts w:ascii="Arial" w:hAnsi="Arial" w:cs="Arial"/>
                <w:color w:val="000000"/>
                <w:lang w:eastAsia="el-GR"/>
              </w:rPr>
              <w:t>404</w:t>
            </w:r>
            <w:r w:rsidR="00D91A31">
              <w:rPr>
                <w:rFonts w:ascii="Arial" w:hAnsi="Arial" w:cs="Arial"/>
                <w:color w:val="000000"/>
                <w:lang w:eastAsia="el-GR"/>
              </w:rPr>
              <w:t>,</w:t>
            </w:r>
            <w:r>
              <w:rPr>
                <w:rFonts w:ascii="Arial" w:hAnsi="Arial" w:cs="Arial"/>
                <w:color w:val="000000"/>
                <w:lang w:eastAsia="el-GR"/>
              </w:rPr>
              <w:t>1</w:t>
            </w:r>
          </w:p>
        </w:tc>
        <w:tc>
          <w:tcPr>
            <w:tcW w:w="900" w:type="dxa"/>
            <w:tcBorders>
              <w:top w:val="nil"/>
              <w:left w:val="nil"/>
              <w:bottom w:val="nil"/>
              <w:right w:val="nil"/>
            </w:tcBorders>
            <w:shd w:val="clear" w:color="auto" w:fill="F2F2F2" w:themeFill="background1" w:themeFillShade="F2"/>
            <w:vAlign w:val="center"/>
          </w:tcPr>
          <w:p w14:paraId="0F3A55DF" w14:textId="42F14C75" w:rsidR="002A7101" w:rsidRPr="00852D23" w:rsidRDefault="002A7101" w:rsidP="002A7101">
            <w:pPr>
              <w:pStyle w:val="ColorfulList-Accent11"/>
              <w:tabs>
                <w:tab w:val="left" w:pos="0"/>
                <w:tab w:val="left" w:pos="284"/>
              </w:tabs>
              <w:ind w:left="0" w:right="-90"/>
              <w:jc w:val="center"/>
              <w:rPr>
                <w:rFonts w:ascii="Arial" w:hAnsi="Arial" w:cs="Arial"/>
                <w:color w:val="FF0000"/>
                <w:lang w:val="el-GR"/>
              </w:rPr>
            </w:pPr>
            <w:r>
              <w:rPr>
                <w:rFonts w:ascii="Arial" w:hAnsi="Arial" w:cs="Arial"/>
                <w:color w:val="000000"/>
                <w:lang w:eastAsia="el-GR"/>
              </w:rPr>
              <w:t>+8</w:t>
            </w:r>
            <w:r w:rsidR="00D91A31">
              <w:rPr>
                <w:rFonts w:ascii="Arial" w:hAnsi="Arial" w:cs="Arial"/>
                <w:color w:val="000000"/>
                <w:lang w:eastAsia="el-GR"/>
              </w:rPr>
              <w:t>,</w:t>
            </w:r>
            <w:r>
              <w:rPr>
                <w:rFonts w:ascii="Arial" w:hAnsi="Arial" w:cs="Arial"/>
                <w:color w:val="000000"/>
                <w:lang w:eastAsia="el-GR"/>
              </w:rPr>
              <w:t>2%</w:t>
            </w:r>
          </w:p>
        </w:tc>
      </w:tr>
      <w:tr w:rsidR="00B4474B" w:rsidRPr="002571F1" w14:paraId="78DE3E72" w14:textId="77777777" w:rsidTr="00182978">
        <w:trPr>
          <w:trHeight w:val="286"/>
        </w:trPr>
        <w:tc>
          <w:tcPr>
            <w:tcW w:w="3657" w:type="dxa"/>
            <w:tcBorders>
              <w:top w:val="nil"/>
              <w:bottom w:val="nil"/>
              <w:right w:val="single" w:sz="2" w:space="0" w:color="808080" w:themeColor="background1" w:themeShade="80"/>
            </w:tcBorders>
            <w:shd w:val="clear" w:color="auto" w:fill="FFFFFF" w:themeFill="background1"/>
            <w:vAlign w:val="center"/>
          </w:tcPr>
          <w:p w14:paraId="45915CAF" w14:textId="0E2624BC" w:rsidR="002A7101" w:rsidRPr="00CC5811" w:rsidRDefault="002A7101" w:rsidP="002A7101">
            <w:pPr>
              <w:pStyle w:val="ColorfulList-Accent11"/>
              <w:tabs>
                <w:tab w:val="left" w:pos="0"/>
                <w:tab w:val="left" w:pos="284"/>
              </w:tabs>
              <w:ind w:left="0" w:right="-90"/>
              <w:rPr>
                <w:rFonts w:ascii="Arial" w:hAnsi="Arial" w:cs="Arial"/>
                <w:i/>
                <w:color w:val="000000" w:themeColor="text1"/>
              </w:rPr>
            </w:pPr>
            <w:proofErr w:type="spellStart"/>
            <w:r w:rsidRPr="003629D3">
              <w:rPr>
                <w:rFonts w:ascii="Arial" w:hAnsi="Arial" w:cs="Arial"/>
              </w:rPr>
              <w:t>Ελεύθερες</w:t>
            </w:r>
            <w:proofErr w:type="spellEnd"/>
            <w:r w:rsidRPr="003629D3">
              <w:rPr>
                <w:rFonts w:ascii="Arial" w:hAnsi="Arial" w:cs="Arial"/>
              </w:rPr>
              <w:t xml:space="preserve"> Τα</w:t>
            </w:r>
            <w:proofErr w:type="spellStart"/>
            <w:r w:rsidRPr="003629D3">
              <w:rPr>
                <w:rFonts w:ascii="Arial" w:hAnsi="Arial" w:cs="Arial"/>
              </w:rPr>
              <w:t>μει</w:t>
            </w:r>
            <w:proofErr w:type="spellEnd"/>
            <w:r w:rsidRPr="003629D3">
              <w:rPr>
                <w:rFonts w:ascii="Arial" w:hAnsi="Arial" w:cs="Arial"/>
              </w:rPr>
              <w:t xml:space="preserve">ακές </w:t>
            </w:r>
            <w:proofErr w:type="spellStart"/>
            <w:r w:rsidRPr="003629D3">
              <w:rPr>
                <w:rFonts w:ascii="Arial" w:hAnsi="Arial" w:cs="Arial"/>
              </w:rPr>
              <w:t>Ροές</w:t>
            </w:r>
            <w:proofErr w:type="spellEnd"/>
            <w:r w:rsidRPr="003629D3">
              <w:rPr>
                <w:rFonts w:ascii="Arial" w:hAnsi="Arial" w:cs="Arial"/>
              </w:rPr>
              <w:t xml:space="preserve"> (AL) </w:t>
            </w:r>
          </w:p>
        </w:tc>
        <w:tc>
          <w:tcPr>
            <w:tcW w:w="1527" w:type="dxa"/>
            <w:tcBorders>
              <w:top w:val="nil"/>
              <w:left w:val="single" w:sz="2" w:space="0" w:color="808080" w:themeColor="background1" w:themeShade="80"/>
              <w:bottom w:val="nil"/>
              <w:right w:val="nil"/>
            </w:tcBorders>
            <w:shd w:val="clear" w:color="auto" w:fill="FFFFFF" w:themeFill="background1"/>
            <w:vAlign w:val="center"/>
          </w:tcPr>
          <w:p w14:paraId="749D7A9D" w14:textId="61B03716" w:rsidR="002A7101" w:rsidRPr="002571F1" w:rsidRDefault="002A7101" w:rsidP="002A7101">
            <w:pPr>
              <w:pStyle w:val="ColorfulList-Accent11"/>
              <w:tabs>
                <w:tab w:val="left" w:pos="0"/>
                <w:tab w:val="left" w:pos="284"/>
              </w:tabs>
              <w:ind w:left="0" w:right="-90"/>
              <w:jc w:val="center"/>
              <w:rPr>
                <w:rFonts w:ascii="Arial" w:hAnsi="Arial" w:cs="Arial"/>
                <w:color w:val="FF0000"/>
              </w:rPr>
            </w:pPr>
            <w:r>
              <w:rPr>
                <w:rFonts w:ascii="Arial" w:hAnsi="Arial" w:cs="Arial"/>
                <w:color w:val="000000"/>
                <w:lang w:eastAsia="el-GR"/>
              </w:rPr>
              <w:t>107</w:t>
            </w:r>
            <w:r w:rsidR="00D91A31">
              <w:rPr>
                <w:rFonts w:ascii="Arial" w:hAnsi="Arial" w:cs="Arial"/>
                <w:color w:val="000000"/>
                <w:lang w:eastAsia="el-GR"/>
              </w:rPr>
              <w:t>,</w:t>
            </w:r>
            <w:r>
              <w:rPr>
                <w:rFonts w:ascii="Arial" w:hAnsi="Arial" w:cs="Arial"/>
                <w:color w:val="000000"/>
                <w:lang w:eastAsia="el-GR"/>
              </w:rPr>
              <w:t>6</w:t>
            </w:r>
          </w:p>
        </w:tc>
        <w:tc>
          <w:tcPr>
            <w:tcW w:w="1481" w:type="dxa"/>
            <w:tcBorders>
              <w:top w:val="nil"/>
              <w:left w:val="nil"/>
              <w:bottom w:val="nil"/>
              <w:right w:val="nil"/>
            </w:tcBorders>
            <w:shd w:val="clear" w:color="auto" w:fill="FFFFFF" w:themeFill="background1"/>
            <w:vAlign w:val="center"/>
          </w:tcPr>
          <w:p w14:paraId="5875DF75" w14:textId="2BDD0D46" w:rsidR="002A7101" w:rsidRPr="002571F1" w:rsidRDefault="002A7101" w:rsidP="002A7101">
            <w:pPr>
              <w:pStyle w:val="ColorfulList-Accent11"/>
              <w:tabs>
                <w:tab w:val="left" w:pos="0"/>
                <w:tab w:val="left" w:pos="284"/>
              </w:tabs>
              <w:ind w:left="0" w:right="-90"/>
              <w:jc w:val="center"/>
              <w:rPr>
                <w:rFonts w:ascii="Arial" w:hAnsi="Arial" w:cs="Arial"/>
                <w:color w:val="FF0000"/>
              </w:rPr>
            </w:pPr>
            <w:r>
              <w:rPr>
                <w:rFonts w:ascii="Arial" w:hAnsi="Arial" w:cs="Arial"/>
                <w:color w:val="000000"/>
                <w:lang w:eastAsia="el-GR"/>
              </w:rPr>
              <w:t>99</w:t>
            </w:r>
            <w:r w:rsidR="00D91A31">
              <w:rPr>
                <w:rFonts w:ascii="Arial" w:hAnsi="Arial" w:cs="Arial"/>
                <w:color w:val="000000"/>
                <w:lang w:eastAsia="el-GR"/>
              </w:rPr>
              <w:t>,</w:t>
            </w:r>
            <w:r>
              <w:rPr>
                <w:rFonts w:ascii="Arial" w:hAnsi="Arial" w:cs="Arial"/>
                <w:color w:val="000000"/>
                <w:lang w:eastAsia="el-GR"/>
              </w:rPr>
              <w:t>9</w:t>
            </w:r>
          </w:p>
        </w:tc>
        <w:tc>
          <w:tcPr>
            <w:tcW w:w="1151" w:type="dxa"/>
            <w:tcBorders>
              <w:top w:val="nil"/>
              <w:left w:val="nil"/>
              <w:bottom w:val="nil"/>
              <w:right w:val="single" w:sz="2" w:space="0" w:color="808080" w:themeColor="background1" w:themeShade="80"/>
            </w:tcBorders>
            <w:shd w:val="clear" w:color="auto" w:fill="FFFFFF" w:themeFill="background1"/>
            <w:vAlign w:val="center"/>
          </w:tcPr>
          <w:p w14:paraId="3D0A6040" w14:textId="3EF78080" w:rsidR="002A7101" w:rsidRPr="002571F1" w:rsidRDefault="002A7101" w:rsidP="002A7101">
            <w:pPr>
              <w:pStyle w:val="ColorfulList-Accent11"/>
              <w:tabs>
                <w:tab w:val="left" w:pos="0"/>
                <w:tab w:val="left" w:pos="284"/>
              </w:tabs>
              <w:ind w:left="0" w:right="-90"/>
              <w:jc w:val="center"/>
              <w:rPr>
                <w:rFonts w:ascii="Arial" w:hAnsi="Arial" w:cs="Arial"/>
                <w:color w:val="FF0000"/>
              </w:rPr>
            </w:pPr>
            <w:r>
              <w:rPr>
                <w:rFonts w:ascii="Arial" w:hAnsi="Arial" w:cs="Arial"/>
                <w:color w:val="000000"/>
                <w:lang w:eastAsia="el-GR"/>
              </w:rPr>
              <w:t>+7</w:t>
            </w:r>
            <w:r w:rsidR="00D91A31">
              <w:rPr>
                <w:rFonts w:ascii="Arial" w:hAnsi="Arial" w:cs="Arial"/>
                <w:color w:val="000000"/>
                <w:lang w:eastAsia="el-GR"/>
              </w:rPr>
              <w:t>,</w:t>
            </w:r>
            <w:r>
              <w:rPr>
                <w:rFonts w:ascii="Arial" w:hAnsi="Arial" w:cs="Arial"/>
                <w:color w:val="000000"/>
                <w:lang w:eastAsia="el-GR"/>
              </w:rPr>
              <w:t>7%</w:t>
            </w:r>
          </w:p>
        </w:tc>
        <w:tc>
          <w:tcPr>
            <w:tcW w:w="886" w:type="dxa"/>
            <w:tcBorders>
              <w:top w:val="nil"/>
              <w:left w:val="single" w:sz="2" w:space="0" w:color="808080" w:themeColor="background1" w:themeShade="80"/>
              <w:bottom w:val="nil"/>
              <w:right w:val="nil"/>
            </w:tcBorders>
            <w:shd w:val="clear" w:color="auto" w:fill="FFFFFF" w:themeFill="background1"/>
            <w:vAlign w:val="center"/>
          </w:tcPr>
          <w:p w14:paraId="521B3B6F" w14:textId="5D7EA8C8" w:rsidR="002A7101" w:rsidRPr="00A1020E" w:rsidRDefault="002A7101" w:rsidP="002A7101">
            <w:pPr>
              <w:pStyle w:val="ColorfulList-Accent11"/>
              <w:tabs>
                <w:tab w:val="left" w:pos="0"/>
                <w:tab w:val="left" w:pos="284"/>
              </w:tabs>
              <w:ind w:left="0" w:right="-90"/>
              <w:jc w:val="center"/>
              <w:rPr>
                <w:rFonts w:ascii="Arial" w:hAnsi="Arial" w:cs="Arial"/>
                <w:color w:val="000000"/>
              </w:rPr>
            </w:pPr>
            <w:r>
              <w:rPr>
                <w:rFonts w:ascii="Arial" w:hAnsi="Arial" w:cs="Arial"/>
                <w:color w:val="000000"/>
                <w:lang w:eastAsia="el-GR"/>
              </w:rPr>
              <w:t>374</w:t>
            </w:r>
            <w:r w:rsidR="00D91A31">
              <w:rPr>
                <w:rFonts w:ascii="Arial" w:hAnsi="Arial" w:cs="Arial"/>
                <w:color w:val="000000"/>
                <w:lang w:eastAsia="el-GR"/>
              </w:rPr>
              <w:t>,</w:t>
            </w:r>
            <w:r>
              <w:rPr>
                <w:rFonts w:ascii="Arial" w:hAnsi="Arial" w:cs="Arial"/>
                <w:color w:val="000000"/>
                <w:lang w:eastAsia="el-GR"/>
              </w:rPr>
              <w:t>5</w:t>
            </w:r>
          </w:p>
        </w:tc>
        <w:tc>
          <w:tcPr>
            <w:tcW w:w="886" w:type="dxa"/>
            <w:tcBorders>
              <w:top w:val="nil"/>
              <w:left w:val="nil"/>
              <w:bottom w:val="nil"/>
              <w:right w:val="nil"/>
            </w:tcBorders>
            <w:shd w:val="clear" w:color="auto" w:fill="FFFFFF" w:themeFill="background1"/>
            <w:vAlign w:val="center"/>
          </w:tcPr>
          <w:p w14:paraId="79C3F666" w14:textId="18230280" w:rsidR="002A7101" w:rsidRPr="00A1020E" w:rsidRDefault="002A7101" w:rsidP="002A7101">
            <w:pPr>
              <w:pStyle w:val="ColorfulList-Accent11"/>
              <w:tabs>
                <w:tab w:val="left" w:pos="0"/>
                <w:tab w:val="left" w:pos="284"/>
              </w:tabs>
              <w:ind w:left="0" w:right="-90"/>
              <w:jc w:val="center"/>
              <w:rPr>
                <w:rFonts w:ascii="Arial" w:hAnsi="Arial" w:cs="Arial"/>
                <w:color w:val="000000"/>
              </w:rPr>
            </w:pPr>
            <w:r>
              <w:rPr>
                <w:rFonts w:ascii="Arial" w:hAnsi="Arial" w:cs="Arial"/>
                <w:color w:val="000000"/>
                <w:lang w:eastAsia="el-GR"/>
              </w:rPr>
              <w:t>377</w:t>
            </w:r>
            <w:r w:rsidR="00D91A31">
              <w:rPr>
                <w:rFonts w:ascii="Arial" w:hAnsi="Arial" w:cs="Arial"/>
                <w:color w:val="000000"/>
                <w:lang w:eastAsia="el-GR"/>
              </w:rPr>
              <w:t>,</w:t>
            </w:r>
            <w:r>
              <w:rPr>
                <w:rFonts w:ascii="Arial" w:hAnsi="Arial" w:cs="Arial"/>
                <w:color w:val="000000"/>
                <w:lang w:eastAsia="el-GR"/>
              </w:rPr>
              <w:t>1</w:t>
            </w:r>
          </w:p>
        </w:tc>
        <w:tc>
          <w:tcPr>
            <w:tcW w:w="900" w:type="dxa"/>
            <w:tcBorders>
              <w:top w:val="nil"/>
              <w:left w:val="nil"/>
              <w:bottom w:val="nil"/>
              <w:right w:val="nil"/>
            </w:tcBorders>
            <w:shd w:val="clear" w:color="auto" w:fill="FFFFFF" w:themeFill="background1"/>
            <w:vAlign w:val="center"/>
          </w:tcPr>
          <w:p w14:paraId="6DD0A887" w14:textId="7C9946AD" w:rsidR="002A7101" w:rsidRPr="002571F1" w:rsidRDefault="002A7101" w:rsidP="002A7101">
            <w:pPr>
              <w:pStyle w:val="ColorfulList-Accent11"/>
              <w:tabs>
                <w:tab w:val="left" w:pos="0"/>
                <w:tab w:val="left" w:pos="284"/>
              </w:tabs>
              <w:ind w:left="0" w:right="-90"/>
              <w:jc w:val="center"/>
              <w:rPr>
                <w:rFonts w:ascii="Arial" w:hAnsi="Arial" w:cs="Arial"/>
                <w:color w:val="FF0000"/>
              </w:rPr>
            </w:pPr>
            <w:r>
              <w:rPr>
                <w:rFonts w:ascii="Arial" w:hAnsi="Arial" w:cs="Arial"/>
                <w:color w:val="000000"/>
                <w:lang w:eastAsia="el-GR"/>
              </w:rPr>
              <w:t>-0</w:t>
            </w:r>
            <w:r w:rsidR="00D91A31">
              <w:rPr>
                <w:rFonts w:ascii="Arial" w:hAnsi="Arial" w:cs="Arial"/>
                <w:color w:val="000000"/>
                <w:lang w:eastAsia="el-GR"/>
              </w:rPr>
              <w:t>,</w:t>
            </w:r>
            <w:r>
              <w:rPr>
                <w:rFonts w:ascii="Arial" w:hAnsi="Arial" w:cs="Arial"/>
                <w:color w:val="000000"/>
                <w:lang w:eastAsia="el-GR"/>
              </w:rPr>
              <w:t>7%</w:t>
            </w:r>
          </w:p>
        </w:tc>
      </w:tr>
      <w:tr w:rsidR="00B4474B" w:rsidRPr="002571F1" w14:paraId="66797C4D" w14:textId="77777777" w:rsidTr="00182978">
        <w:trPr>
          <w:trHeight w:val="298"/>
        </w:trPr>
        <w:tc>
          <w:tcPr>
            <w:tcW w:w="3657" w:type="dxa"/>
            <w:tcBorders>
              <w:top w:val="nil"/>
              <w:bottom w:val="nil"/>
              <w:right w:val="single" w:sz="2" w:space="0" w:color="808080" w:themeColor="background1" w:themeShade="80"/>
            </w:tcBorders>
            <w:shd w:val="clear" w:color="auto" w:fill="F2F2F2" w:themeFill="background1" w:themeFillShade="F2"/>
            <w:vAlign w:val="center"/>
          </w:tcPr>
          <w:p w14:paraId="010EA1EA" w14:textId="7EE25FD7" w:rsidR="002A7101" w:rsidRPr="00DB61A4" w:rsidRDefault="002A7101" w:rsidP="002A7101">
            <w:pPr>
              <w:pStyle w:val="ColorfulList-Accent11"/>
              <w:tabs>
                <w:tab w:val="left" w:pos="0"/>
                <w:tab w:val="left" w:pos="284"/>
              </w:tabs>
              <w:ind w:left="0" w:right="-90"/>
              <w:rPr>
                <w:rFonts w:ascii="Arial" w:hAnsi="Arial" w:cs="Arial"/>
                <w:color w:val="000000" w:themeColor="text1"/>
                <w:lang w:val="el-GR"/>
              </w:rPr>
            </w:pPr>
            <w:r w:rsidRPr="00800FD4">
              <w:rPr>
                <w:rFonts w:ascii="Arial" w:hAnsi="Arial" w:cs="Arial"/>
              </w:rPr>
              <w:t>Τα</w:t>
            </w:r>
            <w:proofErr w:type="spellStart"/>
            <w:r w:rsidRPr="00800FD4">
              <w:rPr>
                <w:rFonts w:ascii="Arial" w:hAnsi="Arial" w:cs="Arial"/>
              </w:rPr>
              <w:t>μει</w:t>
            </w:r>
            <w:proofErr w:type="spellEnd"/>
            <w:r w:rsidRPr="00800FD4">
              <w:rPr>
                <w:rFonts w:ascii="Arial" w:hAnsi="Arial" w:cs="Arial"/>
              </w:rPr>
              <w:t xml:space="preserve">ακά </w:t>
            </w:r>
            <w:proofErr w:type="spellStart"/>
            <w:r w:rsidRPr="00800FD4">
              <w:rPr>
                <w:rFonts w:ascii="Arial" w:hAnsi="Arial" w:cs="Arial"/>
              </w:rPr>
              <w:t>Δι</w:t>
            </w:r>
            <w:proofErr w:type="spellEnd"/>
            <w:r w:rsidRPr="00800FD4">
              <w:rPr>
                <w:rFonts w:ascii="Arial" w:hAnsi="Arial" w:cs="Arial"/>
              </w:rPr>
              <w:t>αθέσιμα &amp;Τα</w:t>
            </w:r>
            <w:proofErr w:type="spellStart"/>
            <w:r w:rsidRPr="00800FD4">
              <w:rPr>
                <w:rFonts w:ascii="Arial" w:hAnsi="Arial" w:cs="Arial"/>
              </w:rPr>
              <w:t>μει</w:t>
            </w:r>
            <w:proofErr w:type="spellEnd"/>
            <w:r w:rsidRPr="00800FD4">
              <w:rPr>
                <w:rFonts w:ascii="Arial" w:hAnsi="Arial" w:cs="Arial"/>
              </w:rPr>
              <w:t xml:space="preserve">ακά </w:t>
            </w:r>
            <w:proofErr w:type="spellStart"/>
            <w:r w:rsidRPr="00800FD4">
              <w:rPr>
                <w:rFonts w:ascii="Arial" w:hAnsi="Arial" w:cs="Arial"/>
              </w:rPr>
              <w:t>Ισοδύν</w:t>
            </w:r>
            <w:proofErr w:type="spellEnd"/>
            <w:r w:rsidRPr="00800FD4">
              <w:rPr>
                <w:rFonts w:ascii="Arial" w:hAnsi="Arial" w:cs="Arial"/>
              </w:rPr>
              <w:t>αμα</w:t>
            </w:r>
            <w:r w:rsidRPr="00800FD4" w:rsidDel="00FA3E72">
              <w:rPr>
                <w:rFonts w:ascii="Arial" w:hAnsi="Arial" w:cs="Arial"/>
              </w:rPr>
              <w:t xml:space="preserve"> </w:t>
            </w:r>
          </w:p>
        </w:tc>
        <w:tc>
          <w:tcPr>
            <w:tcW w:w="1527" w:type="dxa"/>
            <w:tcBorders>
              <w:top w:val="nil"/>
              <w:left w:val="single" w:sz="2" w:space="0" w:color="808080" w:themeColor="background1" w:themeShade="80"/>
              <w:bottom w:val="nil"/>
              <w:right w:val="nil"/>
            </w:tcBorders>
            <w:shd w:val="clear" w:color="auto" w:fill="F2F2F2" w:themeFill="background1" w:themeFillShade="F2"/>
            <w:vAlign w:val="center"/>
          </w:tcPr>
          <w:p w14:paraId="29664349" w14:textId="768951EA" w:rsidR="002A7101" w:rsidRPr="00852D23" w:rsidRDefault="002A7101" w:rsidP="002A7101">
            <w:pPr>
              <w:pStyle w:val="ColorfulList-Accent11"/>
              <w:tabs>
                <w:tab w:val="left" w:pos="0"/>
                <w:tab w:val="left" w:pos="284"/>
              </w:tabs>
              <w:ind w:left="0" w:right="-90"/>
              <w:jc w:val="center"/>
              <w:rPr>
                <w:rFonts w:ascii="Arial" w:hAnsi="Arial" w:cs="Arial"/>
                <w:color w:val="FF0000"/>
                <w:lang w:val="el-GR"/>
              </w:rPr>
            </w:pPr>
            <w:r>
              <w:rPr>
                <w:rFonts w:ascii="Arial" w:hAnsi="Arial" w:cs="Arial"/>
                <w:lang w:eastAsia="el-GR"/>
              </w:rPr>
              <w:t>426</w:t>
            </w:r>
            <w:r w:rsidR="00D91A31">
              <w:rPr>
                <w:rFonts w:ascii="Arial" w:hAnsi="Arial" w:cs="Arial"/>
                <w:lang w:eastAsia="el-GR"/>
              </w:rPr>
              <w:t>,</w:t>
            </w:r>
            <w:r>
              <w:rPr>
                <w:rFonts w:ascii="Arial" w:hAnsi="Arial" w:cs="Arial"/>
                <w:lang w:eastAsia="el-GR"/>
              </w:rPr>
              <w:t>3</w:t>
            </w:r>
          </w:p>
        </w:tc>
        <w:tc>
          <w:tcPr>
            <w:tcW w:w="1481" w:type="dxa"/>
            <w:tcBorders>
              <w:top w:val="nil"/>
              <w:left w:val="nil"/>
              <w:bottom w:val="nil"/>
              <w:right w:val="nil"/>
            </w:tcBorders>
            <w:shd w:val="clear" w:color="auto" w:fill="F2F2F2" w:themeFill="background1" w:themeFillShade="F2"/>
            <w:vAlign w:val="center"/>
          </w:tcPr>
          <w:p w14:paraId="5330009D" w14:textId="7EFF5753" w:rsidR="002A7101" w:rsidRPr="00852D23" w:rsidRDefault="002A7101" w:rsidP="002A7101">
            <w:pPr>
              <w:pStyle w:val="ColorfulList-Accent11"/>
              <w:tabs>
                <w:tab w:val="left" w:pos="0"/>
                <w:tab w:val="left" w:pos="284"/>
              </w:tabs>
              <w:ind w:left="0" w:right="-90"/>
              <w:jc w:val="center"/>
              <w:rPr>
                <w:rFonts w:ascii="Arial" w:hAnsi="Arial" w:cs="Arial"/>
                <w:color w:val="FF0000"/>
                <w:lang w:val="el-GR"/>
              </w:rPr>
            </w:pPr>
            <w:r>
              <w:rPr>
                <w:rFonts w:ascii="Arial" w:hAnsi="Arial" w:cs="Arial"/>
                <w:lang w:eastAsia="el-GR"/>
              </w:rPr>
              <w:t>462</w:t>
            </w:r>
            <w:r w:rsidR="00D91A31">
              <w:rPr>
                <w:rFonts w:ascii="Arial" w:hAnsi="Arial" w:cs="Arial"/>
                <w:lang w:eastAsia="el-GR"/>
              </w:rPr>
              <w:t>,</w:t>
            </w:r>
            <w:r>
              <w:rPr>
                <w:rFonts w:ascii="Arial" w:hAnsi="Arial" w:cs="Arial"/>
                <w:lang w:eastAsia="el-GR"/>
              </w:rPr>
              <w:t>1</w:t>
            </w:r>
          </w:p>
        </w:tc>
        <w:tc>
          <w:tcPr>
            <w:tcW w:w="1151" w:type="dxa"/>
            <w:tcBorders>
              <w:top w:val="nil"/>
              <w:left w:val="nil"/>
              <w:bottom w:val="nil"/>
              <w:right w:val="single" w:sz="2" w:space="0" w:color="808080" w:themeColor="background1" w:themeShade="80"/>
            </w:tcBorders>
            <w:shd w:val="clear" w:color="auto" w:fill="F2F2F2" w:themeFill="background1" w:themeFillShade="F2"/>
            <w:vAlign w:val="center"/>
          </w:tcPr>
          <w:p w14:paraId="73947C1C" w14:textId="5C219A37" w:rsidR="002A7101" w:rsidRPr="00852D23" w:rsidRDefault="002A7101" w:rsidP="002A7101">
            <w:pPr>
              <w:pStyle w:val="ColorfulList-Accent11"/>
              <w:tabs>
                <w:tab w:val="left" w:pos="0"/>
                <w:tab w:val="left" w:pos="284"/>
              </w:tabs>
              <w:ind w:left="0" w:right="-90"/>
              <w:jc w:val="center"/>
              <w:rPr>
                <w:rFonts w:ascii="Arial" w:hAnsi="Arial" w:cs="Arial"/>
                <w:color w:val="FF0000"/>
                <w:lang w:val="el-GR"/>
              </w:rPr>
            </w:pPr>
            <w:r>
              <w:rPr>
                <w:rFonts w:ascii="Arial" w:hAnsi="Arial" w:cs="Arial"/>
                <w:lang w:eastAsia="el-GR"/>
              </w:rPr>
              <w:t>-7</w:t>
            </w:r>
            <w:r w:rsidR="00D91A31">
              <w:rPr>
                <w:rFonts w:ascii="Arial" w:hAnsi="Arial" w:cs="Arial"/>
                <w:lang w:eastAsia="el-GR"/>
              </w:rPr>
              <w:t>,</w:t>
            </w:r>
            <w:r>
              <w:rPr>
                <w:rFonts w:ascii="Arial" w:hAnsi="Arial" w:cs="Arial"/>
                <w:lang w:eastAsia="el-GR"/>
              </w:rPr>
              <w:t>7%</w:t>
            </w:r>
          </w:p>
        </w:tc>
        <w:tc>
          <w:tcPr>
            <w:tcW w:w="886" w:type="dxa"/>
            <w:tcBorders>
              <w:top w:val="nil"/>
              <w:left w:val="single" w:sz="2" w:space="0" w:color="808080" w:themeColor="background1" w:themeShade="80"/>
              <w:bottom w:val="nil"/>
              <w:right w:val="nil"/>
            </w:tcBorders>
            <w:shd w:val="clear" w:color="auto" w:fill="F2F2F2" w:themeFill="background1" w:themeFillShade="F2"/>
            <w:vAlign w:val="center"/>
          </w:tcPr>
          <w:p w14:paraId="226A2414" w14:textId="21DD063A" w:rsidR="002A7101" w:rsidRPr="00852D23" w:rsidRDefault="002A7101" w:rsidP="002A7101">
            <w:pPr>
              <w:pStyle w:val="ColorfulList-Accent11"/>
              <w:tabs>
                <w:tab w:val="left" w:pos="0"/>
                <w:tab w:val="left" w:pos="284"/>
              </w:tabs>
              <w:ind w:left="0" w:right="-90"/>
              <w:jc w:val="center"/>
              <w:rPr>
                <w:rFonts w:ascii="Arial" w:hAnsi="Arial" w:cs="Arial"/>
                <w:color w:val="FF0000"/>
                <w:lang w:val="el-GR"/>
              </w:rPr>
            </w:pPr>
            <w:r>
              <w:rPr>
                <w:rFonts w:ascii="Arial" w:hAnsi="Arial" w:cs="Arial"/>
                <w:lang w:eastAsia="el-GR"/>
              </w:rPr>
              <w:t>426</w:t>
            </w:r>
            <w:r w:rsidR="00D91A31">
              <w:rPr>
                <w:rFonts w:ascii="Arial" w:hAnsi="Arial" w:cs="Arial"/>
                <w:lang w:eastAsia="el-GR"/>
              </w:rPr>
              <w:t>,</w:t>
            </w:r>
            <w:r>
              <w:rPr>
                <w:rFonts w:ascii="Arial" w:hAnsi="Arial" w:cs="Arial"/>
                <w:lang w:eastAsia="el-GR"/>
              </w:rPr>
              <w:t>3</w:t>
            </w:r>
          </w:p>
        </w:tc>
        <w:tc>
          <w:tcPr>
            <w:tcW w:w="886" w:type="dxa"/>
            <w:tcBorders>
              <w:top w:val="nil"/>
              <w:left w:val="nil"/>
              <w:bottom w:val="nil"/>
              <w:right w:val="nil"/>
            </w:tcBorders>
            <w:shd w:val="clear" w:color="auto" w:fill="F2F2F2" w:themeFill="background1" w:themeFillShade="F2"/>
            <w:vAlign w:val="center"/>
          </w:tcPr>
          <w:p w14:paraId="5CF6C7F0" w14:textId="5D942C92" w:rsidR="002A7101" w:rsidRPr="00F0711F" w:rsidRDefault="002A7101" w:rsidP="002A7101">
            <w:pPr>
              <w:pStyle w:val="ColorfulList-Accent11"/>
              <w:tabs>
                <w:tab w:val="left" w:pos="0"/>
                <w:tab w:val="left" w:pos="284"/>
              </w:tabs>
              <w:ind w:left="0" w:right="-90"/>
              <w:jc w:val="center"/>
              <w:rPr>
                <w:rFonts w:ascii="Arial" w:hAnsi="Arial" w:cs="Arial"/>
                <w:color w:val="FF0000"/>
                <w:lang w:val="el-GR"/>
              </w:rPr>
            </w:pPr>
            <w:r>
              <w:rPr>
                <w:rFonts w:ascii="Arial" w:hAnsi="Arial" w:cs="Arial"/>
                <w:lang w:eastAsia="el-GR"/>
              </w:rPr>
              <w:t>462</w:t>
            </w:r>
            <w:r w:rsidR="00D91A31">
              <w:rPr>
                <w:rFonts w:ascii="Arial" w:hAnsi="Arial" w:cs="Arial"/>
                <w:lang w:eastAsia="el-GR"/>
              </w:rPr>
              <w:t>,</w:t>
            </w:r>
            <w:r>
              <w:rPr>
                <w:rFonts w:ascii="Arial" w:hAnsi="Arial" w:cs="Arial"/>
                <w:lang w:eastAsia="el-GR"/>
              </w:rPr>
              <w:t>1</w:t>
            </w:r>
          </w:p>
        </w:tc>
        <w:tc>
          <w:tcPr>
            <w:tcW w:w="900" w:type="dxa"/>
            <w:tcBorders>
              <w:top w:val="nil"/>
              <w:left w:val="nil"/>
              <w:bottom w:val="nil"/>
              <w:right w:val="nil"/>
            </w:tcBorders>
            <w:shd w:val="clear" w:color="auto" w:fill="F2F2F2" w:themeFill="background1" w:themeFillShade="F2"/>
            <w:vAlign w:val="center"/>
          </w:tcPr>
          <w:p w14:paraId="026136A1" w14:textId="545997F2" w:rsidR="002A7101" w:rsidRPr="00852D23" w:rsidRDefault="002A7101" w:rsidP="002A7101">
            <w:pPr>
              <w:pStyle w:val="ColorfulList-Accent11"/>
              <w:tabs>
                <w:tab w:val="left" w:pos="0"/>
                <w:tab w:val="left" w:pos="284"/>
              </w:tabs>
              <w:ind w:left="0" w:right="-90"/>
              <w:jc w:val="center"/>
              <w:rPr>
                <w:rFonts w:ascii="Arial" w:hAnsi="Arial" w:cs="Arial"/>
                <w:color w:val="FF0000"/>
                <w:lang w:val="el-GR"/>
              </w:rPr>
            </w:pPr>
            <w:r>
              <w:rPr>
                <w:rFonts w:ascii="Arial" w:hAnsi="Arial" w:cs="Arial"/>
                <w:lang w:eastAsia="el-GR"/>
              </w:rPr>
              <w:t>-7</w:t>
            </w:r>
            <w:r w:rsidR="00D91A31">
              <w:rPr>
                <w:rFonts w:ascii="Arial" w:hAnsi="Arial" w:cs="Arial"/>
                <w:lang w:eastAsia="el-GR"/>
              </w:rPr>
              <w:t>,</w:t>
            </w:r>
            <w:r>
              <w:rPr>
                <w:rFonts w:ascii="Arial" w:hAnsi="Arial" w:cs="Arial"/>
                <w:lang w:eastAsia="el-GR"/>
              </w:rPr>
              <w:t>7%</w:t>
            </w:r>
          </w:p>
        </w:tc>
      </w:tr>
      <w:tr w:rsidR="00B4474B" w:rsidRPr="002571F1" w14:paraId="1C692849" w14:textId="77777777" w:rsidTr="00182978">
        <w:trPr>
          <w:trHeight w:val="298"/>
        </w:trPr>
        <w:tc>
          <w:tcPr>
            <w:tcW w:w="3657" w:type="dxa"/>
            <w:tcBorders>
              <w:top w:val="nil"/>
              <w:bottom w:val="single" w:sz="2" w:space="0" w:color="BFBFBF" w:themeColor="background1" w:themeShade="BF"/>
              <w:right w:val="nil"/>
            </w:tcBorders>
            <w:shd w:val="clear" w:color="auto" w:fill="FFFFFF" w:themeFill="background1"/>
            <w:vAlign w:val="center"/>
          </w:tcPr>
          <w:p w14:paraId="5DA2908E" w14:textId="4D83A4E7" w:rsidR="002A7101" w:rsidRPr="00CC5811" w:rsidRDefault="002A7101" w:rsidP="002A7101">
            <w:pPr>
              <w:pStyle w:val="ColorfulList-Accent11"/>
              <w:tabs>
                <w:tab w:val="left" w:pos="0"/>
                <w:tab w:val="left" w:pos="284"/>
              </w:tabs>
              <w:ind w:left="0" w:right="-90"/>
              <w:rPr>
                <w:rFonts w:ascii="Arial" w:hAnsi="Arial" w:cs="Arial"/>
                <w:i/>
                <w:color w:val="000000" w:themeColor="text1"/>
              </w:rPr>
            </w:pPr>
            <w:r w:rsidRPr="003629D3">
              <w:rPr>
                <w:rFonts w:ascii="Arial" w:hAnsi="Arial" w:cs="Arial"/>
              </w:rPr>
              <w:t>Καθα</w:t>
            </w:r>
            <w:proofErr w:type="spellStart"/>
            <w:r w:rsidRPr="003629D3">
              <w:rPr>
                <w:rFonts w:ascii="Arial" w:hAnsi="Arial" w:cs="Arial"/>
              </w:rPr>
              <w:t>ρός</w:t>
            </w:r>
            <w:proofErr w:type="spellEnd"/>
            <w:r w:rsidRPr="003629D3">
              <w:rPr>
                <w:rFonts w:ascii="Arial" w:hAnsi="Arial" w:cs="Arial"/>
              </w:rPr>
              <w:t xml:space="preserve"> δα</w:t>
            </w:r>
            <w:proofErr w:type="spellStart"/>
            <w:r w:rsidRPr="003629D3">
              <w:rPr>
                <w:rFonts w:ascii="Arial" w:hAnsi="Arial" w:cs="Arial"/>
              </w:rPr>
              <w:t>νεισμός</w:t>
            </w:r>
            <w:proofErr w:type="spellEnd"/>
          </w:p>
        </w:tc>
        <w:tc>
          <w:tcPr>
            <w:tcW w:w="1527" w:type="dxa"/>
            <w:tcBorders>
              <w:top w:val="nil"/>
              <w:left w:val="nil"/>
              <w:bottom w:val="single" w:sz="2" w:space="0" w:color="BFBFBF" w:themeColor="background1" w:themeShade="BF"/>
              <w:right w:val="nil"/>
            </w:tcBorders>
            <w:shd w:val="clear" w:color="auto" w:fill="FFFFFF" w:themeFill="background1"/>
            <w:vAlign w:val="center"/>
          </w:tcPr>
          <w:p w14:paraId="40908EB9" w14:textId="51609069" w:rsidR="002A7101" w:rsidRPr="002571F1" w:rsidRDefault="002A7101" w:rsidP="002A7101">
            <w:pPr>
              <w:pStyle w:val="ColorfulList-Accent11"/>
              <w:tabs>
                <w:tab w:val="left" w:pos="0"/>
                <w:tab w:val="left" w:pos="284"/>
              </w:tabs>
              <w:ind w:left="0" w:right="-90"/>
              <w:jc w:val="center"/>
              <w:rPr>
                <w:rFonts w:ascii="Arial" w:hAnsi="Arial" w:cs="Arial"/>
                <w:i/>
                <w:color w:val="FF0000"/>
              </w:rPr>
            </w:pPr>
            <w:r>
              <w:rPr>
                <w:rFonts w:ascii="Arial" w:hAnsi="Arial" w:cs="Arial"/>
                <w:lang w:eastAsia="el-GR"/>
              </w:rPr>
              <w:t>698</w:t>
            </w:r>
            <w:r w:rsidR="00D91A31">
              <w:rPr>
                <w:rFonts w:ascii="Arial" w:hAnsi="Arial" w:cs="Arial"/>
                <w:lang w:eastAsia="el-GR"/>
              </w:rPr>
              <w:t>,</w:t>
            </w:r>
            <w:r>
              <w:rPr>
                <w:rFonts w:ascii="Arial" w:hAnsi="Arial" w:cs="Arial"/>
                <w:lang w:eastAsia="el-GR"/>
              </w:rPr>
              <w:t>1</w:t>
            </w:r>
          </w:p>
        </w:tc>
        <w:tc>
          <w:tcPr>
            <w:tcW w:w="1481" w:type="dxa"/>
            <w:tcBorders>
              <w:top w:val="nil"/>
              <w:left w:val="nil"/>
              <w:bottom w:val="single" w:sz="2" w:space="0" w:color="BFBFBF" w:themeColor="background1" w:themeShade="BF"/>
              <w:right w:val="nil"/>
            </w:tcBorders>
            <w:shd w:val="clear" w:color="auto" w:fill="FFFFFF" w:themeFill="background1"/>
            <w:vAlign w:val="center"/>
          </w:tcPr>
          <w:p w14:paraId="04C021B5" w14:textId="65CF681E" w:rsidR="002A7101" w:rsidRPr="002571F1" w:rsidRDefault="002A7101" w:rsidP="002A7101">
            <w:pPr>
              <w:pStyle w:val="ColorfulList-Accent11"/>
              <w:tabs>
                <w:tab w:val="left" w:pos="0"/>
                <w:tab w:val="left" w:pos="284"/>
              </w:tabs>
              <w:ind w:left="0" w:right="-90"/>
              <w:jc w:val="center"/>
              <w:rPr>
                <w:rFonts w:ascii="Arial" w:hAnsi="Arial" w:cs="Arial"/>
                <w:i/>
                <w:color w:val="FF0000"/>
              </w:rPr>
            </w:pPr>
            <w:r w:rsidRPr="004B3D06">
              <w:rPr>
                <w:rFonts w:ascii="Arial" w:hAnsi="Arial" w:cs="Arial"/>
                <w:lang w:val="el-GR" w:eastAsia="el-GR"/>
              </w:rPr>
              <w:t>684</w:t>
            </w:r>
            <w:r w:rsidR="00D91A31">
              <w:rPr>
                <w:rFonts w:ascii="Arial" w:hAnsi="Arial" w:cs="Arial"/>
                <w:lang w:val="el-GR" w:eastAsia="el-GR"/>
              </w:rPr>
              <w:t>,</w:t>
            </w:r>
            <w:r w:rsidRPr="004B3D06">
              <w:rPr>
                <w:rFonts w:ascii="Arial" w:hAnsi="Arial" w:cs="Arial"/>
                <w:lang w:val="el-GR" w:eastAsia="el-GR"/>
              </w:rPr>
              <w:t>3</w:t>
            </w:r>
          </w:p>
        </w:tc>
        <w:tc>
          <w:tcPr>
            <w:tcW w:w="1151" w:type="dxa"/>
            <w:tcBorders>
              <w:top w:val="nil"/>
              <w:left w:val="nil"/>
              <w:bottom w:val="single" w:sz="2" w:space="0" w:color="BFBFBF" w:themeColor="background1" w:themeShade="BF"/>
              <w:right w:val="nil"/>
            </w:tcBorders>
            <w:shd w:val="clear" w:color="auto" w:fill="FFFFFF" w:themeFill="background1"/>
            <w:vAlign w:val="center"/>
          </w:tcPr>
          <w:p w14:paraId="59D9CFB4" w14:textId="0BBD8F1C" w:rsidR="002A7101" w:rsidRPr="002571F1" w:rsidRDefault="002A7101" w:rsidP="002A7101">
            <w:pPr>
              <w:pStyle w:val="ColorfulList-Accent11"/>
              <w:tabs>
                <w:tab w:val="left" w:pos="0"/>
                <w:tab w:val="left" w:pos="284"/>
              </w:tabs>
              <w:ind w:left="0" w:right="-90"/>
              <w:jc w:val="center"/>
              <w:rPr>
                <w:rFonts w:ascii="Arial" w:hAnsi="Arial" w:cs="Arial"/>
                <w:i/>
                <w:color w:val="FF0000"/>
              </w:rPr>
            </w:pPr>
            <w:r>
              <w:rPr>
                <w:rFonts w:ascii="Arial" w:hAnsi="Arial" w:cs="Arial"/>
                <w:lang w:eastAsia="el-GR"/>
              </w:rPr>
              <w:t>+2</w:t>
            </w:r>
            <w:r w:rsidR="00D91A31">
              <w:rPr>
                <w:rFonts w:ascii="Arial" w:hAnsi="Arial" w:cs="Arial"/>
                <w:lang w:eastAsia="el-GR"/>
              </w:rPr>
              <w:t>,</w:t>
            </w:r>
            <w:r>
              <w:rPr>
                <w:rFonts w:ascii="Arial" w:hAnsi="Arial" w:cs="Arial"/>
                <w:lang w:eastAsia="el-GR"/>
              </w:rPr>
              <w:t>0%</w:t>
            </w:r>
          </w:p>
        </w:tc>
        <w:tc>
          <w:tcPr>
            <w:tcW w:w="886" w:type="dxa"/>
            <w:tcBorders>
              <w:top w:val="nil"/>
              <w:left w:val="nil"/>
              <w:bottom w:val="single" w:sz="2" w:space="0" w:color="BFBFBF" w:themeColor="background1" w:themeShade="BF"/>
              <w:right w:val="nil"/>
            </w:tcBorders>
            <w:shd w:val="clear" w:color="auto" w:fill="FFFFFF" w:themeFill="background1"/>
            <w:vAlign w:val="center"/>
          </w:tcPr>
          <w:p w14:paraId="14021A04" w14:textId="4E2DA449" w:rsidR="002A7101" w:rsidRPr="002571F1" w:rsidRDefault="002A7101" w:rsidP="002A7101">
            <w:pPr>
              <w:pStyle w:val="ColorfulList-Accent11"/>
              <w:tabs>
                <w:tab w:val="left" w:pos="0"/>
                <w:tab w:val="left" w:pos="284"/>
              </w:tabs>
              <w:ind w:left="0" w:right="-90"/>
              <w:jc w:val="center"/>
              <w:rPr>
                <w:rFonts w:ascii="Arial" w:hAnsi="Arial" w:cs="Arial"/>
                <w:color w:val="FF0000"/>
              </w:rPr>
            </w:pPr>
            <w:r>
              <w:rPr>
                <w:rFonts w:ascii="Arial" w:hAnsi="Arial" w:cs="Arial"/>
                <w:lang w:eastAsia="el-GR"/>
              </w:rPr>
              <w:t>698</w:t>
            </w:r>
            <w:r w:rsidR="00D91A31">
              <w:rPr>
                <w:rFonts w:ascii="Arial" w:hAnsi="Arial" w:cs="Arial"/>
                <w:lang w:eastAsia="el-GR"/>
              </w:rPr>
              <w:t>,</w:t>
            </w:r>
            <w:r>
              <w:rPr>
                <w:rFonts w:ascii="Arial" w:hAnsi="Arial" w:cs="Arial"/>
                <w:lang w:eastAsia="el-GR"/>
              </w:rPr>
              <w:t>1</w:t>
            </w:r>
          </w:p>
        </w:tc>
        <w:tc>
          <w:tcPr>
            <w:tcW w:w="886" w:type="dxa"/>
            <w:tcBorders>
              <w:top w:val="nil"/>
              <w:left w:val="nil"/>
              <w:bottom w:val="single" w:sz="2" w:space="0" w:color="BFBFBF" w:themeColor="background1" w:themeShade="BF"/>
              <w:right w:val="nil"/>
            </w:tcBorders>
            <w:shd w:val="clear" w:color="auto" w:fill="FFFFFF" w:themeFill="background1"/>
            <w:vAlign w:val="center"/>
          </w:tcPr>
          <w:p w14:paraId="2FACB4F7" w14:textId="60DA38F0" w:rsidR="002A7101" w:rsidRPr="002571F1" w:rsidRDefault="002A7101" w:rsidP="002A7101">
            <w:pPr>
              <w:pStyle w:val="ColorfulList-Accent11"/>
              <w:tabs>
                <w:tab w:val="left" w:pos="0"/>
                <w:tab w:val="left" w:pos="284"/>
              </w:tabs>
              <w:ind w:left="0" w:right="-90"/>
              <w:jc w:val="center"/>
              <w:rPr>
                <w:rFonts w:ascii="Arial" w:hAnsi="Arial" w:cs="Arial"/>
                <w:color w:val="FF0000"/>
              </w:rPr>
            </w:pPr>
            <w:r w:rsidRPr="004B3D06">
              <w:rPr>
                <w:rFonts w:ascii="Arial" w:hAnsi="Arial" w:cs="Arial"/>
                <w:lang w:val="el-GR" w:eastAsia="el-GR"/>
              </w:rPr>
              <w:t>684</w:t>
            </w:r>
            <w:r w:rsidR="00D91A31">
              <w:rPr>
                <w:rFonts w:ascii="Arial" w:hAnsi="Arial" w:cs="Arial"/>
                <w:lang w:val="el-GR" w:eastAsia="el-GR"/>
              </w:rPr>
              <w:t>,</w:t>
            </w:r>
            <w:r w:rsidRPr="004B3D06">
              <w:rPr>
                <w:rFonts w:ascii="Arial" w:hAnsi="Arial" w:cs="Arial"/>
                <w:lang w:val="el-GR" w:eastAsia="el-GR"/>
              </w:rPr>
              <w:t>3</w:t>
            </w:r>
          </w:p>
        </w:tc>
        <w:tc>
          <w:tcPr>
            <w:tcW w:w="900" w:type="dxa"/>
            <w:tcBorders>
              <w:top w:val="nil"/>
              <w:left w:val="nil"/>
              <w:bottom w:val="single" w:sz="2" w:space="0" w:color="BFBFBF" w:themeColor="background1" w:themeShade="BF"/>
              <w:right w:val="nil"/>
            </w:tcBorders>
            <w:shd w:val="clear" w:color="auto" w:fill="FFFFFF" w:themeFill="background1"/>
            <w:vAlign w:val="center"/>
          </w:tcPr>
          <w:p w14:paraId="0FA73356" w14:textId="3631EB27" w:rsidR="002A7101" w:rsidRPr="002571F1" w:rsidRDefault="002A7101" w:rsidP="002A7101">
            <w:pPr>
              <w:pStyle w:val="ColorfulList-Accent11"/>
              <w:tabs>
                <w:tab w:val="left" w:pos="0"/>
                <w:tab w:val="left" w:pos="284"/>
              </w:tabs>
              <w:ind w:left="0" w:right="-90"/>
              <w:jc w:val="center"/>
              <w:rPr>
                <w:rFonts w:ascii="Arial" w:hAnsi="Arial" w:cs="Arial"/>
                <w:color w:val="FF0000"/>
              </w:rPr>
            </w:pPr>
            <w:r>
              <w:rPr>
                <w:rFonts w:ascii="Arial" w:hAnsi="Arial" w:cs="Arial"/>
                <w:lang w:eastAsia="el-GR"/>
              </w:rPr>
              <w:t>+2</w:t>
            </w:r>
            <w:r w:rsidR="00D91A31">
              <w:rPr>
                <w:rFonts w:ascii="Arial" w:hAnsi="Arial" w:cs="Arial"/>
                <w:lang w:eastAsia="el-GR"/>
              </w:rPr>
              <w:t>,</w:t>
            </w:r>
            <w:r>
              <w:rPr>
                <w:rFonts w:ascii="Arial" w:hAnsi="Arial" w:cs="Arial"/>
                <w:lang w:eastAsia="el-GR"/>
              </w:rPr>
              <w:t>0%</w:t>
            </w:r>
          </w:p>
        </w:tc>
      </w:tr>
    </w:tbl>
    <w:p w14:paraId="1057ACC3" w14:textId="56F7AA7E" w:rsidR="003A3363" w:rsidRPr="001B28E9" w:rsidRDefault="00815314" w:rsidP="00815314">
      <w:pPr>
        <w:pStyle w:val="FootnoteText"/>
        <w:jc w:val="both"/>
        <w:rPr>
          <w:rFonts w:ascii="Arial" w:hAnsi="Arial" w:cs="Arial"/>
          <w:b/>
          <w:i/>
          <w:iCs/>
          <w:color w:val="004E9A"/>
          <w:lang w:val="el-GR"/>
        </w:rPr>
      </w:pPr>
      <w:r w:rsidRPr="001B28E9">
        <w:rPr>
          <w:rFonts w:ascii="Arial" w:hAnsi="Arial" w:cs="Arial"/>
          <w:i/>
          <w:iCs/>
          <w:sz w:val="14"/>
          <w:szCs w:val="14"/>
          <w:lang w:val="el-GR"/>
        </w:rPr>
        <w:t>Σημείωση</w:t>
      </w:r>
      <w:r w:rsidR="00924AB6" w:rsidRPr="001B28E9">
        <w:rPr>
          <w:rFonts w:ascii="Arial" w:hAnsi="Arial" w:cs="Arial"/>
          <w:i/>
          <w:iCs/>
          <w:sz w:val="14"/>
          <w:szCs w:val="14"/>
          <w:lang w:val="el-GR"/>
        </w:rPr>
        <w:t>:</w:t>
      </w:r>
      <w:r w:rsidRPr="001B28E9">
        <w:rPr>
          <w:rFonts w:ascii="Arial" w:hAnsi="Arial" w:cs="Arial"/>
          <w:i/>
          <w:iCs/>
          <w:sz w:val="14"/>
          <w:szCs w:val="14"/>
          <w:lang w:val="el-GR"/>
        </w:rPr>
        <w:t xml:space="preserve"> Σε συνέχεια πώλησης της </w:t>
      </w:r>
      <w:r w:rsidR="00924AB6" w:rsidRPr="001B28E9">
        <w:rPr>
          <w:rFonts w:ascii="Arial" w:hAnsi="Arial" w:cs="Arial"/>
          <w:i/>
          <w:iCs/>
          <w:sz w:val="14"/>
          <w:szCs w:val="14"/>
        </w:rPr>
        <w:t>TELEKOM</w:t>
      </w:r>
      <w:r w:rsidR="00924AB6" w:rsidRPr="001B28E9">
        <w:rPr>
          <w:rFonts w:ascii="Arial" w:hAnsi="Arial" w:cs="Arial"/>
          <w:i/>
          <w:iCs/>
          <w:sz w:val="14"/>
          <w:szCs w:val="14"/>
          <w:lang w:val="el-GR"/>
        </w:rPr>
        <w:t xml:space="preserve"> </w:t>
      </w:r>
      <w:r w:rsidR="00924AB6" w:rsidRPr="001B28E9">
        <w:rPr>
          <w:rFonts w:ascii="Arial" w:hAnsi="Arial" w:cs="Arial"/>
          <w:i/>
          <w:iCs/>
          <w:sz w:val="14"/>
          <w:szCs w:val="14"/>
        </w:rPr>
        <w:t>ROMANIA</w:t>
      </w:r>
      <w:r w:rsidR="00924AB6" w:rsidRPr="001B28E9">
        <w:rPr>
          <w:rFonts w:ascii="Arial" w:hAnsi="Arial" w:cs="Arial"/>
          <w:i/>
          <w:iCs/>
          <w:sz w:val="14"/>
          <w:szCs w:val="14"/>
          <w:lang w:val="el-GR"/>
        </w:rPr>
        <w:t xml:space="preserve"> </w:t>
      </w:r>
      <w:r w:rsidR="00924AB6" w:rsidRPr="001B28E9">
        <w:rPr>
          <w:rFonts w:ascii="Arial" w:hAnsi="Arial" w:cs="Arial"/>
          <w:i/>
          <w:iCs/>
          <w:sz w:val="14"/>
          <w:szCs w:val="14"/>
        </w:rPr>
        <w:t>MOBILE</w:t>
      </w:r>
      <w:r w:rsidR="00924AB6" w:rsidRPr="001B28E9">
        <w:rPr>
          <w:rFonts w:ascii="Arial" w:hAnsi="Arial" w:cs="Arial"/>
          <w:i/>
          <w:iCs/>
          <w:sz w:val="14"/>
          <w:szCs w:val="14"/>
          <w:lang w:val="el-GR"/>
        </w:rPr>
        <w:t xml:space="preserve"> </w:t>
      </w:r>
      <w:r w:rsidR="00924AB6" w:rsidRPr="001B28E9">
        <w:rPr>
          <w:rFonts w:ascii="Arial" w:hAnsi="Arial" w:cs="Arial"/>
          <w:i/>
          <w:iCs/>
          <w:sz w:val="14"/>
          <w:szCs w:val="14"/>
        </w:rPr>
        <w:t>COMMUNICATIONS</w:t>
      </w:r>
      <w:r w:rsidR="00924AB6" w:rsidRPr="001B28E9">
        <w:rPr>
          <w:rFonts w:ascii="Arial" w:hAnsi="Arial" w:cs="Arial"/>
          <w:i/>
          <w:iCs/>
          <w:sz w:val="14"/>
          <w:szCs w:val="14"/>
          <w:lang w:val="el-GR"/>
        </w:rPr>
        <w:t xml:space="preserve"> (</w:t>
      </w:r>
      <w:r w:rsidR="00924AB6" w:rsidRPr="001B28E9">
        <w:rPr>
          <w:rFonts w:ascii="Arial" w:hAnsi="Arial" w:cs="Arial"/>
          <w:i/>
          <w:iCs/>
          <w:sz w:val="14"/>
          <w:szCs w:val="14"/>
        </w:rPr>
        <w:t>TKRM</w:t>
      </w:r>
      <w:r w:rsidR="00924AB6" w:rsidRPr="001B28E9">
        <w:rPr>
          <w:rFonts w:ascii="Arial" w:hAnsi="Arial" w:cs="Arial"/>
          <w:i/>
          <w:iCs/>
          <w:sz w:val="14"/>
          <w:szCs w:val="14"/>
          <w:lang w:val="el-GR"/>
        </w:rPr>
        <w:t xml:space="preserve">), </w:t>
      </w:r>
      <w:r w:rsidRPr="001B28E9">
        <w:rPr>
          <w:rFonts w:ascii="Arial" w:hAnsi="Arial" w:cs="Arial"/>
          <w:i/>
          <w:iCs/>
          <w:sz w:val="14"/>
          <w:szCs w:val="14"/>
          <w:lang w:val="el-GR"/>
        </w:rPr>
        <w:t>όλα τα στοιχεία</w:t>
      </w:r>
      <w:r w:rsidR="00924AB6" w:rsidRPr="001B28E9">
        <w:rPr>
          <w:rFonts w:ascii="Arial" w:hAnsi="Arial" w:cs="Arial"/>
          <w:i/>
          <w:iCs/>
          <w:sz w:val="14"/>
          <w:szCs w:val="14"/>
          <w:lang w:val="el-GR"/>
        </w:rPr>
        <w:t xml:space="preserve"> (</w:t>
      </w:r>
      <w:r w:rsidRPr="001B28E9">
        <w:rPr>
          <w:rFonts w:ascii="Arial" w:hAnsi="Arial" w:cs="Arial"/>
          <w:i/>
          <w:iCs/>
          <w:sz w:val="14"/>
          <w:szCs w:val="14"/>
          <w:lang w:val="el-GR"/>
        </w:rPr>
        <w:t>εκτός από τον ισολογισμό 2024</w:t>
      </w:r>
      <w:r w:rsidR="00924AB6" w:rsidRPr="001B28E9">
        <w:rPr>
          <w:rFonts w:ascii="Arial" w:hAnsi="Arial" w:cs="Arial"/>
          <w:i/>
          <w:iCs/>
          <w:sz w:val="14"/>
          <w:szCs w:val="14"/>
          <w:lang w:val="el-GR"/>
        </w:rPr>
        <w:t xml:space="preserve">) </w:t>
      </w:r>
      <w:r w:rsidRPr="001B28E9">
        <w:rPr>
          <w:rFonts w:ascii="Arial" w:hAnsi="Arial" w:cs="Arial"/>
          <w:i/>
          <w:iCs/>
          <w:sz w:val="14"/>
          <w:szCs w:val="14"/>
          <w:lang w:val="el-GR"/>
        </w:rPr>
        <w:t xml:space="preserve">είναι προσαρμοσμένα ώστε να αντικατοπτρίζουν μόνο τις συνεχιζόμενες δραστηριότητες. </w:t>
      </w:r>
      <w:r w:rsidRPr="00FB20CB">
        <w:rPr>
          <w:rFonts w:ascii="Arial" w:hAnsi="Arial" w:cs="Arial"/>
          <w:i/>
          <w:color w:val="000000"/>
          <w:sz w:val="14"/>
          <w:szCs w:val="14"/>
          <w:lang w:val="el-GR"/>
          <w14:ligatures w14:val="standardContextual"/>
        </w:rPr>
        <w:t xml:space="preserve">Οι λειτουργικές δραστηριότητες της </w:t>
      </w:r>
      <w:r w:rsidR="00924AB6" w:rsidRPr="001B28E9">
        <w:rPr>
          <w:rFonts w:ascii="Arial" w:hAnsi="Arial" w:cs="Arial"/>
          <w:i/>
          <w:iCs/>
          <w:sz w:val="14"/>
          <w:szCs w:val="14"/>
        </w:rPr>
        <w:t>TKRM</w:t>
      </w:r>
      <w:r w:rsidR="00924AB6" w:rsidRPr="001B28E9">
        <w:rPr>
          <w:rFonts w:ascii="Arial" w:hAnsi="Arial" w:cs="Arial"/>
          <w:i/>
          <w:iCs/>
          <w:sz w:val="14"/>
          <w:szCs w:val="14"/>
          <w:lang w:val="el-GR"/>
        </w:rPr>
        <w:t xml:space="preserve"> </w:t>
      </w:r>
      <w:r w:rsidRPr="00FB20CB">
        <w:rPr>
          <w:rFonts w:ascii="Arial" w:hAnsi="Arial" w:cs="Arial"/>
          <w:i/>
          <w:color w:val="000000"/>
          <w:sz w:val="14"/>
          <w:szCs w:val="14"/>
          <w:lang w:val="el-GR"/>
          <w14:ligatures w14:val="standardContextual"/>
        </w:rPr>
        <w:t xml:space="preserve">έχουν ταξινομηθεί σαν περιουσιακά στοιχεία κατεχόμενα προς πώληση και έχουν αντιμετωπιστεί ως διακοπείσες δραστηριότητες </w:t>
      </w:r>
      <w:r w:rsidR="001B28E9" w:rsidRPr="00FB20CB">
        <w:rPr>
          <w:rFonts w:ascii="Arial" w:hAnsi="Arial" w:cs="Arial"/>
          <w:i/>
          <w:color w:val="000000"/>
          <w:sz w:val="14"/>
          <w:szCs w:val="14"/>
          <w:lang w:val="el-GR"/>
          <w14:ligatures w14:val="standardContextual"/>
        </w:rPr>
        <w:t xml:space="preserve"> για </w:t>
      </w:r>
      <w:r w:rsidRPr="00FB20CB">
        <w:rPr>
          <w:rFonts w:ascii="Arial" w:hAnsi="Arial" w:cs="Arial"/>
          <w:i/>
          <w:color w:val="000000"/>
          <w:sz w:val="14"/>
          <w:szCs w:val="14"/>
          <w:lang w:val="el-GR"/>
          <w14:ligatures w14:val="standardContextual"/>
        </w:rPr>
        <w:t xml:space="preserve">το 2025 &amp; 2024.  </w:t>
      </w:r>
    </w:p>
    <w:p w14:paraId="16055367" w14:textId="77777777" w:rsidR="003A3363" w:rsidRPr="00815314" w:rsidRDefault="003A3363" w:rsidP="003F26FE">
      <w:pPr>
        <w:tabs>
          <w:tab w:val="left" w:pos="7869"/>
        </w:tabs>
        <w:spacing w:after="0" w:line="280" w:lineRule="exact"/>
        <w:jc w:val="both"/>
        <w:rPr>
          <w:rFonts w:ascii="Arial" w:eastAsia="Times New Roman" w:hAnsi="Arial" w:cs="Arial"/>
          <w:b/>
          <w:color w:val="004E9A"/>
        </w:rPr>
      </w:pPr>
    </w:p>
    <w:p w14:paraId="3D60D9D4" w14:textId="0E8B6DF0" w:rsidR="00EF66BF" w:rsidRPr="004240F9" w:rsidRDefault="009E285A" w:rsidP="003F26FE">
      <w:pPr>
        <w:tabs>
          <w:tab w:val="left" w:pos="7869"/>
        </w:tabs>
        <w:spacing w:after="0" w:line="280" w:lineRule="exact"/>
        <w:jc w:val="both"/>
        <w:rPr>
          <w:rFonts w:ascii="Arial" w:eastAsia="Times New Roman" w:hAnsi="Arial" w:cs="Arial"/>
          <w:b/>
          <w:color w:val="004E9A"/>
        </w:rPr>
      </w:pPr>
      <w:r w:rsidRPr="004240F9">
        <w:rPr>
          <w:rFonts w:ascii="Arial" w:eastAsia="Times New Roman" w:hAnsi="Arial" w:cs="Arial"/>
          <w:b/>
          <w:color w:val="004E9A"/>
        </w:rPr>
        <w:t xml:space="preserve">Μήνυμα του Προέδρου και Διευθύνοντος Συμβούλου, κ. </w:t>
      </w:r>
      <w:r w:rsidR="00A77437" w:rsidRPr="004240F9">
        <w:rPr>
          <w:rFonts w:ascii="Arial" w:eastAsia="Times New Roman" w:hAnsi="Arial" w:cs="Arial"/>
          <w:b/>
          <w:color w:val="004E9A"/>
        </w:rPr>
        <w:t xml:space="preserve">Κώστα </w:t>
      </w:r>
      <w:proofErr w:type="spellStart"/>
      <w:r w:rsidR="00A77437" w:rsidRPr="004240F9">
        <w:rPr>
          <w:rFonts w:ascii="Arial" w:eastAsia="Times New Roman" w:hAnsi="Arial" w:cs="Arial"/>
          <w:b/>
          <w:color w:val="004E9A"/>
        </w:rPr>
        <w:t>Νεμπή</w:t>
      </w:r>
      <w:proofErr w:type="spellEnd"/>
      <w:r w:rsidR="003F26FE">
        <w:rPr>
          <w:rFonts w:ascii="Arial" w:eastAsia="Times New Roman" w:hAnsi="Arial" w:cs="Arial"/>
          <w:b/>
          <w:color w:val="004E9A"/>
        </w:rPr>
        <w:tab/>
      </w:r>
    </w:p>
    <w:p w14:paraId="7E26EA91" w14:textId="6BD951ED" w:rsidR="00070EDD" w:rsidRPr="00FB20CB" w:rsidRDefault="00E776E1" w:rsidP="00182978">
      <w:pPr>
        <w:spacing w:line="280" w:lineRule="exact"/>
        <w:jc w:val="both"/>
        <w:rPr>
          <w:rFonts w:ascii="Arial" w:eastAsia="Times New Roman" w:hAnsi="Arial" w:cs="Arial"/>
          <w:szCs w:val="20"/>
        </w:rPr>
      </w:pPr>
      <w:bookmarkStart w:id="0" w:name="_Hlk182228947"/>
      <w:r w:rsidRPr="00FB20CB">
        <w:rPr>
          <w:rFonts w:ascii="Arial" w:eastAsia="Times New Roman" w:hAnsi="Arial" w:cs="Arial"/>
          <w:szCs w:val="20"/>
        </w:rPr>
        <w:t>«</w:t>
      </w:r>
      <w:bookmarkStart w:id="1" w:name="_Hlk182228019"/>
      <w:r w:rsidR="00244643" w:rsidRPr="00FB20CB">
        <w:rPr>
          <w:rFonts w:ascii="Arial" w:eastAsia="Times New Roman" w:hAnsi="Arial" w:cs="Arial"/>
          <w:szCs w:val="20"/>
        </w:rPr>
        <w:t>Κατά το Γ’ τρίμηνο, ο</w:t>
      </w:r>
      <w:r w:rsidR="0025316E" w:rsidRPr="00FB20CB">
        <w:rPr>
          <w:rFonts w:ascii="Arial" w:eastAsia="Times New Roman" w:hAnsi="Arial" w:cs="Arial"/>
          <w:szCs w:val="20"/>
        </w:rPr>
        <w:t>λοκληρώσαμε με επιτυχία</w:t>
      </w:r>
      <w:r w:rsidR="00E97A85" w:rsidRPr="00FB20CB">
        <w:rPr>
          <w:rFonts w:ascii="Arial" w:eastAsia="Times New Roman" w:hAnsi="Arial" w:cs="Arial"/>
          <w:szCs w:val="20"/>
        </w:rPr>
        <w:t xml:space="preserve"> </w:t>
      </w:r>
      <w:r w:rsidR="005E04A6" w:rsidRPr="00FB20CB">
        <w:rPr>
          <w:rFonts w:ascii="Arial" w:eastAsia="Times New Roman" w:hAnsi="Arial" w:cs="Arial"/>
          <w:szCs w:val="20"/>
        </w:rPr>
        <w:t xml:space="preserve">την </w:t>
      </w:r>
      <w:r w:rsidR="0025316E" w:rsidRPr="00FB20CB">
        <w:rPr>
          <w:rFonts w:ascii="Arial" w:eastAsia="Times New Roman" w:hAnsi="Arial" w:cs="Arial"/>
          <w:szCs w:val="20"/>
        </w:rPr>
        <w:t>πώληση</w:t>
      </w:r>
      <w:r w:rsidR="005E04A6" w:rsidRPr="00FB20CB">
        <w:rPr>
          <w:rFonts w:ascii="Arial" w:eastAsia="Times New Roman" w:hAnsi="Arial" w:cs="Arial"/>
          <w:szCs w:val="20"/>
        </w:rPr>
        <w:t xml:space="preserve"> της </w:t>
      </w:r>
      <w:proofErr w:type="spellStart"/>
      <w:r w:rsidR="005E04A6" w:rsidRPr="00FB20CB">
        <w:rPr>
          <w:rFonts w:ascii="Arial" w:eastAsia="Times New Roman" w:hAnsi="Arial" w:cs="Arial"/>
          <w:szCs w:val="20"/>
        </w:rPr>
        <w:t>Telekom</w:t>
      </w:r>
      <w:proofErr w:type="spellEnd"/>
      <w:r w:rsidR="005E04A6" w:rsidRPr="00FB20CB">
        <w:rPr>
          <w:rFonts w:ascii="Arial" w:eastAsia="Times New Roman" w:hAnsi="Arial" w:cs="Arial"/>
          <w:szCs w:val="20"/>
        </w:rPr>
        <w:t xml:space="preserve"> </w:t>
      </w:r>
      <w:proofErr w:type="spellStart"/>
      <w:r w:rsidR="005E04A6" w:rsidRPr="00FB20CB">
        <w:rPr>
          <w:rFonts w:ascii="Arial" w:eastAsia="Times New Roman" w:hAnsi="Arial" w:cs="Arial"/>
          <w:szCs w:val="20"/>
        </w:rPr>
        <w:t>Romania</w:t>
      </w:r>
      <w:proofErr w:type="spellEnd"/>
      <w:r w:rsidR="005E04A6" w:rsidRPr="00FB20CB">
        <w:rPr>
          <w:rFonts w:ascii="Arial" w:eastAsia="Times New Roman" w:hAnsi="Arial" w:cs="Arial"/>
          <w:szCs w:val="20"/>
        </w:rPr>
        <w:t xml:space="preserve"> </w:t>
      </w:r>
      <w:proofErr w:type="spellStart"/>
      <w:r w:rsidR="005E04A6" w:rsidRPr="00FB20CB">
        <w:rPr>
          <w:rFonts w:ascii="Arial" w:eastAsia="Times New Roman" w:hAnsi="Arial" w:cs="Arial"/>
          <w:szCs w:val="20"/>
        </w:rPr>
        <w:t>Mobile</w:t>
      </w:r>
      <w:proofErr w:type="spellEnd"/>
      <w:r w:rsidR="005E04A6" w:rsidRPr="00FB20CB">
        <w:rPr>
          <w:rFonts w:ascii="Arial" w:eastAsia="Times New Roman" w:hAnsi="Arial" w:cs="Arial"/>
          <w:szCs w:val="20"/>
        </w:rPr>
        <w:t xml:space="preserve">, </w:t>
      </w:r>
      <w:r w:rsidR="00E97A85" w:rsidRPr="00FB20CB">
        <w:rPr>
          <w:rFonts w:ascii="Arial" w:eastAsia="Times New Roman" w:hAnsi="Arial" w:cs="Arial"/>
          <w:szCs w:val="20"/>
        </w:rPr>
        <w:t xml:space="preserve">μια </w:t>
      </w:r>
      <w:r w:rsidR="00244643" w:rsidRPr="00FB20CB">
        <w:rPr>
          <w:rFonts w:ascii="Arial" w:eastAsia="Times New Roman" w:hAnsi="Arial" w:cs="Arial"/>
          <w:szCs w:val="20"/>
        </w:rPr>
        <w:t>στρατηγική</w:t>
      </w:r>
      <w:r w:rsidR="00153EFF" w:rsidRPr="00FB20CB">
        <w:rPr>
          <w:rFonts w:ascii="Arial" w:eastAsia="Times New Roman" w:hAnsi="Arial" w:cs="Arial"/>
          <w:szCs w:val="20"/>
        </w:rPr>
        <w:t xml:space="preserve"> κίνηση</w:t>
      </w:r>
      <w:r w:rsidR="00244643" w:rsidRPr="00FB20CB">
        <w:rPr>
          <w:rFonts w:ascii="Arial" w:eastAsia="Times New Roman" w:hAnsi="Arial" w:cs="Arial"/>
          <w:szCs w:val="20"/>
        </w:rPr>
        <w:t xml:space="preserve"> </w:t>
      </w:r>
      <w:r w:rsidR="0055036F" w:rsidRPr="00FB20CB">
        <w:rPr>
          <w:rFonts w:ascii="Arial" w:eastAsia="Times New Roman" w:hAnsi="Arial" w:cs="Arial"/>
          <w:szCs w:val="20"/>
        </w:rPr>
        <w:t xml:space="preserve">που επιτρέπει στον ΟΤΕ να επικεντρωθεί στην εγχώρια </w:t>
      </w:r>
      <w:r w:rsidR="00153EFF" w:rsidRPr="00FB20CB">
        <w:rPr>
          <w:rFonts w:ascii="Arial" w:eastAsia="Times New Roman" w:hAnsi="Arial" w:cs="Arial"/>
          <w:szCs w:val="20"/>
        </w:rPr>
        <w:t xml:space="preserve">αγορά </w:t>
      </w:r>
      <w:r w:rsidR="0055036F" w:rsidRPr="00FB20CB">
        <w:rPr>
          <w:rFonts w:ascii="Arial" w:eastAsia="Times New Roman" w:hAnsi="Arial" w:cs="Arial"/>
          <w:szCs w:val="20"/>
        </w:rPr>
        <w:t xml:space="preserve">και να συνεχίσει να δημιουργεί περαιτέρω αξία για τους μετόχους του. </w:t>
      </w:r>
      <w:r w:rsidR="00DA2610" w:rsidRPr="00FB20CB">
        <w:rPr>
          <w:rFonts w:ascii="Arial" w:eastAsia="Times New Roman" w:hAnsi="Arial" w:cs="Arial"/>
          <w:szCs w:val="20"/>
        </w:rPr>
        <w:t xml:space="preserve">Συνεπείς </w:t>
      </w:r>
      <w:r w:rsidR="00981ED9" w:rsidRPr="00FB20CB">
        <w:rPr>
          <w:rFonts w:ascii="Arial" w:eastAsia="Times New Roman" w:hAnsi="Arial" w:cs="Arial"/>
          <w:szCs w:val="20"/>
        </w:rPr>
        <w:t>με</w:t>
      </w:r>
      <w:r w:rsidR="00DA2610" w:rsidRPr="00FB20CB">
        <w:rPr>
          <w:rFonts w:ascii="Arial" w:eastAsia="Times New Roman" w:hAnsi="Arial" w:cs="Arial"/>
          <w:szCs w:val="20"/>
        </w:rPr>
        <w:t xml:space="preserve"> τις</w:t>
      </w:r>
      <w:r w:rsidR="0055036F" w:rsidRPr="00FB20CB">
        <w:rPr>
          <w:rFonts w:ascii="Arial" w:eastAsia="Times New Roman" w:hAnsi="Arial" w:cs="Arial"/>
          <w:szCs w:val="20"/>
        </w:rPr>
        <w:t xml:space="preserve"> δεσμεύσεις μας,</w:t>
      </w:r>
      <w:r w:rsidR="00DA2610" w:rsidRPr="00FB20CB">
        <w:rPr>
          <w:rFonts w:ascii="Arial" w:eastAsia="Times New Roman" w:hAnsi="Arial" w:cs="Arial"/>
          <w:szCs w:val="20"/>
        </w:rPr>
        <w:t xml:space="preserve"> ανακοινώσαμε </w:t>
      </w:r>
      <w:r w:rsidR="0055036F" w:rsidRPr="00FB20CB">
        <w:rPr>
          <w:rFonts w:ascii="Arial" w:eastAsia="Times New Roman" w:hAnsi="Arial" w:cs="Arial"/>
          <w:szCs w:val="20"/>
        </w:rPr>
        <w:t>έκτακτο μ</w:t>
      </w:r>
      <w:r w:rsidR="000E62E1" w:rsidRPr="00FB20CB">
        <w:rPr>
          <w:rFonts w:ascii="Arial" w:eastAsia="Times New Roman" w:hAnsi="Arial" w:cs="Arial"/>
          <w:szCs w:val="20"/>
        </w:rPr>
        <w:t>έρισμα</w:t>
      </w:r>
      <w:r w:rsidR="00DA2610" w:rsidRPr="00FB20CB">
        <w:rPr>
          <w:rFonts w:ascii="Arial" w:eastAsia="Times New Roman" w:hAnsi="Arial" w:cs="Arial"/>
          <w:szCs w:val="20"/>
        </w:rPr>
        <w:t xml:space="preserve">. </w:t>
      </w:r>
      <w:r w:rsidR="001E57A0" w:rsidRPr="00FB20CB">
        <w:rPr>
          <w:rFonts w:ascii="Arial" w:eastAsia="Times New Roman" w:hAnsi="Arial" w:cs="Arial"/>
          <w:szCs w:val="20"/>
        </w:rPr>
        <w:t xml:space="preserve">Στην Ελλάδα, πετύχαμε πρόσφατα μια σημαντική συμφωνία </w:t>
      </w:r>
      <w:r w:rsidR="009A7826" w:rsidRPr="00FB20CB">
        <w:rPr>
          <w:rFonts w:ascii="Arial" w:eastAsia="Times New Roman" w:hAnsi="Arial" w:cs="Arial"/>
          <w:szCs w:val="20"/>
        </w:rPr>
        <w:t>για την ανάληψη το</w:t>
      </w:r>
      <w:r w:rsidR="00E117BA" w:rsidRPr="00FB20CB">
        <w:rPr>
          <w:rFonts w:ascii="Arial" w:eastAsia="Times New Roman" w:hAnsi="Arial" w:cs="Arial"/>
          <w:szCs w:val="20"/>
        </w:rPr>
        <w:t xml:space="preserve">υ συνόλου του </w:t>
      </w:r>
      <w:r w:rsidR="00910388" w:rsidRPr="00FB20CB">
        <w:rPr>
          <w:rFonts w:ascii="Arial" w:eastAsia="Times New Roman" w:hAnsi="Arial" w:cs="Arial"/>
          <w:szCs w:val="20"/>
        </w:rPr>
        <w:t xml:space="preserve">μερικώς </w:t>
      </w:r>
      <w:r w:rsidR="00E117BA" w:rsidRPr="00FB20CB">
        <w:rPr>
          <w:rFonts w:ascii="Arial" w:eastAsia="Times New Roman" w:hAnsi="Arial" w:cs="Arial"/>
          <w:szCs w:val="20"/>
        </w:rPr>
        <w:lastRenderedPageBreak/>
        <w:t xml:space="preserve">επιδοτούμενου έργου </w:t>
      </w:r>
      <w:proofErr w:type="spellStart"/>
      <w:r w:rsidR="00E117BA" w:rsidRPr="00FB20CB">
        <w:rPr>
          <w:rFonts w:ascii="Arial" w:eastAsia="Times New Roman" w:hAnsi="Arial" w:cs="Arial"/>
          <w:szCs w:val="20"/>
        </w:rPr>
        <w:t>Ultra-Fast</w:t>
      </w:r>
      <w:proofErr w:type="spellEnd"/>
      <w:r w:rsidR="00E117BA" w:rsidRPr="00FB20CB">
        <w:rPr>
          <w:rFonts w:ascii="Arial" w:eastAsia="Times New Roman" w:hAnsi="Arial" w:cs="Arial"/>
          <w:szCs w:val="20"/>
        </w:rPr>
        <w:t xml:space="preserve"> </w:t>
      </w:r>
      <w:proofErr w:type="spellStart"/>
      <w:r w:rsidR="00E117BA" w:rsidRPr="00FB20CB">
        <w:rPr>
          <w:rFonts w:ascii="Arial" w:eastAsia="Times New Roman" w:hAnsi="Arial" w:cs="Arial"/>
          <w:szCs w:val="20"/>
        </w:rPr>
        <w:t>Broadband</w:t>
      </w:r>
      <w:proofErr w:type="spellEnd"/>
      <w:r w:rsidR="00E117BA" w:rsidRPr="00FB20CB" w:rsidDel="00511799">
        <w:rPr>
          <w:rFonts w:ascii="Arial" w:eastAsia="Times New Roman" w:hAnsi="Arial" w:cs="Arial"/>
          <w:szCs w:val="20"/>
        </w:rPr>
        <w:t xml:space="preserve"> </w:t>
      </w:r>
      <w:r w:rsidR="00E117BA" w:rsidRPr="00FB20CB">
        <w:rPr>
          <w:rFonts w:ascii="Arial" w:eastAsia="Times New Roman" w:hAnsi="Arial" w:cs="Arial"/>
          <w:szCs w:val="20"/>
        </w:rPr>
        <w:t xml:space="preserve">(UFBB), που θα μας επιτρέψει να </w:t>
      </w:r>
      <w:r w:rsidR="004745D6" w:rsidRPr="00FB20CB">
        <w:rPr>
          <w:rFonts w:ascii="Arial" w:eastAsia="Times New Roman" w:hAnsi="Arial" w:cs="Arial"/>
          <w:szCs w:val="20"/>
        </w:rPr>
        <w:t xml:space="preserve">αυξήσουμε </w:t>
      </w:r>
      <w:r w:rsidR="001E57A0" w:rsidRPr="00FB20CB">
        <w:rPr>
          <w:rFonts w:ascii="Arial" w:eastAsia="Times New Roman" w:hAnsi="Arial" w:cs="Arial"/>
          <w:szCs w:val="20"/>
        </w:rPr>
        <w:t xml:space="preserve">περαιτέρω </w:t>
      </w:r>
      <w:r w:rsidR="004745D6" w:rsidRPr="00FB20CB">
        <w:rPr>
          <w:rFonts w:ascii="Arial" w:eastAsia="Times New Roman" w:hAnsi="Arial" w:cs="Arial"/>
          <w:szCs w:val="20"/>
        </w:rPr>
        <w:t xml:space="preserve">την </w:t>
      </w:r>
      <w:r w:rsidR="001E57A0" w:rsidRPr="00FB20CB">
        <w:rPr>
          <w:rFonts w:ascii="Arial" w:eastAsia="Times New Roman" w:hAnsi="Arial" w:cs="Arial"/>
          <w:szCs w:val="20"/>
        </w:rPr>
        <w:t>κάλυψη</w:t>
      </w:r>
      <w:r w:rsidR="004745D6" w:rsidRPr="00FB20CB">
        <w:rPr>
          <w:rFonts w:ascii="Arial" w:eastAsia="Times New Roman" w:hAnsi="Arial" w:cs="Arial"/>
          <w:szCs w:val="20"/>
        </w:rPr>
        <w:t xml:space="preserve"> </w:t>
      </w:r>
      <w:r w:rsidR="006713E3" w:rsidRPr="00FB20CB">
        <w:rPr>
          <w:rFonts w:ascii="Arial" w:eastAsia="Times New Roman" w:hAnsi="Arial" w:cs="Arial"/>
          <w:szCs w:val="20"/>
        </w:rPr>
        <w:t xml:space="preserve">της χώρας με </w:t>
      </w:r>
      <w:r w:rsidR="005625CA" w:rsidRPr="00FB20CB">
        <w:rPr>
          <w:rFonts w:ascii="Arial" w:eastAsia="Times New Roman" w:hAnsi="Arial" w:cs="Arial"/>
          <w:szCs w:val="20"/>
        </w:rPr>
        <w:t>τα δίκτυα νέας γενιάς (</w:t>
      </w:r>
      <w:r w:rsidR="001E57A0" w:rsidRPr="00FB20CB" w:rsidDel="006713E3">
        <w:rPr>
          <w:rFonts w:ascii="Arial" w:eastAsia="Times New Roman" w:hAnsi="Arial" w:cs="Arial"/>
          <w:szCs w:val="20"/>
        </w:rPr>
        <w:t>NGA</w:t>
      </w:r>
      <w:r w:rsidR="005625CA" w:rsidRPr="00FB20CB">
        <w:rPr>
          <w:rFonts w:ascii="Arial" w:eastAsia="Times New Roman" w:hAnsi="Arial" w:cs="Arial"/>
          <w:szCs w:val="20"/>
        </w:rPr>
        <w:t>)</w:t>
      </w:r>
      <w:r w:rsidR="006713E3" w:rsidRPr="00FB20CB">
        <w:rPr>
          <w:rFonts w:ascii="Arial" w:eastAsia="Times New Roman" w:hAnsi="Arial" w:cs="Arial"/>
          <w:szCs w:val="20"/>
        </w:rPr>
        <w:t xml:space="preserve">, </w:t>
      </w:r>
      <w:r w:rsidR="005625CA" w:rsidRPr="00FB20CB">
        <w:rPr>
          <w:rFonts w:ascii="Arial" w:eastAsia="Times New Roman" w:hAnsi="Arial" w:cs="Arial"/>
          <w:szCs w:val="20"/>
        </w:rPr>
        <w:t>με στόχο την παροχή υπερύψηλης και αξιόπιστης συνδεσιμότητας</w:t>
      </w:r>
      <w:r w:rsidR="001E57A0" w:rsidRPr="00FB20CB" w:rsidDel="006713E3">
        <w:rPr>
          <w:rFonts w:ascii="Arial" w:eastAsia="Times New Roman" w:hAnsi="Arial" w:cs="Arial"/>
          <w:szCs w:val="20"/>
        </w:rPr>
        <w:t xml:space="preserve"> </w:t>
      </w:r>
      <w:r w:rsidR="006713E3" w:rsidRPr="00FB20CB">
        <w:rPr>
          <w:rFonts w:ascii="Arial" w:eastAsia="Times New Roman" w:hAnsi="Arial" w:cs="Arial"/>
          <w:szCs w:val="20"/>
        </w:rPr>
        <w:t xml:space="preserve">σύμφωνα με τη </w:t>
      </w:r>
      <w:r w:rsidR="001E57A0" w:rsidRPr="00FB20CB">
        <w:rPr>
          <w:rFonts w:ascii="Arial" w:eastAsia="Times New Roman" w:hAnsi="Arial" w:cs="Arial"/>
          <w:szCs w:val="20"/>
        </w:rPr>
        <w:t>στρατηγική μας</w:t>
      </w:r>
      <w:r w:rsidR="0055036F" w:rsidRPr="00FB20CB">
        <w:rPr>
          <w:rFonts w:ascii="Arial" w:eastAsia="Times New Roman" w:hAnsi="Arial" w:cs="Arial"/>
          <w:szCs w:val="20"/>
        </w:rPr>
        <w:t>.</w:t>
      </w:r>
      <w:r w:rsidR="001E57A0" w:rsidRPr="00FB20CB">
        <w:rPr>
          <w:rFonts w:ascii="Arial" w:eastAsia="Times New Roman" w:hAnsi="Arial" w:cs="Arial"/>
          <w:szCs w:val="20"/>
        </w:rPr>
        <w:t xml:space="preserve"> </w:t>
      </w:r>
      <w:r w:rsidR="00C617BE" w:rsidRPr="00FB20CB">
        <w:rPr>
          <w:rFonts w:ascii="Arial" w:eastAsia="Times New Roman" w:hAnsi="Arial" w:cs="Arial"/>
          <w:szCs w:val="20"/>
        </w:rPr>
        <w:t xml:space="preserve">Συνεπείς με το όραμά μας να εξελιχθούμε στον κορυφαίο </w:t>
      </w:r>
      <w:proofErr w:type="spellStart"/>
      <w:r w:rsidR="00C617BE" w:rsidRPr="00FB20CB">
        <w:rPr>
          <w:rFonts w:ascii="Arial" w:eastAsia="Times New Roman" w:hAnsi="Arial" w:cs="Arial"/>
          <w:szCs w:val="20"/>
        </w:rPr>
        <w:t>πάροχο</w:t>
      </w:r>
      <w:proofErr w:type="spellEnd"/>
      <w:r w:rsidR="00C617BE" w:rsidRPr="00FB20CB">
        <w:rPr>
          <w:rFonts w:ascii="Arial" w:eastAsia="Times New Roman" w:hAnsi="Arial" w:cs="Arial"/>
          <w:szCs w:val="20"/>
        </w:rPr>
        <w:t xml:space="preserve"> ψηφιακών υπηρεσιών στην Ελλάδα, παρουσιάσαμε πρόσφατα το «</w:t>
      </w:r>
      <w:proofErr w:type="spellStart"/>
      <w:r w:rsidR="00C617BE" w:rsidRPr="00FB20CB">
        <w:rPr>
          <w:rFonts w:ascii="Arial" w:eastAsia="Times New Roman" w:hAnsi="Arial" w:cs="Arial"/>
          <w:szCs w:val="20"/>
        </w:rPr>
        <w:t>Magenta</w:t>
      </w:r>
      <w:proofErr w:type="spellEnd"/>
      <w:r w:rsidR="00C617BE" w:rsidRPr="00FB20CB">
        <w:rPr>
          <w:rFonts w:ascii="Arial" w:eastAsia="Times New Roman" w:hAnsi="Arial" w:cs="Arial"/>
          <w:szCs w:val="20"/>
        </w:rPr>
        <w:t xml:space="preserve"> AI», </w:t>
      </w:r>
      <w:r w:rsidR="006B0092" w:rsidRPr="00FB20CB">
        <w:rPr>
          <w:rFonts w:ascii="Arial" w:eastAsia="Times New Roman" w:hAnsi="Arial" w:cs="Arial"/>
          <w:szCs w:val="20"/>
        </w:rPr>
        <w:t xml:space="preserve">μια πρόταση που </w:t>
      </w:r>
      <w:r w:rsidR="00C617BE" w:rsidRPr="00FB20CB">
        <w:rPr>
          <w:rFonts w:ascii="Arial" w:eastAsia="Times New Roman" w:hAnsi="Arial" w:cs="Arial"/>
          <w:szCs w:val="20"/>
        </w:rPr>
        <w:t>φέρν</w:t>
      </w:r>
      <w:r w:rsidR="006B0092" w:rsidRPr="00FB20CB">
        <w:rPr>
          <w:rFonts w:ascii="Arial" w:eastAsia="Times New Roman" w:hAnsi="Arial" w:cs="Arial"/>
          <w:szCs w:val="20"/>
        </w:rPr>
        <w:t>ει</w:t>
      </w:r>
      <w:r w:rsidR="00C617BE" w:rsidRPr="00FB20CB">
        <w:rPr>
          <w:rFonts w:ascii="Arial" w:eastAsia="Times New Roman" w:hAnsi="Arial" w:cs="Arial"/>
          <w:szCs w:val="20"/>
        </w:rPr>
        <w:t xml:space="preserve"> τη δύναμη της τεχνητής νοημοσύνης </w:t>
      </w:r>
      <w:r w:rsidR="006B0092" w:rsidRPr="00FB20CB">
        <w:rPr>
          <w:rFonts w:ascii="Arial" w:eastAsia="Times New Roman" w:hAnsi="Arial" w:cs="Arial"/>
          <w:szCs w:val="20"/>
        </w:rPr>
        <w:t>στα χέρια των πελατών μας</w:t>
      </w:r>
      <w:r w:rsidR="003B0547" w:rsidRPr="00FB20CB">
        <w:rPr>
          <w:rFonts w:ascii="Arial" w:eastAsia="Times New Roman" w:hAnsi="Arial" w:cs="Arial"/>
          <w:szCs w:val="20"/>
        </w:rPr>
        <w:t xml:space="preserve">, ενισχύοντας την αξία των υπηρεσιών </w:t>
      </w:r>
      <w:r w:rsidR="006127A3" w:rsidRPr="00FB20CB">
        <w:rPr>
          <w:rFonts w:ascii="Arial" w:eastAsia="Times New Roman" w:hAnsi="Arial" w:cs="Arial"/>
          <w:szCs w:val="20"/>
        </w:rPr>
        <w:t>που παρέχουμε</w:t>
      </w:r>
      <w:r w:rsidR="00C617BE" w:rsidRPr="00FB20CB">
        <w:rPr>
          <w:rFonts w:ascii="Arial" w:eastAsia="Times New Roman" w:hAnsi="Arial" w:cs="Arial"/>
          <w:szCs w:val="20"/>
        </w:rPr>
        <w:t>.</w:t>
      </w:r>
    </w:p>
    <w:p w14:paraId="19F5000B" w14:textId="561DDCB3" w:rsidR="00B80A15" w:rsidRPr="00C120B6" w:rsidRDefault="006127A3" w:rsidP="00852D23">
      <w:pPr>
        <w:pStyle w:val="Default"/>
        <w:spacing w:line="276" w:lineRule="auto"/>
        <w:jc w:val="both"/>
        <w:rPr>
          <w:rFonts w:ascii="Arial" w:hAnsi="Arial" w:cs="Arial"/>
          <w:color w:val="auto"/>
          <w:sz w:val="22"/>
          <w:szCs w:val="20"/>
          <w:lang w:eastAsia="en-US"/>
        </w:rPr>
      </w:pPr>
      <w:r>
        <w:rPr>
          <w:rFonts w:ascii="Arial" w:hAnsi="Arial" w:cs="Arial"/>
          <w:color w:val="auto"/>
          <w:sz w:val="22"/>
          <w:szCs w:val="20"/>
          <w:lang w:eastAsia="en-US"/>
        </w:rPr>
        <w:t>Κατά το τρίμηνο, κ</w:t>
      </w:r>
      <w:r w:rsidR="00070EDD">
        <w:rPr>
          <w:rFonts w:ascii="Arial" w:hAnsi="Arial" w:cs="Arial"/>
          <w:color w:val="auto"/>
          <w:sz w:val="22"/>
          <w:szCs w:val="20"/>
          <w:lang w:eastAsia="en-US"/>
        </w:rPr>
        <w:t xml:space="preserve">αταγράψαμε ισχυρές επιδόσεις </w:t>
      </w:r>
      <w:r w:rsidR="00070EDD" w:rsidRPr="00070EDD">
        <w:rPr>
          <w:rFonts w:ascii="Arial" w:hAnsi="Arial" w:cs="Arial"/>
          <w:color w:val="auto"/>
          <w:sz w:val="22"/>
          <w:szCs w:val="20"/>
          <w:lang w:eastAsia="en-US"/>
        </w:rPr>
        <w:t xml:space="preserve">σε όλους τους βασικούς τομείς, με </w:t>
      </w:r>
      <w:r w:rsidR="001C7BA5">
        <w:rPr>
          <w:rFonts w:ascii="Arial" w:hAnsi="Arial" w:cs="Arial"/>
          <w:color w:val="auto"/>
          <w:sz w:val="22"/>
          <w:szCs w:val="20"/>
          <w:lang w:eastAsia="en-US"/>
        </w:rPr>
        <w:t xml:space="preserve">τις </w:t>
      </w:r>
      <w:proofErr w:type="spellStart"/>
      <w:r w:rsidR="00070EDD" w:rsidRPr="00070EDD">
        <w:rPr>
          <w:rFonts w:ascii="Arial" w:hAnsi="Arial" w:cs="Arial"/>
          <w:color w:val="auto"/>
          <w:sz w:val="22"/>
          <w:szCs w:val="20"/>
          <w:lang w:eastAsia="en-US"/>
        </w:rPr>
        <w:t>ευρυζωνικές</w:t>
      </w:r>
      <w:proofErr w:type="spellEnd"/>
      <w:r w:rsidR="00070EDD" w:rsidRPr="00070EDD">
        <w:rPr>
          <w:rFonts w:ascii="Arial" w:hAnsi="Arial" w:cs="Arial"/>
          <w:color w:val="auto"/>
          <w:sz w:val="22"/>
          <w:szCs w:val="20"/>
          <w:lang w:eastAsia="en-US"/>
        </w:rPr>
        <w:t xml:space="preserve"> υπηρεσίες, </w:t>
      </w:r>
      <w:r w:rsidR="001C7BA5">
        <w:rPr>
          <w:rFonts w:ascii="Arial" w:hAnsi="Arial" w:cs="Arial"/>
          <w:color w:val="auto"/>
          <w:sz w:val="22"/>
          <w:szCs w:val="20"/>
          <w:lang w:eastAsia="en-US"/>
        </w:rPr>
        <w:t>την</w:t>
      </w:r>
      <w:r w:rsidR="00070EDD" w:rsidRPr="00070EDD">
        <w:rPr>
          <w:rFonts w:ascii="Arial" w:hAnsi="Arial" w:cs="Arial"/>
          <w:color w:val="auto"/>
          <w:sz w:val="22"/>
          <w:szCs w:val="20"/>
          <w:lang w:eastAsia="en-US"/>
        </w:rPr>
        <w:t xml:space="preserve"> κινητή τηλεφωνία και </w:t>
      </w:r>
      <w:r w:rsidR="001C7BA5">
        <w:rPr>
          <w:rFonts w:ascii="Arial" w:hAnsi="Arial" w:cs="Arial"/>
          <w:color w:val="auto"/>
          <w:sz w:val="22"/>
          <w:szCs w:val="20"/>
          <w:lang w:eastAsia="en-US"/>
        </w:rPr>
        <w:t xml:space="preserve">το </w:t>
      </w:r>
      <w:r w:rsidR="00070EDD" w:rsidRPr="00070EDD">
        <w:rPr>
          <w:rFonts w:ascii="Arial" w:hAnsi="Arial" w:cs="Arial"/>
          <w:color w:val="auto"/>
          <w:sz w:val="22"/>
          <w:szCs w:val="20"/>
          <w:lang w:eastAsia="en-US"/>
        </w:rPr>
        <w:t xml:space="preserve">ICT να </w:t>
      </w:r>
      <w:r w:rsidR="002C55E2">
        <w:rPr>
          <w:rFonts w:ascii="Arial" w:hAnsi="Arial" w:cs="Arial"/>
          <w:color w:val="auto"/>
          <w:sz w:val="22"/>
          <w:szCs w:val="20"/>
          <w:lang w:eastAsia="en-US"/>
        </w:rPr>
        <w:t>σημειώνουν</w:t>
      </w:r>
      <w:r w:rsidR="00070EDD" w:rsidRPr="00070EDD">
        <w:rPr>
          <w:rFonts w:ascii="Arial" w:hAnsi="Arial" w:cs="Arial"/>
          <w:color w:val="auto"/>
          <w:sz w:val="22"/>
          <w:szCs w:val="20"/>
          <w:lang w:eastAsia="en-US"/>
        </w:rPr>
        <w:t xml:space="preserve"> ακόμη ένα τρίμηνο ανάπτυξης.</w:t>
      </w:r>
      <w:r w:rsidR="00157CC2">
        <w:rPr>
          <w:rFonts w:ascii="Arial" w:hAnsi="Arial" w:cs="Arial"/>
          <w:color w:val="auto"/>
          <w:sz w:val="22"/>
          <w:szCs w:val="20"/>
          <w:lang w:eastAsia="en-US"/>
        </w:rPr>
        <w:t xml:space="preserve"> Εί</w:t>
      </w:r>
      <w:r w:rsidR="00157CC2" w:rsidRPr="009C7623">
        <w:rPr>
          <w:rFonts w:ascii="Arial" w:hAnsi="Arial" w:cs="Arial"/>
          <w:color w:val="auto"/>
          <w:sz w:val="22"/>
          <w:szCs w:val="20"/>
          <w:lang w:eastAsia="en-US"/>
        </w:rPr>
        <w:t xml:space="preserve">μαι ιδιαίτερα ικανοποιημένος από τις επιδόσεις στον τομέα λιανικής σταθερής, όπου </w:t>
      </w:r>
      <w:r w:rsidR="00D73A76" w:rsidRPr="009C7623">
        <w:rPr>
          <w:rFonts w:ascii="Arial" w:hAnsi="Arial" w:cs="Arial"/>
          <w:color w:val="auto"/>
          <w:sz w:val="22"/>
          <w:szCs w:val="20"/>
          <w:lang w:eastAsia="en-US"/>
        </w:rPr>
        <w:t>παρά τις προκλήσεις</w:t>
      </w:r>
      <w:r w:rsidR="00D73A76" w:rsidRPr="00D73A76">
        <w:rPr>
          <w:rFonts w:ascii="Arial" w:hAnsi="Arial" w:cs="Arial"/>
          <w:color w:val="auto"/>
          <w:sz w:val="22"/>
          <w:szCs w:val="20"/>
          <w:lang w:eastAsia="en-US"/>
        </w:rPr>
        <w:t>,</w:t>
      </w:r>
      <w:r w:rsidR="00D73A76" w:rsidRPr="009C7623">
        <w:rPr>
          <w:rFonts w:ascii="Arial" w:hAnsi="Arial" w:cs="Arial"/>
          <w:color w:val="auto"/>
          <w:sz w:val="22"/>
          <w:szCs w:val="20"/>
          <w:lang w:eastAsia="en-US"/>
        </w:rPr>
        <w:t xml:space="preserve"> </w:t>
      </w:r>
      <w:r w:rsidR="00157CC2" w:rsidRPr="009C7623">
        <w:rPr>
          <w:rFonts w:ascii="Arial" w:hAnsi="Arial" w:cs="Arial"/>
          <w:color w:val="auto"/>
          <w:sz w:val="22"/>
          <w:szCs w:val="20"/>
          <w:lang w:eastAsia="en-US"/>
        </w:rPr>
        <w:t xml:space="preserve">οι υπηρεσίες σταθερής παραμένουν σε θετική </w:t>
      </w:r>
      <w:r w:rsidR="00237FE4">
        <w:rPr>
          <w:rFonts w:ascii="Arial" w:hAnsi="Arial" w:cs="Arial"/>
          <w:color w:val="auto"/>
          <w:sz w:val="22"/>
          <w:szCs w:val="20"/>
          <w:lang w:eastAsia="en-US"/>
        </w:rPr>
        <w:t>τροχιά</w:t>
      </w:r>
      <w:r w:rsidR="00157CC2" w:rsidRPr="009C7623">
        <w:rPr>
          <w:rFonts w:ascii="Arial" w:hAnsi="Arial" w:cs="Arial"/>
          <w:color w:val="auto"/>
          <w:sz w:val="22"/>
          <w:szCs w:val="20"/>
          <w:lang w:eastAsia="en-US"/>
        </w:rPr>
        <w:t xml:space="preserve"> για δεύτερο συνεχόμενο τρίμηνο</w:t>
      </w:r>
      <w:r w:rsidR="00D73A76" w:rsidRPr="00D73A76">
        <w:rPr>
          <w:rFonts w:ascii="Arial" w:hAnsi="Arial" w:cs="Arial"/>
          <w:color w:val="auto"/>
          <w:sz w:val="22"/>
          <w:szCs w:val="20"/>
          <w:lang w:eastAsia="en-US"/>
        </w:rPr>
        <w:t>.</w:t>
      </w:r>
      <w:r w:rsidR="00FF7D81">
        <w:rPr>
          <w:rFonts w:ascii="Arial" w:hAnsi="Arial" w:cs="Arial"/>
          <w:color w:val="auto"/>
          <w:sz w:val="22"/>
          <w:szCs w:val="20"/>
          <w:lang w:eastAsia="en-US"/>
        </w:rPr>
        <w:t xml:space="preserve">. </w:t>
      </w:r>
      <w:r w:rsidR="00A50077">
        <w:rPr>
          <w:rFonts w:ascii="Arial" w:hAnsi="Arial" w:cs="Arial"/>
          <w:color w:val="auto"/>
          <w:sz w:val="22"/>
          <w:szCs w:val="20"/>
          <w:lang w:eastAsia="en-US"/>
        </w:rPr>
        <w:t>Εκτιμούμε ότι η αναπτυξιακή</w:t>
      </w:r>
      <w:r w:rsidR="00E251C9">
        <w:rPr>
          <w:rFonts w:ascii="Arial" w:hAnsi="Arial" w:cs="Arial"/>
          <w:color w:val="auto"/>
          <w:sz w:val="22"/>
          <w:szCs w:val="20"/>
          <w:lang w:eastAsia="en-US"/>
        </w:rPr>
        <w:t xml:space="preserve"> πορεία θα συνεχιστεί</w:t>
      </w:r>
      <w:r w:rsidR="00CF47C9">
        <w:rPr>
          <w:rFonts w:ascii="Arial" w:hAnsi="Arial" w:cs="Arial"/>
          <w:color w:val="auto"/>
          <w:sz w:val="22"/>
          <w:szCs w:val="20"/>
          <w:lang w:eastAsia="en-US"/>
        </w:rPr>
        <w:t xml:space="preserve">, με μοχλούς </w:t>
      </w:r>
      <w:r w:rsidR="00157CC2" w:rsidRPr="009C7623">
        <w:rPr>
          <w:rFonts w:ascii="Arial" w:hAnsi="Arial" w:cs="Arial"/>
          <w:color w:val="auto"/>
          <w:sz w:val="22"/>
          <w:szCs w:val="20"/>
          <w:lang w:eastAsia="en-US"/>
        </w:rPr>
        <w:t xml:space="preserve">την αυξανόμενη </w:t>
      </w:r>
      <w:r w:rsidR="001012FE">
        <w:rPr>
          <w:rFonts w:ascii="Arial" w:hAnsi="Arial" w:cs="Arial"/>
          <w:color w:val="auto"/>
          <w:sz w:val="22"/>
          <w:szCs w:val="20"/>
          <w:lang w:eastAsia="en-US"/>
        </w:rPr>
        <w:t>υιοθέτηση</w:t>
      </w:r>
      <w:r w:rsidR="001012FE" w:rsidRPr="00C120B6">
        <w:rPr>
          <w:rFonts w:ascii="Arial" w:hAnsi="Arial" w:cs="Arial"/>
          <w:color w:val="auto"/>
          <w:sz w:val="22"/>
          <w:szCs w:val="20"/>
          <w:lang w:eastAsia="en-US"/>
        </w:rPr>
        <w:t xml:space="preserve"> </w:t>
      </w:r>
      <w:r w:rsidR="001012FE">
        <w:rPr>
          <w:rFonts w:ascii="Arial" w:hAnsi="Arial" w:cs="Arial"/>
          <w:color w:val="auto"/>
          <w:sz w:val="22"/>
          <w:szCs w:val="20"/>
          <w:lang w:eastAsia="en-US"/>
        </w:rPr>
        <w:t>των υπηρεσιών</w:t>
      </w:r>
      <w:r w:rsidR="001012FE" w:rsidRPr="00C120B6">
        <w:rPr>
          <w:rFonts w:ascii="Arial" w:hAnsi="Arial" w:cs="Arial"/>
          <w:color w:val="auto"/>
          <w:sz w:val="22"/>
          <w:szCs w:val="20"/>
          <w:lang w:eastAsia="en-US"/>
        </w:rPr>
        <w:t xml:space="preserve"> </w:t>
      </w:r>
      <w:r w:rsidR="00157CC2" w:rsidRPr="009C7623">
        <w:rPr>
          <w:rFonts w:ascii="Arial" w:hAnsi="Arial" w:cs="Arial"/>
          <w:color w:val="auto"/>
          <w:sz w:val="22"/>
          <w:szCs w:val="20"/>
          <w:lang w:eastAsia="en-US"/>
        </w:rPr>
        <w:t xml:space="preserve">FTTH, την επιτυχία της υπηρεσίας </w:t>
      </w:r>
      <w:r w:rsidR="00CF47C9">
        <w:rPr>
          <w:rFonts w:ascii="Arial" w:hAnsi="Arial" w:cs="Arial"/>
          <w:color w:val="auto"/>
          <w:sz w:val="22"/>
          <w:szCs w:val="20"/>
          <w:lang w:val="en-US" w:eastAsia="en-US"/>
        </w:rPr>
        <w:t>Fixed</w:t>
      </w:r>
      <w:r w:rsidR="00CF47C9" w:rsidRPr="005625CA">
        <w:rPr>
          <w:rFonts w:ascii="Arial" w:hAnsi="Arial" w:cs="Arial"/>
          <w:color w:val="auto"/>
          <w:sz w:val="22"/>
          <w:szCs w:val="20"/>
          <w:lang w:eastAsia="en-US"/>
        </w:rPr>
        <w:t xml:space="preserve"> </w:t>
      </w:r>
      <w:r w:rsidR="00CF47C9">
        <w:rPr>
          <w:rFonts w:ascii="Arial" w:hAnsi="Arial" w:cs="Arial"/>
          <w:color w:val="auto"/>
          <w:sz w:val="22"/>
          <w:szCs w:val="20"/>
          <w:lang w:val="en-US" w:eastAsia="en-US"/>
        </w:rPr>
        <w:t>Wireless</w:t>
      </w:r>
      <w:r w:rsidR="00CF47C9" w:rsidRPr="005625CA">
        <w:rPr>
          <w:rFonts w:ascii="Arial" w:hAnsi="Arial" w:cs="Arial"/>
          <w:color w:val="auto"/>
          <w:sz w:val="22"/>
          <w:szCs w:val="20"/>
          <w:lang w:eastAsia="en-US"/>
        </w:rPr>
        <w:t xml:space="preserve"> </w:t>
      </w:r>
      <w:r w:rsidR="00CF47C9">
        <w:rPr>
          <w:rFonts w:ascii="Arial" w:hAnsi="Arial" w:cs="Arial"/>
          <w:color w:val="auto"/>
          <w:sz w:val="22"/>
          <w:szCs w:val="20"/>
          <w:lang w:val="en-US" w:eastAsia="en-US"/>
        </w:rPr>
        <w:t>Access</w:t>
      </w:r>
      <w:r w:rsidR="00CF47C9" w:rsidRPr="009C7623">
        <w:rPr>
          <w:rFonts w:ascii="Arial" w:hAnsi="Arial" w:cs="Arial"/>
          <w:color w:val="auto"/>
          <w:sz w:val="22"/>
          <w:szCs w:val="20"/>
          <w:lang w:eastAsia="en-US"/>
        </w:rPr>
        <w:t xml:space="preserve"> </w:t>
      </w:r>
      <w:r w:rsidR="00157CC2" w:rsidRPr="009C7623">
        <w:rPr>
          <w:rFonts w:ascii="Arial" w:hAnsi="Arial" w:cs="Arial"/>
          <w:color w:val="auto"/>
          <w:sz w:val="22"/>
          <w:szCs w:val="20"/>
          <w:lang w:eastAsia="en-US"/>
        </w:rPr>
        <w:t>και τ</w:t>
      </w:r>
      <w:r w:rsidR="00A2546A">
        <w:rPr>
          <w:rFonts w:ascii="Arial" w:hAnsi="Arial" w:cs="Arial"/>
          <w:color w:val="auto"/>
          <w:sz w:val="22"/>
          <w:szCs w:val="20"/>
          <w:lang w:eastAsia="en-US"/>
        </w:rPr>
        <w:t>ις</w:t>
      </w:r>
      <w:r w:rsidR="00157CC2" w:rsidRPr="009C7623">
        <w:rPr>
          <w:rFonts w:ascii="Arial" w:hAnsi="Arial" w:cs="Arial"/>
          <w:color w:val="auto"/>
          <w:sz w:val="22"/>
          <w:szCs w:val="20"/>
          <w:lang w:eastAsia="en-US"/>
        </w:rPr>
        <w:t xml:space="preserve"> συνεχιζόμεν</w:t>
      </w:r>
      <w:r w:rsidR="00A2546A">
        <w:rPr>
          <w:rFonts w:ascii="Arial" w:hAnsi="Arial" w:cs="Arial"/>
          <w:color w:val="auto"/>
          <w:sz w:val="22"/>
          <w:szCs w:val="20"/>
          <w:lang w:eastAsia="en-US"/>
        </w:rPr>
        <w:t>ες</w:t>
      </w:r>
      <w:r w:rsidR="00157CC2" w:rsidRPr="009C7623">
        <w:rPr>
          <w:rFonts w:ascii="Arial" w:hAnsi="Arial" w:cs="Arial"/>
          <w:color w:val="auto"/>
          <w:sz w:val="22"/>
          <w:szCs w:val="20"/>
          <w:lang w:eastAsia="en-US"/>
        </w:rPr>
        <w:t xml:space="preserve"> ισχυρ</w:t>
      </w:r>
      <w:r w:rsidR="00A2546A">
        <w:rPr>
          <w:rFonts w:ascii="Arial" w:hAnsi="Arial" w:cs="Arial"/>
          <w:color w:val="auto"/>
          <w:sz w:val="22"/>
          <w:szCs w:val="20"/>
          <w:lang w:eastAsia="en-US"/>
        </w:rPr>
        <w:t>ές</w:t>
      </w:r>
      <w:r w:rsidR="00157CC2" w:rsidRPr="009C7623">
        <w:rPr>
          <w:rFonts w:ascii="Arial" w:hAnsi="Arial" w:cs="Arial"/>
          <w:color w:val="auto"/>
          <w:sz w:val="22"/>
          <w:szCs w:val="20"/>
          <w:lang w:eastAsia="en-US"/>
        </w:rPr>
        <w:t xml:space="preserve"> </w:t>
      </w:r>
      <w:r w:rsidR="00237FE4">
        <w:rPr>
          <w:rFonts w:ascii="Arial" w:hAnsi="Arial" w:cs="Arial"/>
          <w:color w:val="auto"/>
          <w:sz w:val="22"/>
          <w:szCs w:val="20"/>
          <w:lang w:eastAsia="en-US"/>
        </w:rPr>
        <w:t>ε</w:t>
      </w:r>
      <w:r w:rsidR="00A2546A">
        <w:rPr>
          <w:rFonts w:ascii="Arial" w:hAnsi="Arial" w:cs="Arial"/>
          <w:color w:val="auto"/>
          <w:sz w:val="22"/>
          <w:szCs w:val="20"/>
          <w:lang w:eastAsia="en-US"/>
        </w:rPr>
        <w:t>π</w:t>
      </w:r>
      <w:r w:rsidR="00237FE4">
        <w:rPr>
          <w:rFonts w:ascii="Arial" w:hAnsi="Arial" w:cs="Arial"/>
          <w:color w:val="auto"/>
          <w:sz w:val="22"/>
          <w:szCs w:val="20"/>
          <w:lang w:eastAsia="en-US"/>
        </w:rPr>
        <w:t>ι</w:t>
      </w:r>
      <w:r w:rsidR="00A2546A">
        <w:rPr>
          <w:rFonts w:ascii="Arial" w:hAnsi="Arial" w:cs="Arial"/>
          <w:color w:val="auto"/>
          <w:sz w:val="22"/>
          <w:szCs w:val="20"/>
          <w:lang w:eastAsia="en-US"/>
        </w:rPr>
        <w:t>δόσεις των υπηρεσιών τηλεόρασης.</w:t>
      </w:r>
      <w:r w:rsidR="001012FE">
        <w:rPr>
          <w:rFonts w:ascii="Arial" w:hAnsi="Arial" w:cs="Arial"/>
          <w:color w:val="auto"/>
          <w:sz w:val="22"/>
          <w:szCs w:val="20"/>
          <w:lang w:eastAsia="en-US"/>
        </w:rPr>
        <w:t xml:space="preserve"> </w:t>
      </w:r>
      <w:r w:rsidR="002C55E2" w:rsidRPr="002C55E2">
        <w:rPr>
          <w:rFonts w:ascii="Arial" w:hAnsi="Arial" w:cs="Arial"/>
          <w:color w:val="auto"/>
          <w:sz w:val="22"/>
          <w:szCs w:val="20"/>
          <w:lang w:eastAsia="en-US"/>
        </w:rPr>
        <w:t xml:space="preserve">Ο τομέας της κινητής τηλεφωνίας </w:t>
      </w:r>
      <w:r w:rsidR="006E543F">
        <w:rPr>
          <w:rFonts w:ascii="Arial" w:hAnsi="Arial" w:cs="Arial"/>
          <w:color w:val="auto"/>
          <w:sz w:val="22"/>
          <w:szCs w:val="20"/>
          <w:lang w:eastAsia="en-US"/>
        </w:rPr>
        <w:t>συνεχί</w:t>
      </w:r>
      <w:r w:rsidR="009066D7">
        <w:rPr>
          <w:rFonts w:ascii="Arial" w:hAnsi="Arial" w:cs="Arial"/>
          <w:color w:val="auto"/>
          <w:sz w:val="22"/>
          <w:szCs w:val="20"/>
          <w:lang w:eastAsia="en-US"/>
        </w:rPr>
        <w:t>ζ</w:t>
      </w:r>
      <w:r w:rsidR="006E543F">
        <w:rPr>
          <w:rFonts w:ascii="Arial" w:hAnsi="Arial" w:cs="Arial"/>
          <w:color w:val="auto"/>
          <w:sz w:val="22"/>
          <w:szCs w:val="20"/>
          <w:lang w:eastAsia="en-US"/>
        </w:rPr>
        <w:t>ει να αναπτύσσετ</w:t>
      </w:r>
      <w:r w:rsidR="009C7623">
        <w:rPr>
          <w:rFonts w:ascii="Arial" w:hAnsi="Arial" w:cs="Arial"/>
          <w:color w:val="auto"/>
          <w:sz w:val="22"/>
          <w:szCs w:val="20"/>
          <w:lang w:eastAsia="en-US"/>
        </w:rPr>
        <w:t>αι</w:t>
      </w:r>
      <w:r w:rsidR="00070EDD" w:rsidRPr="00070EDD">
        <w:rPr>
          <w:rFonts w:ascii="Arial" w:hAnsi="Arial" w:cs="Arial"/>
          <w:color w:val="auto"/>
          <w:sz w:val="22"/>
          <w:szCs w:val="20"/>
          <w:lang w:eastAsia="en-US"/>
        </w:rPr>
        <w:t>, ενισχύοντας περαιτέρω την ηγετική μας θέση στην αγορά</w:t>
      </w:r>
      <w:r w:rsidR="001E5990" w:rsidRPr="001E5990">
        <w:rPr>
          <w:rFonts w:ascii="Arial" w:hAnsi="Arial" w:cs="Arial"/>
          <w:color w:val="auto"/>
          <w:sz w:val="22"/>
          <w:szCs w:val="20"/>
          <w:lang w:eastAsia="en-US"/>
        </w:rPr>
        <w:t>.</w:t>
      </w:r>
      <w:r w:rsidR="001012FE">
        <w:rPr>
          <w:rFonts w:ascii="Arial" w:hAnsi="Arial" w:cs="Arial"/>
          <w:color w:val="auto"/>
          <w:sz w:val="22"/>
          <w:szCs w:val="20"/>
          <w:lang w:eastAsia="en-US"/>
        </w:rPr>
        <w:t xml:space="preserve"> </w:t>
      </w:r>
      <w:r w:rsidR="00482C11">
        <w:rPr>
          <w:rFonts w:ascii="Arial" w:hAnsi="Arial" w:cs="Arial"/>
          <w:color w:val="auto"/>
          <w:sz w:val="22"/>
          <w:szCs w:val="20"/>
          <w:lang w:eastAsia="en-US"/>
        </w:rPr>
        <w:t>Οι ισχυρές οικονομικές μας επιδόσεις</w:t>
      </w:r>
      <w:r w:rsidR="00482C11" w:rsidRPr="001B34FF">
        <w:rPr>
          <w:rFonts w:ascii="Arial" w:hAnsi="Arial" w:cs="Arial"/>
          <w:color w:val="auto"/>
          <w:sz w:val="22"/>
          <w:szCs w:val="20"/>
          <w:lang w:eastAsia="en-US"/>
        </w:rPr>
        <w:t xml:space="preserve"> αποδεικνύουν την αποτελεσματικότητα της στρατηγικής μας και την αξία του ολοκληρωμένου χαρτοφυλακίου υπηρεσιών μας. </w:t>
      </w:r>
      <w:r w:rsidR="00F90803" w:rsidRPr="00862C3A">
        <w:rPr>
          <w:rFonts w:ascii="Arial" w:hAnsi="Arial" w:cs="Arial"/>
          <w:color w:val="auto"/>
          <w:sz w:val="22"/>
          <w:szCs w:val="20"/>
          <w:lang w:eastAsia="en-US"/>
        </w:rPr>
        <w:t>Κοι</w:t>
      </w:r>
      <w:r w:rsidR="00485DC8" w:rsidRPr="00862C3A">
        <w:rPr>
          <w:rFonts w:ascii="Arial" w:hAnsi="Arial" w:cs="Arial"/>
          <w:color w:val="auto"/>
          <w:sz w:val="22"/>
          <w:szCs w:val="20"/>
          <w:lang w:eastAsia="en-US"/>
        </w:rPr>
        <w:t>τ</w:t>
      </w:r>
      <w:r w:rsidR="00125358" w:rsidRPr="00862C3A">
        <w:rPr>
          <w:rFonts w:ascii="Arial" w:hAnsi="Arial" w:cs="Arial"/>
          <w:color w:val="auto"/>
          <w:sz w:val="22"/>
          <w:szCs w:val="20"/>
          <w:lang w:eastAsia="en-US"/>
        </w:rPr>
        <w:t>ώντας</w:t>
      </w:r>
      <w:r w:rsidR="00F90803" w:rsidRPr="00862C3A">
        <w:rPr>
          <w:rFonts w:ascii="Arial" w:hAnsi="Arial" w:cs="Arial"/>
          <w:color w:val="auto"/>
          <w:sz w:val="22"/>
          <w:szCs w:val="20"/>
          <w:lang w:eastAsia="en-US"/>
        </w:rPr>
        <w:t xml:space="preserve"> </w:t>
      </w:r>
      <w:r w:rsidR="000B0ED0" w:rsidRPr="00862C3A">
        <w:rPr>
          <w:rFonts w:ascii="Arial" w:hAnsi="Arial" w:cs="Arial"/>
          <w:color w:val="auto"/>
          <w:sz w:val="22"/>
          <w:szCs w:val="20"/>
          <w:lang w:eastAsia="en-US"/>
        </w:rPr>
        <w:t xml:space="preserve">μπροστά, </w:t>
      </w:r>
      <w:r w:rsidR="00DF48D7">
        <w:rPr>
          <w:rFonts w:ascii="Arial" w:hAnsi="Arial" w:cs="Arial"/>
          <w:color w:val="auto"/>
          <w:sz w:val="22"/>
          <w:szCs w:val="20"/>
          <w:lang w:eastAsia="en-US"/>
        </w:rPr>
        <w:t xml:space="preserve">πιστεύουμε </w:t>
      </w:r>
      <w:r w:rsidR="00B65BC0">
        <w:rPr>
          <w:rFonts w:ascii="Arial" w:hAnsi="Arial" w:cs="Arial"/>
          <w:color w:val="auto"/>
          <w:sz w:val="22"/>
          <w:szCs w:val="20"/>
          <w:lang w:eastAsia="en-US"/>
        </w:rPr>
        <w:t xml:space="preserve">ότι έχουμε όλα τα εχέγγυα για </w:t>
      </w:r>
      <w:r w:rsidR="00DF48D7">
        <w:rPr>
          <w:rFonts w:ascii="Arial" w:hAnsi="Arial" w:cs="Arial"/>
          <w:color w:val="auto"/>
          <w:sz w:val="22"/>
          <w:szCs w:val="20"/>
          <w:lang w:eastAsia="en-US"/>
        </w:rPr>
        <w:t xml:space="preserve">να </w:t>
      </w:r>
      <w:r w:rsidR="00BB6B9E">
        <w:rPr>
          <w:rFonts w:ascii="Arial" w:hAnsi="Arial" w:cs="Arial"/>
          <w:color w:val="auto"/>
          <w:sz w:val="22"/>
          <w:szCs w:val="20"/>
          <w:lang w:eastAsia="en-US"/>
        </w:rPr>
        <w:t>παραμείνουμε ηγέτες</w:t>
      </w:r>
      <w:r w:rsidR="00BB6B9E" w:rsidRPr="003612AF">
        <w:rPr>
          <w:rFonts w:ascii="Arial" w:hAnsi="Arial" w:cs="Arial"/>
          <w:color w:val="auto"/>
          <w:sz w:val="22"/>
          <w:szCs w:val="20"/>
          <w:lang w:eastAsia="en-US"/>
        </w:rPr>
        <w:t xml:space="preserve"> </w:t>
      </w:r>
      <w:r w:rsidR="003612AF" w:rsidRPr="003612AF">
        <w:rPr>
          <w:rFonts w:ascii="Arial" w:hAnsi="Arial" w:cs="Arial"/>
          <w:color w:val="auto"/>
          <w:sz w:val="22"/>
          <w:szCs w:val="20"/>
          <w:lang w:eastAsia="en-US"/>
        </w:rPr>
        <w:t>της αγοράς,</w:t>
      </w:r>
      <w:r w:rsidR="003612AF" w:rsidRPr="00862C3A">
        <w:rPr>
          <w:rFonts w:ascii="Arial" w:hAnsi="Arial" w:cs="Arial"/>
          <w:color w:val="auto"/>
          <w:sz w:val="22"/>
          <w:szCs w:val="20"/>
          <w:lang w:eastAsia="en-US"/>
        </w:rPr>
        <w:t xml:space="preserve"> </w:t>
      </w:r>
      <w:r w:rsidR="000B0ED0" w:rsidRPr="00862C3A">
        <w:rPr>
          <w:rFonts w:ascii="Arial" w:hAnsi="Arial" w:cs="Arial"/>
          <w:color w:val="auto"/>
          <w:sz w:val="22"/>
          <w:szCs w:val="20"/>
          <w:lang w:eastAsia="en-US"/>
        </w:rPr>
        <w:t xml:space="preserve">προσηλωμένοι </w:t>
      </w:r>
      <w:r w:rsidR="00C120B6" w:rsidRPr="00862C3A">
        <w:rPr>
          <w:rFonts w:ascii="Arial" w:hAnsi="Arial" w:cs="Arial"/>
          <w:color w:val="auto"/>
          <w:sz w:val="22"/>
          <w:szCs w:val="20"/>
          <w:lang w:eastAsia="en-US"/>
        </w:rPr>
        <w:t xml:space="preserve">στην επίτευξη των ετήσιων στόχων </w:t>
      </w:r>
      <w:r w:rsidR="00C120B6" w:rsidRPr="00862C3A" w:rsidDel="00DF48D7">
        <w:rPr>
          <w:rFonts w:ascii="Arial" w:hAnsi="Arial" w:cs="Arial"/>
          <w:color w:val="auto"/>
          <w:sz w:val="22"/>
          <w:szCs w:val="20"/>
          <w:lang w:eastAsia="en-US"/>
        </w:rPr>
        <w:t>μας</w:t>
      </w:r>
      <w:r w:rsidR="00DF48D7">
        <w:rPr>
          <w:rFonts w:ascii="Arial" w:hAnsi="Arial" w:cs="Arial"/>
          <w:color w:val="auto"/>
          <w:sz w:val="22"/>
          <w:szCs w:val="20"/>
          <w:lang w:eastAsia="en-US"/>
        </w:rPr>
        <w:t>,</w:t>
      </w:r>
      <w:r w:rsidR="00C120B6" w:rsidRPr="00862C3A" w:rsidDel="00DF48D7">
        <w:rPr>
          <w:rFonts w:ascii="Arial" w:hAnsi="Arial" w:cs="Arial"/>
          <w:color w:val="auto"/>
          <w:sz w:val="22"/>
          <w:szCs w:val="20"/>
          <w:lang w:eastAsia="en-US"/>
        </w:rPr>
        <w:t xml:space="preserve"> </w:t>
      </w:r>
      <w:r w:rsidR="00C120B6" w:rsidRPr="00862C3A">
        <w:rPr>
          <w:rFonts w:ascii="Arial" w:hAnsi="Arial" w:cs="Arial"/>
          <w:color w:val="auto"/>
          <w:sz w:val="22"/>
          <w:szCs w:val="20"/>
          <w:lang w:eastAsia="en-US"/>
        </w:rPr>
        <w:t>τη</w:t>
      </w:r>
      <w:r w:rsidR="00B65BC0">
        <w:rPr>
          <w:rFonts w:ascii="Arial" w:hAnsi="Arial" w:cs="Arial"/>
          <w:color w:val="auto"/>
          <w:sz w:val="22"/>
          <w:szCs w:val="20"/>
          <w:lang w:eastAsia="en-US"/>
        </w:rPr>
        <w:t>ν παραγωγή</w:t>
      </w:r>
      <w:r w:rsidR="00C120B6" w:rsidRPr="00862C3A">
        <w:rPr>
          <w:rFonts w:ascii="Arial" w:hAnsi="Arial" w:cs="Arial"/>
          <w:color w:val="auto"/>
          <w:sz w:val="22"/>
          <w:szCs w:val="20"/>
          <w:lang w:eastAsia="en-US"/>
        </w:rPr>
        <w:t xml:space="preserve"> ισχυρών ελεύθερων ταμειακών ροών</w:t>
      </w:r>
      <w:r w:rsidR="003612AF">
        <w:rPr>
          <w:rFonts w:ascii="Arial" w:hAnsi="Arial" w:cs="Arial"/>
          <w:color w:val="auto"/>
          <w:sz w:val="22"/>
          <w:szCs w:val="20"/>
          <w:lang w:eastAsia="en-US"/>
        </w:rPr>
        <w:t xml:space="preserve">, </w:t>
      </w:r>
      <w:r w:rsidR="00B65BC0">
        <w:rPr>
          <w:rFonts w:ascii="Arial" w:hAnsi="Arial" w:cs="Arial"/>
          <w:color w:val="auto"/>
          <w:sz w:val="22"/>
          <w:szCs w:val="20"/>
          <w:lang w:eastAsia="en-US"/>
        </w:rPr>
        <w:t xml:space="preserve">και τη δημιουργία </w:t>
      </w:r>
      <w:r w:rsidR="003612AF">
        <w:rPr>
          <w:rFonts w:ascii="Arial" w:hAnsi="Arial" w:cs="Arial"/>
          <w:color w:val="auto"/>
          <w:sz w:val="22"/>
          <w:szCs w:val="20"/>
          <w:lang w:eastAsia="en-US"/>
        </w:rPr>
        <w:t>αξία</w:t>
      </w:r>
      <w:r w:rsidR="003A6A86">
        <w:rPr>
          <w:rFonts w:ascii="Arial" w:hAnsi="Arial" w:cs="Arial"/>
          <w:color w:val="auto"/>
          <w:sz w:val="22"/>
          <w:szCs w:val="20"/>
          <w:lang w:eastAsia="en-US"/>
        </w:rPr>
        <w:t>ς</w:t>
      </w:r>
      <w:r w:rsidR="003612AF">
        <w:rPr>
          <w:rFonts w:ascii="Arial" w:hAnsi="Arial" w:cs="Arial"/>
          <w:color w:val="auto"/>
          <w:sz w:val="22"/>
          <w:szCs w:val="20"/>
          <w:lang w:eastAsia="en-US"/>
        </w:rPr>
        <w:t xml:space="preserve"> </w:t>
      </w:r>
      <w:r w:rsidR="00B65BC0">
        <w:rPr>
          <w:rFonts w:ascii="Arial" w:hAnsi="Arial" w:cs="Arial"/>
          <w:color w:val="auto"/>
          <w:sz w:val="22"/>
          <w:szCs w:val="20"/>
          <w:lang w:eastAsia="en-US"/>
        </w:rPr>
        <w:t xml:space="preserve">για </w:t>
      </w:r>
      <w:r w:rsidR="003612AF" w:rsidRPr="003612AF">
        <w:rPr>
          <w:rFonts w:ascii="Arial" w:hAnsi="Arial" w:cs="Arial"/>
          <w:color w:val="auto"/>
          <w:sz w:val="22"/>
          <w:szCs w:val="20"/>
          <w:lang w:eastAsia="en-US"/>
        </w:rPr>
        <w:t>τους μετόχους, τους πελάτες και όλα τα ενδιαφερόμενα μέρη</w:t>
      </w:r>
      <w:r w:rsidR="00D74DA1">
        <w:rPr>
          <w:rFonts w:ascii="Arial" w:hAnsi="Arial" w:cs="Arial"/>
          <w:color w:val="auto"/>
          <w:sz w:val="22"/>
          <w:szCs w:val="20"/>
          <w:lang w:eastAsia="en-US"/>
        </w:rPr>
        <w:t>»</w:t>
      </w:r>
      <w:r w:rsidR="00C120B6" w:rsidRPr="00862C3A">
        <w:rPr>
          <w:rFonts w:ascii="Arial" w:hAnsi="Arial" w:cs="Arial"/>
          <w:color w:val="auto"/>
          <w:sz w:val="22"/>
          <w:szCs w:val="20"/>
          <w:lang w:eastAsia="en-US"/>
        </w:rPr>
        <w:t>.</w:t>
      </w:r>
    </w:p>
    <w:p w14:paraId="3EDCCC09" w14:textId="77777777" w:rsidR="00820B99" w:rsidRPr="004C2DC3" w:rsidRDefault="00820B99" w:rsidP="001B34FF">
      <w:pPr>
        <w:pStyle w:val="Default"/>
        <w:spacing w:line="276" w:lineRule="auto"/>
        <w:jc w:val="both"/>
        <w:rPr>
          <w:rFonts w:ascii="Arial" w:hAnsi="Arial" w:cs="Arial"/>
          <w:color w:val="auto"/>
          <w:sz w:val="22"/>
          <w:szCs w:val="20"/>
          <w:lang w:eastAsia="en-US"/>
        </w:rPr>
      </w:pPr>
    </w:p>
    <w:bookmarkEnd w:id="0"/>
    <w:bookmarkEnd w:id="1"/>
    <w:p w14:paraId="42AB3E43" w14:textId="01248C9D" w:rsidR="00A565B0" w:rsidRPr="00FB20CB" w:rsidRDefault="00A565B0" w:rsidP="005376F7">
      <w:pPr>
        <w:pStyle w:val="Tittle2"/>
        <w:rPr>
          <w:rFonts w:cs="Arial"/>
          <w:b w:val="0"/>
          <w:szCs w:val="24"/>
          <w:lang w:val="el-GR"/>
        </w:rPr>
      </w:pPr>
      <w:r w:rsidRPr="00FB20CB">
        <w:rPr>
          <w:rFonts w:cs="Arial"/>
          <w:lang w:val="el-GR"/>
        </w:rPr>
        <w:t>Π</w:t>
      </w:r>
      <w:r w:rsidR="00166824" w:rsidRPr="00FB20CB">
        <w:rPr>
          <w:rFonts w:cs="Arial"/>
          <w:caps/>
          <w:lang w:val="el-GR"/>
        </w:rPr>
        <w:t>ΡΟΟΠΤΙΚΕΣ</w:t>
      </w:r>
    </w:p>
    <w:p w14:paraId="05E31825" w14:textId="5C340C2E" w:rsidR="009F1F3B" w:rsidRPr="005D3487" w:rsidRDefault="0056584B" w:rsidP="009F1F3B">
      <w:pPr>
        <w:spacing w:line="280" w:lineRule="exact"/>
        <w:jc w:val="both"/>
        <w:rPr>
          <w:rFonts w:ascii="Arial" w:eastAsia="Times New Roman" w:hAnsi="Arial" w:cs="Arial"/>
          <w:szCs w:val="20"/>
        </w:rPr>
      </w:pPr>
      <w:r w:rsidRPr="00973C55">
        <w:rPr>
          <w:rFonts w:ascii="Arial" w:eastAsia="Times New Roman" w:hAnsi="Arial" w:cs="Arial"/>
          <w:szCs w:val="20"/>
        </w:rPr>
        <w:t>Για το υπόλοιπο του έτους, ο Όμιλος ΟΤΕ διαθέτει όλα τα εχέγγυα για να διατηρήσει την ηγετική του θέση στην αγορά και να επιτύχει τους στρατηγικούς του στόχους, χάρη</w:t>
      </w:r>
      <w:r w:rsidR="00973C55" w:rsidRPr="00973C55">
        <w:rPr>
          <w:rFonts w:ascii="Arial" w:eastAsia="Times New Roman" w:hAnsi="Arial" w:cs="Arial"/>
          <w:szCs w:val="20"/>
        </w:rPr>
        <w:t xml:space="preserve"> </w:t>
      </w:r>
      <w:r w:rsidR="00973C55">
        <w:rPr>
          <w:rFonts w:ascii="Arial" w:eastAsia="Times New Roman" w:hAnsi="Arial" w:cs="Arial"/>
          <w:szCs w:val="20"/>
        </w:rPr>
        <w:t>στις</w:t>
      </w:r>
      <w:r w:rsidR="00973C55" w:rsidRPr="00D81209">
        <w:rPr>
          <w:rFonts w:ascii="Arial" w:eastAsia="Times New Roman" w:hAnsi="Arial" w:cs="Arial"/>
          <w:szCs w:val="20"/>
        </w:rPr>
        <w:t xml:space="preserve"> </w:t>
      </w:r>
      <w:r w:rsidR="00973C55">
        <w:rPr>
          <w:rFonts w:ascii="Arial" w:eastAsia="Times New Roman" w:hAnsi="Arial" w:cs="Arial"/>
          <w:szCs w:val="20"/>
        </w:rPr>
        <w:t>διαρκείς</w:t>
      </w:r>
      <w:r w:rsidR="00973C55" w:rsidRPr="00D81209">
        <w:rPr>
          <w:rFonts w:ascii="Arial" w:eastAsia="Times New Roman" w:hAnsi="Arial" w:cs="Arial"/>
          <w:szCs w:val="20"/>
        </w:rPr>
        <w:t xml:space="preserve"> επενδύσ</w:t>
      </w:r>
      <w:r w:rsidR="00973C55">
        <w:rPr>
          <w:rFonts w:ascii="Arial" w:eastAsia="Times New Roman" w:hAnsi="Arial" w:cs="Arial"/>
          <w:szCs w:val="20"/>
        </w:rPr>
        <w:t>εις</w:t>
      </w:r>
      <w:r w:rsidR="00973C55" w:rsidRPr="00D81209">
        <w:rPr>
          <w:rFonts w:ascii="Arial" w:eastAsia="Times New Roman" w:hAnsi="Arial" w:cs="Arial"/>
          <w:szCs w:val="20"/>
        </w:rPr>
        <w:t xml:space="preserve"> σε</w:t>
      </w:r>
      <w:r w:rsidR="00973C55">
        <w:rPr>
          <w:rFonts w:ascii="Arial" w:eastAsia="Times New Roman" w:hAnsi="Arial" w:cs="Arial"/>
          <w:szCs w:val="20"/>
        </w:rPr>
        <w:t xml:space="preserve"> κορυφαία</w:t>
      </w:r>
      <w:r w:rsidR="00973C55" w:rsidRPr="00D81209">
        <w:rPr>
          <w:rFonts w:ascii="Arial" w:eastAsia="Times New Roman" w:hAnsi="Arial" w:cs="Arial"/>
          <w:szCs w:val="20"/>
        </w:rPr>
        <w:t xml:space="preserve"> δίκτυα</w:t>
      </w:r>
      <w:r w:rsidR="00973C55">
        <w:rPr>
          <w:rFonts w:ascii="Arial" w:eastAsia="Times New Roman" w:hAnsi="Arial" w:cs="Arial"/>
          <w:szCs w:val="20"/>
        </w:rPr>
        <w:t xml:space="preserve"> </w:t>
      </w:r>
      <w:r w:rsidR="00973C55" w:rsidRPr="00D81209">
        <w:rPr>
          <w:rFonts w:ascii="Arial" w:eastAsia="Times New Roman" w:hAnsi="Arial" w:cs="Arial"/>
          <w:szCs w:val="20"/>
        </w:rPr>
        <w:t xml:space="preserve">και ένα ολοκληρωμένο χαρτοφυλάκιο υπηρεσιών σε σταθερή, κινητή, </w:t>
      </w:r>
      <w:proofErr w:type="spellStart"/>
      <w:r w:rsidR="00973C55" w:rsidRPr="00D81209">
        <w:rPr>
          <w:rFonts w:ascii="Arial" w:eastAsia="Times New Roman" w:hAnsi="Arial" w:cs="Arial"/>
          <w:szCs w:val="20"/>
        </w:rPr>
        <w:t>ευρυζωνικότητα</w:t>
      </w:r>
      <w:proofErr w:type="spellEnd"/>
      <w:r w:rsidR="00973C55" w:rsidRPr="00D81209">
        <w:rPr>
          <w:rFonts w:ascii="Arial" w:eastAsia="Times New Roman" w:hAnsi="Arial" w:cs="Arial"/>
          <w:szCs w:val="20"/>
        </w:rPr>
        <w:t>, τηλεόραση και συνδυαστικά πακέτα</w:t>
      </w:r>
      <w:r w:rsidR="00973C55">
        <w:rPr>
          <w:rFonts w:ascii="Arial" w:eastAsia="Times New Roman" w:hAnsi="Arial" w:cs="Arial"/>
          <w:szCs w:val="20"/>
        </w:rPr>
        <w:t>.</w:t>
      </w:r>
      <w:r w:rsidR="00490650">
        <w:rPr>
          <w:rFonts w:ascii="Arial" w:eastAsia="Times New Roman" w:hAnsi="Arial" w:cs="Arial"/>
          <w:szCs w:val="20"/>
        </w:rPr>
        <w:t xml:space="preserve"> </w:t>
      </w:r>
      <w:r w:rsidR="00490650" w:rsidRPr="00B21838">
        <w:rPr>
          <w:rFonts w:ascii="Arial" w:eastAsia="Times New Roman" w:hAnsi="Arial" w:cs="Arial"/>
          <w:szCs w:val="20"/>
        </w:rPr>
        <w:t>Λαμβάνοντας υπόψη τη</w:t>
      </w:r>
      <w:r w:rsidR="00D22E87">
        <w:rPr>
          <w:rFonts w:ascii="Arial" w:eastAsia="Times New Roman" w:hAnsi="Arial" w:cs="Arial"/>
          <w:szCs w:val="20"/>
        </w:rPr>
        <w:t>ν</w:t>
      </w:r>
      <w:r w:rsidR="00490650" w:rsidRPr="00B21838">
        <w:rPr>
          <w:rFonts w:ascii="Arial" w:eastAsia="Times New Roman" w:hAnsi="Arial" w:cs="Arial"/>
          <w:szCs w:val="20"/>
        </w:rPr>
        <w:t xml:space="preserve"> τρέχουσα δυναμική της αγοράς, ο Όμιλος ΟΤΕ αναμένει ανάπτυξη, η οποία θα υποστηριχθεί από </w:t>
      </w:r>
      <w:r w:rsidR="00776149">
        <w:rPr>
          <w:rFonts w:ascii="Arial" w:eastAsia="Times New Roman" w:hAnsi="Arial" w:cs="Arial"/>
          <w:szCs w:val="20"/>
        </w:rPr>
        <w:t>τη μετάβαση σε</w:t>
      </w:r>
      <w:r w:rsidR="00490650" w:rsidRPr="00B21838">
        <w:rPr>
          <w:rFonts w:ascii="Arial" w:eastAsia="Times New Roman" w:hAnsi="Arial" w:cs="Arial"/>
          <w:szCs w:val="20"/>
        </w:rPr>
        <w:t xml:space="preserve"> FTTH, τη νέα λύση FWA, την επέκταση των τηλεοπτικών υπηρεσιών και των ενισχυμένων μέτρων κατά της πειρατείας.</w:t>
      </w:r>
      <w:r w:rsidRPr="00FB20CB">
        <w:rPr>
          <w:rFonts w:ascii="Arial" w:hAnsi="Arial" w:cs="Arial"/>
          <w:color w:val="FF0000"/>
        </w:rPr>
        <w:t xml:space="preserve"> </w:t>
      </w:r>
      <w:r w:rsidR="009F1F3B" w:rsidRPr="005F572E">
        <w:rPr>
          <w:rFonts w:ascii="Arial" w:eastAsia="Times New Roman" w:hAnsi="Arial" w:cs="Arial"/>
          <w:szCs w:val="20"/>
        </w:rPr>
        <w:t xml:space="preserve">O OTE </w:t>
      </w:r>
      <w:r w:rsidR="009F1F3B">
        <w:rPr>
          <w:rFonts w:ascii="Arial" w:eastAsia="Times New Roman" w:hAnsi="Arial" w:cs="Arial"/>
          <w:szCs w:val="20"/>
        </w:rPr>
        <w:t>διαθέτει μακράν το μεγαλύτερο δίκτυο</w:t>
      </w:r>
      <w:r w:rsidR="009F1F3B" w:rsidRPr="00D81209">
        <w:rPr>
          <w:rFonts w:ascii="Arial" w:eastAsia="Times New Roman" w:hAnsi="Arial" w:cs="Arial"/>
          <w:szCs w:val="20"/>
        </w:rPr>
        <w:t xml:space="preserve"> </w:t>
      </w:r>
      <w:r w:rsidR="009F1F3B">
        <w:rPr>
          <w:rFonts w:ascii="Arial" w:eastAsia="Times New Roman" w:hAnsi="Arial" w:cs="Arial"/>
          <w:szCs w:val="20"/>
        </w:rPr>
        <w:t>και έ</w:t>
      </w:r>
      <w:r w:rsidR="009F1F3B" w:rsidRPr="00D81209">
        <w:rPr>
          <w:rFonts w:ascii="Arial" w:eastAsia="Times New Roman" w:hAnsi="Arial" w:cs="Arial"/>
          <w:szCs w:val="20"/>
        </w:rPr>
        <w:t xml:space="preserve">ως το τέλος του 2025, </w:t>
      </w:r>
      <w:r w:rsidR="009F1F3B">
        <w:rPr>
          <w:rFonts w:ascii="Arial" w:eastAsia="Times New Roman" w:hAnsi="Arial" w:cs="Arial"/>
          <w:szCs w:val="20"/>
        </w:rPr>
        <w:t xml:space="preserve">στοχεύει να φέρει το </w:t>
      </w:r>
      <w:r w:rsidR="009F1F3B">
        <w:rPr>
          <w:rFonts w:ascii="Arial" w:eastAsia="Times New Roman" w:hAnsi="Arial" w:cs="Arial"/>
          <w:szCs w:val="20"/>
          <w:lang w:val="en-US"/>
        </w:rPr>
        <w:t>FTTH</w:t>
      </w:r>
      <w:r w:rsidR="009F1F3B" w:rsidRPr="00D81209">
        <w:rPr>
          <w:rFonts w:ascii="Arial" w:eastAsia="Times New Roman" w:hAnsi="Arial" w:cs="Arial"/>
          <w:szCs w:val="20"/>
        </w:rPr>
        <w:t xml:space="preserve"> </w:t>
      </w:r>
      <w:r w:rsidR="009F1F3B">
        <w:rPr>
          <w:rFonts w:ascii="Arial" w:eastAsia="Times New Roman" w:hAnsi="Arial" w:cs="Arial"/>
          <w:szCs w:val="20"/>
        </w:rPr>
        <w:t xml:space="preserve">σε </w:t>
      </w:r>
      <w:r w:rsidR="009F1F3B" w:rsidRPr="00D81209">
        <w:rPr>
          <w:rFonts w:ascii="Arial" w:eastAsia="Times New Roman" w:hAnsi="Arial" w:cs="Arial"/>
          <w:szCs w:val="20"/>
        </w:rPr>
        <w:t>περίπου 2,1 εκατομμύρια νοικοκυριά</w:t>
      </w:r>
      <w:r w:rsidR="009F1F3B">
        <w:rPr>
          <w:rFonts w:ascii="Arial" w:eastAsia="Times New Roman" w:hAnsi="Arial" w:cs="Arial"/>
          <w:szCs w:val="20"/>
        </w:rPr>
        <w:t xml:space="preserve"> κι επιχειρήσεις</w:t>
      </w:r>
      <w:r w:rsidR="00FB321D" w:rsidRPr="00FB321D">
        <w:rPr>
          <w:rFonts w:ascii="Arial" w:eastAsia="Times New Roman" w:hAnsi="Arial" w:cs="Arial"/>
          <w:szCs w:val="20"/>
        </w:rPr>
        <w:t xml:space="preserve"> </w:t>
      </w:r>
      <w:r w:rsidR="00FB321D">
        <w:rPr>
          <w:rFonts w:ascii="Arial" w:eastAsia="Times New Roman" w:hAnsi="Arial" w:cs="Arial"/>
          <w:szCs w:val="20"/>
        </w:rPr>
        <w:t xml:space="preserve">και </w:t>
      </w:r>
      <w:r w:rsidR="00FB321D" w:rsidDel="009D7CF2">
        <w:rPr>
          <w:rFonts w:ascii="Arial" w:eastAsia="Times New Roman" w:hAnsi="Arial" w:cs="Arial"/>
          <w:szCs w:val="20"/>
        </w:rPr>
        <w:t xml:space="preserve">σε </w:t>
      </w:r>
      <w:r w:rsidR="00FB321D">
        <w:rPr>
          <w:rFonts w:ascii="Arial" w:eastAsia="Times New Roman" w:hAnsi="Arial" w:cs="Arial"/>
          <w:szCs w:val="20"/>
        </w:rPr>
        <w:t xml:space="preserve">περίπου 3,5 </w:t>
      </w:r>
      <w:r w:rsidR="00FB321D" w:rsidRPr="00D81209">
        <w:rPr>
          <w:rFonts w:ascii="Arial" w:eastAsia="Times New Roman" w:hAnsi="Arial" w:cs="Arial"/>
          <w:szCs w:val="20"/>
        </w:rPr>
        <w:t>εκατομμύρια</w:t>
      </w:r>
      <w:r w:rsidR="00FB321D">
        <w:rPr>
          <w:rFonts w:ascii="Arial" w:eastAsia="Times New Roman" w:hAnsi="Arial" w:cs="Arial"/>
          <w:szCs w:val="20"/>
        </w:rPr>
        <w:t xml:space="preserve"> μέχρι το 2030</w:t>
      </w:r>
      <w:r w:rsidR="009D7CF2">
        <w:rPr>
          <w:rFonts w:ascii="Arial" w:eastAsia="Times New Roman" w:hAnsi="Arial" w:cs="Arial"/>
          <w:szCs w:val="20"/>
        </w:rPr>
        <w:t>,</w:t>
      </w:r>
      <w:r w:rsidR="009D7CF2" w:rsidRPr="009D7CF2">
        <w:rPr>
          <w:rFonts w:ascii="Arial" w:eastAsia="Times New Roman" w:hAnsi="Arial" w:cs="Arial"/>
          <w:szCs w:val="20"/>
        </w:rPr>
        <w:t xml:space="preserve"> </w:t>
      </w:r>
      <w:r w:rsidR="009D7CF2">
        <w:rPr>
          <w:rFonts w:ascii="Arial" w:eastAsia="Times New Roman" w:hAnsi="Arial" w:cs="Arial"/>
          <w:szCs w:val="20"/>
        </w:rPr>
        <w:t xml:space="preserve">σε συνέχεια της συμφωνίας για το </w:t>
      </w:r>
      <w:r w:rsidR="009D7CF2">
        <w:rPr>
          <w:rFonts w:ascii="Arial" w:eastAsia="Times New Roman" w:hAnsi="Arial" w:cs="Arial"/>
          <w:szCs w:val="20"/>
          <w:lang w:val="en-US"/>
        </w:rPr>
        <w:t>UFBB</w:t>
      </w:r>
      <w:r w:rsidR="00FB321D">
        <w:rPr>
          <w:rFonts w:ascii="Arial" w:eastAsia="Times New Roman" w:hAnsi="Arial" w:cs="Arial"/>
          <w:szCs w:val="20"/>
        </w:rPr>
        <w:t>.</w:t>
      </w:r>
      <w:r w:rsidR="009F1F3B">
        <w:rPr>
          <w:rFonts w:ascii="Arial" w:eastAsia="Times New Roman" w:hAnsi="Arial" w:cs="Arial"/>
          <w:szCs w:val="20"/>
        </w:rPr>
        <w:t xml:space="preserve"> </w:t>
      </w:r>
      <w:r w:rsidR="009F1F3B" w:rsidRPr="00B35630">
        <w:rPr>
          <w:rFonts w:ascii="Arial" w:eastAsia="Times New Roman" w:hAnsi="Arial" w:cs="Arial"/>
          <w:szCs w:val="20"/>
        </w:rPr>
        <w:t>Στην κινητή</w:t>
      </w:r>
      <w:r w:rsidR="009F1F3B">
        <w:rPr>
          <w:rFonts w:ascii="Arial" w:eastAsia="Times New Roman" w:hAnsi="Arial" w:cs="Arial"/>
          <w:szCs w:val="20"/>
        </w:rPr>
        <w:t xml:space="preserve"> </w:t>
      </w:r>
      <w:r w:rsidR="009F1F3B" w:rsidRPr="00D81209">
        <w:rPr>
          <w:rFonts w:ascii="Arial" w:eastAsia="Times New Roman" w:hAnsi="Arial" w:cs="Arial"/>
          <w:szCs w:val="20"/>
        </w:rPr>
        <w:t xml:space="preserve">επεκτείνει περαιτέρω την κάλυψη του 5G </w:t>
      </w:r>
      <w:proofErr w:type="spellStart"/>
      <w:r w:rsidR="009F1F3B" w:rsidRPr="00D81209">
        <w:rPr>
          <w:rFonts w:ascii="Arial" w:eastAsia="Times New Roman" w:hAnsi="Arial" w:cs="Arial"/>
          <w:szCs w:val="20"/>
        </w:rPr>
        <w:t>Stand-Alone</w:t>
      </w:r>
      <w:proofErr w:type="spellEnd"/>
      <w:r w:rsidR="009F1F3B">
        <w:rPr>
          <w:rFonts w:ascii="Arial" w:eastAsia="Times New Roman" w:hAnsi="Arial" w:cs="Arial"/>
          <w:szCs w:val="20"/>
        </w:rPr>
        <w:t xml:space="preserve"> (</w:t>
      </w:r>
      <w:r w:rsidR="009F1F3B" w:rsidRPr="005D3487">
        <w:rPr>
          <w:rFonts w:ascii="Arial" w:eastAsia="Times New Roman" w:hAnsi="Arial" w:cs="Arial"/>
          <w:szCs w:val="20"/>
        </w:rPr>
        <w:t>SA</w:t>
      </w:r>
      <w:r w:rsidR="009F1F3B" w:rsidRPr="005A6151">
        <w:rPr>
          <w:rFonts w:ascii="Arial" w:eastAsia="Times New Roman" w:hAnsi="Arial" w:cs="Arial"/>
          <w:szCs w:val="20"/>
        </w:rPr>
        <w:t>)</w:t>
      </w:r>
      <w:r w:rsidR="009F1F3B" w:rsidRPr="00D81209">
        <w:rPr>
          <w:rFonts w:ascii="Arial" w:eastAsia="Times New Roman" w:hAnsi="Arial" w:cs="Arial"/>
          <w:szCs w:val="20"/>
        </w:rPr>
        <w:t xml:space="preserve">, διατηρώντας το ξεκάθαρο προβάδισμά του στα </w:t>
      </w:r>
      <w:r w:rsidR="009F1F3B" w:rsidRPr="005D3487">
        <w:rPr>
          <w:rFonts w:ascii="Arial" w:eastAsia="Times New Roman" w:hAnsi="Arial" w:cs="Arial"/>
          <w:szCs w:val="20"/>
        </w:rPr>
        <w:t>δίκτυα κινητής</w:t>
      </w:r>
      <w:r w:rsidR="009F1F3B" w:rsidRPr="00D81209">
        <w:rPr>
          <w:rFonts w:ascii="Arial" w:eastAsia="Times New Roman" w:hAnsi="Arial" w:cs="Arial"/>
          <w:szCs w:val="20"/>
        </w:rPr>
        <w:t xml:space="preserve">. </w:t>
      </w:r>
      <w:r w:rsidR="005F572E" w:rsidRPr="005D3487">
        <w:rPr>
          <w:rFonts w:ascii="Arial" w:eastAsia="Times New Roman" w:hAnsi="Arial" w:cs="Arial"/>
          <w:szCs w:val="20"/>
        </w:rPr>
        <w:t>Η ανάπτυξη στην κινητή ενισχύεται από την ισχυρή πελατειακή βάση</w:t>
      </w:r>
      <w:r w:rsidR="00BC3617">
        <w:rPr>
          <w:rFonts w:ascii="Arial" w:eastAsia="Times New Roman" w:hAnsi="Arial" w:cs="Arial"/>
          <w:szCs w:val="20"/>
        </w:rPr>
        <w:t xml:space="preserve"> και</w:t>
      </w:r>
      <w:r w:rsidR="005F572E" w:rsidRPr="005D3487">
        <w:rPr>
          <w:rFonts w:ascii="Arial" w:eastAsia="Times New Roman" w:hAnsi="Arial" w:cs="Arial"/>
          <w:szCs w:val="20"/>
        </w:rPr>
        <w:t xml:space="preserve"> τις πρωτοβουλίες για τη μετάβαση των πελατών σε υπηρεσίες υψηλότερης αξίας, ενώ </w:t>
      </w:r>
      <w:r w:rsidR="00BC3617">
        <w:rPr>
          <w:rFonts w:ascii="Arial" w:eastAsia="Times New Roman" w:hAnsi="Arial" w:cs="Arial"/>
          <w:szCs w:val="20"/>
        </w:rPr>
        <w:t xml:space="preserve">και </w:t>
      </w:r>
      <w:r w:rsidR="005F572E" w:rsidRPr="005D3487">
        <w:rPr>
          <w:rFonts w:ascii="Arial" w:eastAsia="Times New Roman" w:hAnsi="Arial" w:cs="Arial"/>
          <w:szCs w:val="20"/>
        </w:rPr>
        <w:t>στα συμβόλαια συνεχίζεται η θετική δυναμική</w:t>
      </w:r>
      <w:r w:rsidR="000E478E" w:rsidRPr="005D3487">
        <w:rPr>
          <w:rFonts w:ascii="Arial" w:eastAsia="Times New Roman" w:hAnsi="Arial" w:cs="Arial"/>
          <w:szCs w:val="20"/>
        </w:rPr>
        <w:t xml:space="preserve">. Στον τομέα ICT, ο ΟΤΕ συνεχίζει να επωφελείται από την αυξανόμενη </w:t>
      </w:r>
      <w:proofErr w:type="spellStart"/>
      <w:r w:rsidR="000E478E" w:rsidRPr="005D3487">
        <w:rPr>
          <w:rFonts w:ascii="Arial" w:eastAsia="Times New Roman" w:hAnsi="Arial" w:cs="Arial"/>
          <w:szCs w:val="20"/>
        </w:rPr>
        <w:t>ψηφιακοποίηση</w:t>
      </w:r>
      <w:proofErr w:type="spellEnd"/>
      <w:r w:rsidR="000E478E" w:rsidRPr="005D3487">
        <w:rPr>
          <w:rFonts w:ascii="Arial" w:eastAsia="Times New Roman" w:hAnsi="Arial" w:cs="Arial"/>
          <w:szCs w:val="20"/>
        </w:rPr>
        <w:t xml:space="preserve"> της χώρας, ενώ στις υπηρεσίες χονδρικής, παρά τις προκλήσεις, οι συμφωνίες χονδρικής FTTH διευκολύνουν τη μετάβαση σε υπηρεσίες οπτικών ινών και την αξιοποίηση των επενδύσεων.</w:t>
      </w:r>
      <w:r w:rsidR="0002420C">
        <w:rPr>
          <w:rFonts w:ascii="Arial" w:eastAsia="Times New Roman" w:hAnsi="Arial" w:cs="Arial"/>
          <w:szCs w:val="20"/>
        </w:rPr>
        <w:t xml:space="preserve"> </w:t>
      </w:r>
      <w:r w:rsidR="009F1F3B" w:rsidRPr="00D81209">
        <w:rPr>
          <w:rFonts w:ascii="Arial" w:eastAsia="Times New Roman" w:hAnsi="Arial" w:cs="Arial"/>
          <w:szCs w:val="20"/>
        </w:rPr>
        <w:t xml:space="preserve">Με δέσμευση </w:t>
      </w:r>
      <w:r w:rsidR="0097115D">
        <w:rPr>
          <w:rFonts w:ascii="Arial" w:eastAsia="Times New Roman" w:hAnsi="Arial" w:cs="Arial"/>
          <w:szCs w:val="20"/>
        </w:rPr>
        <w:t>για</w:t>
      </w:r>
      <w:r w:rsidR="009F1F3B" w:rsidRPr="00D81209" w:rsidDel="0097115D">
        <w:rPr>
          <w:rFonts w:ascii="Arial" w:eastAsia="Times New Roman" w:hAnsi="Arial" w:cs="Arial"/>
          <w:szCs w:val="20"/>
        </w:rPr>
        <w:t xml:space="preserve"> </w:t>
      </w:r>
      <w:r w:rsidR="009F1F3B" w:rsidRPr="005D3487">
        <w:rPr>
          <w:rFonts w:ascii="Arial" w:eastAsia="Times New Roman" w:hAnsi="Arial" w:cs="Arial"/>
          <w:szCs w:val="20"/>
        </w:rPr>
        <w:t>παροχή υπηρεσιών υψηλής ποιότητας</w:t>
      </w:r>
      <w:r w:rsidR="009F1F3B" w:rsidRPr="00D81209">
        <w:rPr>
          <w:rFonts w:ascii="Arial" w:eastAsia="Times New Roman" w:hAnsi="Arial" w:cs="Arial"/>
          <w:szCs w:val="20"/>
        </w:rPr>
        <w:t xml:space="preserve">, </w:t>
      </w:r>
      <w:r w:rsidR="009F1F3B">
        <w:rPr>
          <w:rFonts w:ascii="Arial" w:eastAsia="Times New Roman" w:hAnsi="Arial" w:cs="Arial"/>
          <w:szCs w:val="20"/>
        </w:rPr>
        <w:t>κορυφαία</w:t>
      </w:r>
      <w:r w:rsidR="009F1F3B" w:rsidRPr="00D81209">
        <w:rPr>
          <w:rFonts w:ascii="Arial" w:eastAsia="Times New Roman" w:hAnsi="Arial" w:cs="Arial"/>
          <w:szCs w:val="20"/>
        </w:rPr>
        <w:t xml:space="preserve"> δίκτυα και </w:t>
      </w:r>
      <w:r w:rsidR="009F1F3B">
        <w:rPr>
          <w:rFonts w:ascii="Arial" w:eastAsia="Times New Roman" w:hAnsi="Arial" w:cs="Arial"/>
          <w:szCs w:val="20"/>
        </w:rPr>
        <w:t xml:space="preserve">έμφαση στον </w:t>
      </w:r>
      <w:r w:rsidR="009F1F3B" w:rsidRPr="00D81209">
        <w:rPr>
          <w:rFonts w:ascii="Arial" w:eastAsia="Times New Roman" w:hAnsi="Arial" w:cs="Arial"/>
          <w:szCs w:val="20"/>
        </w:rPr>
        <w:t xml:space="preserve">ψηφιακό μετασχηματισμό με χρήση τεχνητής νοημοσύνης, ο ΟΤΕ συνεχίζει να δημιουργεί αξία για τους πελάτες </w:t>
      </w:r>
      <w:r w:rsidR="009F1F3B">
        <w:rPr>
          <w:rFonts w:ascii="Arial" w:eastAsia="Times New Roman" w:hAnsi="Arial" w:cs="Arial"/>
          <w:szCs w:val="20"/>
        </w:rPr>
        <w:t xml:space="preserve">του </w:t>
      </w:r>
      <w:r w:rsidR="009F1F3B" w:rsidRPr="00D81209">
        <w:rPr>
          <w:rFonts w:ascii="Arial" w:eastAsia="Times New Roman" w:hAnsi="Arial" w:cs="Arial"/>
          <w:szCs w:val="20"/>
        </w:rPr>
        <w:t>και την οικονομία</w:t>
      </w:r>
      <w:r w:rsidR="009F1F3B" w:rsidRPr="009C563F">
        <w:rPr>
          <w:rFonts w:ascii="Arial" w:eastAsia="Times New Roman" w:hAnsi="Arial" w:cs="Arial"/>
          <w:szCs w:val="20"/>
        </w:rPr>
        <w:t>.</w:t>
      </w:r>
    </w:p>
    <w:p w14:paraId="4CAAAF33" w14:textId="77777777" w:rsidR="00687955" w:rsidRDefault="00687955" w:rsidP="00D44783">
      <w:pPr>
        <w:spacing w:after="0" w:line="240" w:lineRule="auto"/>
        <w:jc w:val="both"/>
        <w:rPr>
          <w:rFonts w:ascii="Arial" w:eastAsia="Times New Roman" w:hAnsi="Arial" w:cs="Arial"/>
          <w:b/>
          <w:bCs/>
          <w:iCs/>
          <w:szCs w:val="20"/>
          <w:u w:val="single"/>
        </w:rPr>
      </w:pPr>
    </w:p>
    <w:p w14:paraId="494EE27C" w14:textId="15788C4A" w:rsidR="006F7668" w:rsidRPr="00D44783" w:rsidRDefault="006F7668" w:rsidP="00D44783">
      <w:pPr>
        <w:spacing w:after="0" w:line="240" w:lineRule="auto"/>
        <w:jc w:val="both"/>
        <w:rPr>
          <w:rFonts w:ascii="Arial" w:eastAsia="Times New Roman" w:hAnsi="Arial" w:cs="Arial"/>
          <w:b/>
          <w:bCs/>
          <w:iCs/>
          <w:szCs w:val="20"/>
          <w:u w:val="single"/>
        </w:rPr>
      </w:pPr>
      <w:r w:rsidRPr="00D44783">
        <w:rPr>
          <w:rFonts w:ascii="Arial" w:eastAsia="Times New Roman" w:hAnsi="Arial" w:cs="Arial"/>
          <w:b/>
          <w:bCs/>
          <w:iCs/>
          <w:szCs w:val="20"/>
          <w:u w:val="single"/>
        </w:rPr>
        <w:t>Στόχοι 2025</w:t>
      </w:r>
    </w:p>
    <w:p w14:paraId="713E54AC" w14:textId="56A6483D" w:rsidR="006F7668" w:rsidRPr="00D44783" w:rsidRDefault="00D44783" w:rsidP="001E7FE3">
      <w:pPr>
        <w:spacing w:line="280" w:lineRule="exact"/>
        <w:jc w:val="both"/>
        <w:rPr>
          <w:rFonts w:ascii="Arial" w:eastAsia="Times New Roman" w:hAnsi="Arial" w:cs="Arial"/>
          <w:szCs w:val="20"/>
        </w:rPr>
      </w:pPr>
      <w:r w:rsidRPr="00D44783">
        <w:rPr>
          <w:rFonts w:ascii="Arial" w:eastAsia="Times New Roman" w:hAnsi="Arial" w:cs="Arial"/>
          <w:szCs w:val="20"/>
        </w:rPr>
        <w:t>Μετά</w:t>
      </w:r>
      <w:r w:rsidR="003E6020">
        <w:rPr>
          <w:rFonts w:ascii="Arial" w:eastAsia="Times New Roman" w:hAnsi="Arial" w:cs="Arial"/>
          <w:szCs w:val="20"/>
        </w:rPr>
        <w:t xml:space="preserve"> </w:t>
      </w:r>
      <w:r w:rsidRPr="00D44783">
        <w:rPr>
          <w:rFonts w:ascii="Arial" w:eastAsia="Times New Roman" w:hAnsi="Arial" w:cs="Arial"/>
          <w:szCs w:val="20"/>
        </w:rPr>
        <w:t xml:space="preserve">την πώληση της TELEKOM ROMANIA MOBILE (TKRM), η εταιρεία </w:t>
      </w:r>
      <w:r w:rsidR="006B5860">
        <w:rPr>
          <w:rFonts w:ascii="Arial" w:eastAsia="Times New Roman" w:hAnsi="Arial" w:cs="Arial"/>
          <w:szCs w:val="20"/>
        </w:rPr>
        <w:t>αναπροσ</w:t>
      </w:r>
      <w:r w:rsidR="00AD793D">
        <w:rPr>
          <w:rFonts w:ascii="Arial" w:eastAsia="Times New Roman" w:hAnsi="Arial" w:cs="Arial"/>
          <w:szCs w:val="20"/>
        </w:rPr>
        <w:t>άρμοσε</w:t>
      </w:r>
      <w:r w:rsidRPr="00D44783">
        <w:rPr>
          <w:rFonts w:ascii="Arial" w:eastAsia="Times New Roman" w:hAnsi="Arial" w:cs="Arial"/>
          <w:szCs w:val="20"/>
        </w:rPr>
        <w:t xml:space="preserve"> </w:t>
      </w:r>
      <w:r>
        <w:rPr>
          <w:rFonts w:ascii="Arial" w:eastAsia="Times New Roman" w:hAnsi="Arial" w:cs="Arial"/>
          <w:szCs w:val="20"/>
        </w:rPr>
        <w:t xml:space="preserve">τους στόχους </w:t>
      </w:r>
      <w:r w:rsidR="007446B5">
        <w:rPr>
          <w:rFonts w:ascii="Arial" w:eastAsia="Times New Roman" w:hAnsi="Arial" w:cs="Arial"/>
          <w:szCs w:val="20"/>
        </w:rPr>
        <w:t>της για το 2025</w:t>
      </w:r>
      <w:r>
        <w:rPr>
          <w:rFonts w:ascii="Arial" w:eastAsia="Times New Roman" w:hAnsi="Arial" w:cs="Arial"/>
          <w:szCs w:val="20"/>
        </w:rPr>
        <w:t xml:space="preserve">, </w:t>
      </w:r>
      <w:r w:rsidRPr="00D44783">
        <w:rPr>
          <w:rFonts w:ascii="Arial" w:eastAsia="Times New Roman" w:hAnsi="Arial" w:cs="Arial"/>
          <w:szCs w:val="20"/>
        </w:rPr>
        <w:t xml:space="preserve">ώστε να αντικατοπτρίζουν </w:t>
      </w:r>
      <w:r w:rsidR="0078719D">
        <w:rPr>
          <w:rFonts w:ascii="Arial" w:eastAsia="Times New Roman" w:hAnsi="Arial" w:cs="Arial"/>
          <w:szCs w:val="20"/>
        </w:rPr>
        <w:t>προβλέψεις</w:t>
      </w:r>
      <w:r w:rsidRPr="00D44783">
        <w:rPr>
          <w:rFonts w:ascii="Arial" w:eastAsia="Times New Roman" w:hAnsi="Arial" w:cs="Arial"/>
          <w:szCs w:val="20"/>
        </w:rPr>
        <w:t xml:space="preserve"> μόνο για την Ελλάδα:</w:t>
      </w:r>
    </w:p>
    <w:p w14:paraId="59761606" w14:textId="77777777" w:rsidR="00685E9D" w:rsidRPr="00DF0769" w:rsidRDefault="006F7668" w:rsidP="00B05C52">
      <w:pPr>
        <w:pStyle w:val="ListParagraph"/>
        <w:numPr>
          <w:ilvl w:val="0"/>
          <w:numId w:val="7"/>
        </w:numPr>
        <w:spacing w:after="160" w:line="280" w:lineRule="exact"/>
        <w:ind w:left="284" w:hanging="284"/>
        <w:jc w:val="both"/>
        <w:rPr>
          <w:rFonts w:ascii="Arial" w:hAnsi="Arial" w:cs="Arial"/>
          <w:sz w:val="22"/>
          <w:lang w:val="el-GR"/>
        </w:rPr>
      </w:pPr>
      <w:r w:rsidRPr="00685E9D">
        <w:rPr>
          <w:rFonts w:ascii="Arial" w:hAnsi="Arial" w:cs="Arial"/>
          <w:b/>
          <w:sz w:val="22"/>
          <w:lang w:val="el-GR"/>
        </w:rPr>
        <w:t>Ελεύθερες Ταμειακές Ροές (</w:t>
      </w:r>
      <w:r w:rsidRPr="00685E9D">
        <w:rPr>
          <w:rFonts w:ascii="Arial" w:hAnsi="Arial" w:cs="Arial"/>
          <w:b/>
          <w:sz w:val="22"/>
        </w:rPr>
        <w:t>FCF</w:t>
      </w:r>
      <w:r w:rsidRPr="00685E9D">
        <w:rPr>
          <w:rFonts w:ascii="Arial" w:hAnsi="Arial" w:cs="Arial"/>
          <w:b/>
          <w:sz w:val="22"/>
          <w:lang w:val="el-GR"/>
        </w:rPr>
        <w:t>):</w:t>
      </w:r>
      <w:r w:rsidRPr="00685E9D">
        <w:rPr>
          <w:rFonts w:ascii="Arial" w:hAnsi="Arial" w:cs="Arial"/>
          <w:bCs/>
          <w:sz w:val="22"/>
          <w:lang w:val="el-GR"/>
        </w:rPr>
        <w:t xml:space="preserve"> Ο ΟΤΕ αναμένει για το 2025 ελεύθερες ταμειακές ροές ύψους €</w:t>
      </w:r>
      <w:r w:rsidR="00D31750" w:rsidRPr="00551B36">
        <w:rPr>
          <w:rFonts w:ascii="Arial" w:hAnsi="Arial" w:cs="Arial"/>
          <w:sz w:val="22"/>
          <w:lang w:val="el-GR"/>
        </w:rPr>
        <w:t>530</w:t>
      </w:r>
      <w:r w:rsidRPr="00685E9D">
        <w:rPr>
          <w:rFonts w:ascii="Arial" w:hAnsi="Arial" w:cs="Arial"/>
          <w:bCs/>
          <w:sz w:val="22"/>
          <w:lang w:val="el-GR"/>
        </w:rPr>
        <w:t xml:space="preserve"> εκατ. περίπου</w:t>
      </w:r>
    </w:p>
    <w:p w14:paraId="31049DEC" w14:textId="7EECB203" w:rsidR="000A16E4" w:rsidRPr="00F7508D" w:rsidRDefault="00EF2A1D" w:rsidP="00B05C52">
      <w:pPr>
        <w:pStyle w:val="ListParagraph"/>
        <w:numPr>
          <w:ilvl w:val="0"/>
          <w:numId w:val="7"/>
        </w:numPr>
        <w:spacing w:after="160" w:line="280" w:lineRule="exact"/>
        <w:ind w:left="284" w:hanging="284"/>
        <w:jc w:val="both"/>
        <w:rPr>
          <w:rFonts w:ascii="Arial" w:hAnsi="Arial" w:cs="Arial"/>
          <w:bCs/>
          <w:sz w:val="22"/>
          <w:lang w:val="el-GR"/>
        </w:rPr>
      </w:pPr>
      <w:r w:rsidRPr="00685E9D">
        <w:rPr>
          <w:rFonts w:ascii="Arial" w:hAnsi="Arial" w:cs="Arial"/>
          <w:b/>
          <w:sz w:val="22"/>
          <w:lang w:val="el-GR"/>
        </w:rPr>
        <w:t>Επενδύσεις (</w:t>
      </w:r>
      <w:r w:rsidRPr="00685E9D">
        <w:rPr>
          <w:rFonts w:ascii="Arial" w:hAnsi="Arial" w:cs="Arial"/>
          <w:b/>
          <w:sz w:val="22"/>
        </w:rPr>
        <w:t>CAPEX</w:t>
      </w:r>
      <w:r w:rsidRPr="00685E9D">
        <w:rPr>
          <w:rFonts w:ascii="Arial" w:hAnsi="Arial" w:cs="Arial"/>
          <w:b/>
          <w:sz w:val="22"/>
          <w:lang w:val="el-GR"/>
        </w:rPr>
        <w:t>):</w:t>
      </w:r>
      <w:r w:rsidR="00FC093F" w:rsidRPr="00685E9D">
        <w:rPr>
          <w:rFonts w:ascii="Arial" w:hAnsi="Arial" w:cs="Arial"/>
          <w:bCs/>
          <w:sz w:val="22"/>
          <w:lang w:val="el-GR"/>
        </w:rPr>
        <w:t xml:space="preserve"> </w:t>
      </w:r>
      <w:r w:rsidR="000A16E4" w:rsidRPr="00685E9D">
        <w:rPr>
          <w:rFonts w:ascii="Arial" w:hAnsi="Arial" w:cs="Arial"/>
          <w:lang w:val="el-GR"/>
          <w14:ligatures w14:val="standardContextual"/>
        </w:rPr>
        <w:t xml:space="preserve">Οι </w:t>
      </w:r>
      <w:r w:rsidR="000A16E4" w:rsidRPr="00685E9D">
        <w:rPr>
          <w:rFonts w:ascii="Arial" w:hAnsi="Arial" w:cs="Arial"/>
          <w:bCs/>
          <w:sz w:val="22"/>
          <w:lang w:val="el-GR"/>
        </w:rPr>
        <w:t>επενδύσεις για το 2025 αναμέν</w:t>
      </w:r>
      <w:r w:rsidR="00F4406B">
        <w:rPr>
          <w:rFonts w:ascii="Arial" w:hAnsi="Arial" w:cs="Arial"/>
          <w:bCs/>
          <w:sz w:val="22"/>
          <w:lang w:val="el-GR"/>
        </w:rPr>
        <w:t xml:space="preserve">ονται </w:t>
      </w:r>
      <w:r w:rsidR="00551B36">
        <w:rPr>
          <w:rFonts w:ascii="Arial" w:hAnsi="Arial" w:cs="Arial"/>
          <w:bCs/>
          <w:sz w:val="22"/>
          <w:lang w:val="el-GR"/>
        </w:rPr>
        <w:t>περίπου στα</w:t>
      </w:r>
      <w:r w:rsidR="00F4406B">
        <w:rPr>
          <w:rFonts w:ascii="Arial" w:hAnsi="Arial" w:cs="Arial"/>
          <w:bCs/>
          <w:sz w:val="22"/>
          <w:lang w:val="el-GR"/>
        </w:rPr>
        <w:t xml:space="preserve"> </w:t>
      </w:r>
      <w:r w:rsidR="000A16E4" w:rsidRPr="00685E9D">
        <w:rPr>
          <w:rFonts w:ascii="Arial" w:hAnsi="Arial" w:cs="Arial"/>
          <w:bCs/>
          <w:sz w:val="22"/>
          <w:lang w:val="el-GR"/>
        </w:rPr>
        <w:t>€6</w:t>
      </w:r>
      <w:r w:rsidR="00F4406B">
        <w:rPr>
          <w:rFonts w:ascii="Arial" w:hAnsi="Arial" w:cs="Arial"/>
          <w:bCs/>
          <w:sz w:val="22"/>
          <w:lang w:val="el-GR"/>
        </w:rPr>
        <w:t>0</w:t>
      </w:r>
      <w:r w:rsidR="000A16E4" w:rsidRPr="00685E9D">
        <w:rPr>
          <w:rFonts w:ascii="Arial" w:hAnsi="Arial" w:cs="Arial"/>
          <w:bCs/>
          <w:sz w:val="22"/>
          <w:lang w:val="el-GR"/>
        </w:rPr>
        <w:t>0 εκατ.</w:t>
      </w:r>
      <w:r w:rsidR="00F4406B">
        <w:rPr>
          <w:rFonts w:ascii="Arial" w:hAnsi="Arial" w:cs="Arial"/>
          <w:bCs/>
          <w:sz w:val="22"/>
          <w:lang w:val="el-GR"/>
        </w:rPr>
        <w:t xml:space="preserve"> </w:t>
      </w:r>
      <w:r w:rsidR="000A16E4" w:rsidRPr="00685E9D">
        <w:rPr>
          <w:rFonts w:ascii="Arial" w:hAnsi="Arial" w:cs="Arial"/>
          <w:bCs/>
          <w:sz w:val="22"/>
          <w:lang w:val="el-GR"/>
        </w:rPr>
        <w:t>καθώς η Εταιρεία συνεχίζει την ανάπτυξη της υποδομής FTTH</w:t>
      </w:r>
      <w:r w:rsidR="00F7508D">
        <w:rPr>
          <w:rFonts w:ascii="Arial" w:hAnsi="Arial" w:cs="Arial"/>
          <w:bCs/>
          <w:sz w:val="22"/>
          <w:lang w:val="el-GR"/>
        </w:rPr>
        <w:t xml:space="preserve"> και τ</w:t>
      </w:r>
      <w:r w:rsidR="00F7508D" w:rsidRPr="00F7508D">
        <w:rPr>
          <w:rFonts w:ascii="Arial" w:hAnsi="Arial" w:cs="Arial"/>
          <w:bCs/>
          <w:sz w:val="22"/>
          <w:lang w:val="el-GR"/>
        </w:rPr>
        <w:t xml:space="preserve">ην αύξηση της κάλυψης </w:t>
      </w:r>
      <w:r w:rsidR="00B817B8">
        <w:rPr>
          <w:rFonts w:ascii="Arial" w:hAnsi="Arial" w:cs="Arial"/>
          <w:bCs/>
          <w:sz w:val="22"/>
          <w:lang w:val="el-GR"/>
        </w:rPr>
        <w:t>του δικτύου 5</w:t>
      </w:r>
      <w:r w:rsidR="00B817B8">
        <w:rPr>
          <w:rFonts w:ascii="Arial" w:hAnsi="Arial" w:cs="Arial"/>
          <w:bCs/>
          <w:sz w:val="22"/>
        </w:rPr>
        <w:t>G</w:t>
      </w:r>
      <w:r w:rsidR="00B817B8" w:rsidRPr="00B817B8">
        <w:rPr>
          <w:rFonts w:ascii="Arial" w:hAnsi="Arial" w:cs="Arial"/>
          <w:bCs/>
          <w:sz w:val="22"/>
          <w:lang w:val="el-GR"/>
        </w:rPr>
        <w:t xml:space="preserve"> </w:t>
      </w:r>
      <w:r w:rsidR="00F163B2">
        <w:rPr>
          <w:rFonts w:ascii="Arial" w:hAnsi="Arial" w:cs="Arial"/>
          <w:bCs/>
          <w:sz w:val="22"/>
        </w:rPr>
        <w:t>Stand</w:t>
      </w:r>
      <w:r w:rsidR="00F163B2" w:rsidRPr="00F163B2">
        <w:rPr>
          <w:rFonts w:ascii="Arial" w:hAnsi="Arial" w:cs="Arial"/>
          <w:bCs/>
          <w:sz w:val="22"/>
          <w:lang w:val="el-GR"/>
        </w:rPr>
        <w:t xml:space="preserve"> </w:t>
      </w:r>
      <w:r w:rsidR="00F163B2">
        <w:rPr>
          <w:rFonts w:ascii="Arial" w:hAnsi="Arial" w:cs="Arial"/>
          <w:bCs/>
          <w:sz w:val="22"/>
        </w:rPr>
        <w:t>Alone</w:t>
      </w:r>
      <w:r w:rsidR="00F163B2" w:rsidRPr="00F163B2">
        <w:rPr>
          <w:rFonts w:ascii="Arial" w:hAnsi="Arial" w:cs="Arial"/>
          <w:bCs/>
          <w:sz w:val="22"/>
          <w:lang w:val="el-GR"/>
        </w:rPr>
        <w:t xml:space="preserve"> (</w:t>
      </w:r>
      <w:r w:rsidR="00B817B8">
        <w:rPr>
          <w:rFonts w:ascii="Arial" w:hAnsi="Arial" w:cs="Arial"/>
          <w:bCs/>
          <w:sz w:val="22"/>
        </w:rPr>
        <w:t>SA</w:t>
      </w:r>
      <w:r w:rsidR="00F163B2" w:rsidRPr="00F163B2">
        <w:rPr>
          <w:rFonts w:ascii="Arial" w:hAnsi="Arial" w:cs="Arial"/>
          <w:bCs/>
          <w:sz w:val="22"/>
          <w:lang w:val="el-GR"/>
        </w:rPr>
        <w:t>)</w:t>
      </w:r>
      <w:r w:rsidR="00B817B8" w:rsidRPr="00B817B8">
        <w:rPr>
          <w:rFonts w:ascii="Arial" w:hAnsi="Arial" w:cs="Arial"/>
          <w:bCs/>
          <w:sz w:val="22"/>
          <w:lang w:val="el-GR"/>
        </w:rPr>
        <w:t xml:space="preserve"> </w:t>
      </w:r>
      <w:r w:rsidR="00B817B8">
        <w:rPr>
          <w:rFonts w:ascii="Arial" w:hAnsi="Arial" w:cs="Arial"/>
          <w:bCs/>
          <w:sz w:val="22"/>
          <w:lang w:val="el-GR"/>
        </w:rPr>
        <w:t>στο οποίο βασίζεται η</w:t>
      </w:r>
      <w:r w:rsidR="00F7508D" w:rsidRPr="00F7508D">
        <w:rPr>
          <w:rFonts w:ascii="Arial" w:hAnsi="Arial" w:cs="Arial"/>
          <w:bCs/>
          <w:sz w:val="22"/>
          <w:lang w:val="el-GR"/>
        </w:rPr>
        <w:t xml:space="preserve"> υπηρεσία </w:t>
      </w:r>
      <w:proofErr w:type="spellStart"/>
      <w:r w:rsidR="00F7508D" w:rsidRPr="00F7508D">
        <w:rPr>
          <w:rFonts w:ascii="Arial" w:hAnsi="Arial" w:cs="Arial"/>
          <w:bCs/>
          <w:sz w:val="22"/>
          <w:lang w:val="el-GR"/>
        </w:rPr>
        <w:t>Fixed</w:t>
      </w:r>
      <w:proofErr w:type="spellEnd"/>
      <w:r w:rsidR="00F7508D" w:rsidRPr="00F7508D">
        <w:rPr>
          <w:rFonts w:ascii="Arial" w:hAnsi="Arial" w:cs="Arial"/>
          <w:bCs/>
          <w:sz w:val="22"/>
          <w:lang w:val="el-GR"/>
        </w:rPr>
        <w:t xml:space="preserve"> </w:t>
      </w:r>
      <w:proofErr w:type="spellStart"/>
      <w:r w:rsidR="00F7508D" w:rsidRPr="00F7508D">
        <w:rPr>
          <w:rFonts w:ascii="Arial" w:hAnsi="Arial" w:cs="Arial"/>
          <w:bCs/>
          <w:sz w:val="22"/>
          <w:lang w:val="el-GR"/>
        </w:rPr>
        <w:t>Wireless</w:t>
      </w:r>
      <w:proofErr w:type="spellEnd"/>
      <w:r w:rsidR="00F7508D" w:rsidRPr="00F7508D">
        <w:rPr>
          <w:rFonts w:ascii="Arial" w:hAnsi="Arial" w:cs="Arial"/>
          <w:bCs/>
          <w:sz w:val="22"/>
          <w:lang w:val="el-GR"/>
        </w:rPr>
        <w:t xml:space="preserve"> Access (FWA).</w:t>
      </w:r>
    </w:p>
    <w:p w14:paraId="65E77FC5" w14:textId="6B704CD6" w:rsidR="00EF2A1D" w:rsidRDefault="00EF2A1D" w:rsidP="000A16E4">
      <w:pPr>
        <w:pStyle w:val="ListParagraph"/>
        <w:numPr>
          <w:ilvl w:val="0"/>
          <w:numId w:val="7"/>
        </w:numPr>
        <w:spacing w:after="160" w:line="280" w:lineRule="exact"/>
        <w:ind w:left="284" w:hanging="284"/>
        <w:jc w:val="both"/>
        <w:rPr>
          <w:rFonts w:ascii="Arial" w:hAnsi="Arial" w:cs="Arial"/>
          <w:bCs/>
          <w:sz w:val="22"/>
          <w:lang w:val="el-GR"/>
        </w:rPr>
      </w:pPr>
      <w:r w:rsidRPr="000A16E4">
        <w:rPr>
          <w:rFonts w:ascii="Arial" w:hAnsi="Arial" w:cs="Arial"/>
          <w:b/>
          <w:sz w:val="22"/>
          <w:lang w:val="el-GR"/>
        </w:rPr>
        <w:lastRenderedPageBreak/>
        <w:t xml:space="preserve">Προσαρμοσμένο </w:t>
      </w:r>
      <w:r w:rsidRPr="000A16E4">
        <w:rPr>
          <w:rFonts w:ascii="Arial" w:hAnsi="Arial" w:cs="Arial"/>
          <w:b/>
          <w:sz w:val="22"/>
        </w:rPr>
        <w:t>EBITDA</w:t>
      </w:r>
      <w:r w:rsidRPr="000A16E4">
        <w:rPr>
          <w:rFonts w:ascii="Arial" w:hAnsi="Arial" w:cs="Arial"/>
          <w:b/>
          <w:sz w:val="22"/>
          <w:lang w:val="el-GR"/>
        </w:rPr>
        <w:t xml:space="preserve"> (</w:t>
      </w:r>
      <w:r w:rsidRPr="000A16E4">
        <w:rPr>
          <w:rFonts w:ascii="Arial" w:hAnsi="Arial" w:cs="Arial"/>
          <w:b/>
          <w:sz w:val="22"/>
        </w:rPr>
        <w:t>AL</w:t>
      </w:r>
      <w:r w:rsidRPr="000A16E4">
        <w:rPr>
          <w:rFonts w:ascii="Arial" w:hAnsi="Arial" w:cs="Arial"/>
          <w:b/>
          <w:sz w:val="22"/>
          <w:lang w:val="el-GR"/>
        </w:rPr>
        <w:t>):</w:t>
      </w:r>
      <w:r w:rsidRPr="000A16E4">
        <w:rPr>
          <w:rFonts w:ascii="Arial" w:hAnsi="Arial" w:cs="Arial"/>
          <w:bCs/>
          <w:sz w:val="22"/>
          <w:lang w:val="el-GR"/>
        </w:rPr>
        <w:t xml:space="preserve"> </w:t>
      </w:r>
      <w:r w:rsidRPr="000A16E4">
        <w:rPr>
          <w:rFonts w:ascii="Arial" w:hAnsi="Arial" w:cs="Arial"/>
          <w:bCs/>
          <w:sz w:val="22"/>
        </w:rPr>
        <w:t>O</w:t>
      </w:r>
      <w:r w:rsidRPr="000A16E4">
        <w:rPr>
          <w:rFonts w:ascii="Arial" w:hAnsi="Arial" w:cs="Arial"/>
          <w:bCs/>
          <w:sz w:val="22"/>
          <w:lang w:val="el-GR"/>
        </w:rPr>
        <w:t xml:space="preserve"> </w:t>
      </w:r>
      <w:r w:rsidRPr="000A16E4">
        <w:rPr>
          <w:rFonts w:ascii="Arial" w:hAnsi="Arial" w:cs="Arial"/>
          <w:bCs/>
          <w:sz w:val="22"/>
        </w:rPr>
        <w:t>OTE</w:t>
      </w:r>
      <w:r w:rsidRPr="000A16E4">
        <w:rPr>
          <w:rFonts w:ascii="Arial" w:hAnsi="Arial" w:cs="Arial"/>
          <w:bCs/>
          <w:sz w:val="22"/>
          <w:lang w:val="el-GR"/>
        </w:rPr>
        <w:t xml:space="preserve"> εκτιμά ότι το </w:t>
      </w:r>
      <w:r w:rsidRPr="000A16E4">
        <w:rPr>
          <w:rFonts w:ascii="Arial" w:hAnsi="Arial" w:cs="Arial"/>
          <w:bCs/>
          <w:sz w:val="22"/>
        </w:rPr>
        <w:t>EBITDA</w:t>
      </w:r>
      <w:r w:rsidRPr="000A16E4">
        <w:rPr>
          <w:rFonts w:ascii="Arial" w:hAnsi="Arial" w:cs="Arial"/>
          <w:bCs/>
          <w:sz w:val="22"/>
          <w:lang w:val="el-GR"/>
        </w:rPr>
        <w:t xml:space="preserve"> θα αυξηθεί κατά περίπου 2%, καθώς αναμένει ισχυρές επιδόσεις </w:t>
      </w:r>
      <w:r w:rsidR="00B5349E">
        <w:rPr>
          <w:rFonts w:ascii="Arial" w:hAnsi="Arial" w:cs="Arial"/>
          <w:bCs/>
          <w:sz w:val="22"/>
          <w:lang w:val="el-GR"/>
        </w:rPr>
        <w:t>στις κύριες υπηρεσίες</w:t>
      </w:r>
      <w:r w:rsidR="0004210A" w:rsidRPr="0004210A">
        <w:rPr>
          <w:rFonts w:ascii="Arial" w:hAnsi="Arial" w:cs="Arial"/>
          <w:bCs/>
          <w:sz w:val="22"/>
          <w:lang w:val="el-GR"/>
        </w:rPr>
        <w:t xml:space="preserve"> </w:t>
      </w:r>
      <w:r w:rsidRPr="000A16E4">
        <w:rPr>
          <w:rFonts w:ascii="Arial" w:hAnsi="Arial" w:cs="Arial"/>
          <w:bCs/>
          <w:sz w:val="22"/>
          <w:lang w:val="el-GR"/>
        </w:rPr>
        <w:t xml:space="preserve">(κινητή, </w:t>
      </w:r>
      <w:proofErr w:type="spellStart"/>
      <w:r w:rsidRPr="000A16E4">
        <w:rPr>
          <w:rFonts w:ascii="Arial" w:hAnsi="Arial" w:cs="Arial"/>
          <w:bCs/>
          <w:sz w:val="22"/>
          <w:lang w:val="el-GR"/>
        </w:rPr>
        <w:t>ευρυζωνικές</w:t>
      </w:r>
      <w:proofErr w:type="spellEnd"/>
      <w:r w:rsidRPr="000A16E4">
        <w:rPr>
          <w:rFonts w:ascii="Arial" w:hAnsi="Arial" w:cs="Arial"/>
          <w:bCs/>
          <w:sz w:val="22"/>
          <w:lang w:val="el-GR"/>
        </w:rPr>
        <w:t xml:space="preserve"> υπηρεσίες και τηλεόραση), σε συνδυασμό με αποτελεσματική διαχείριση του κόστους σε διάφορους τομείς.</w:t>
      </w:r>
    </w:p>
    <w:p w14:paraId="71099A16" w14:textId="7D1D8D1E" w:rsidR="006F7668" w:rsidRPr="00EF2A1D" w:rsidRDefault="006F7668" w:rsidP="00EF2A1D">
      <w:pPr>
        <w:pStyle w:val="ListParagraph"/>
        <w:spacing w:after="120"/>
        <w:ind w:left="284"/>
        <w:jc w:val="both"/>
        <w:rPr>
          <w:rFonts w:ascii="Arial" w:hAnsi="Arial" w:cs="Arial"/>
          <w:i/>
          <w:u w:val="single"/>
          <w:lang w:val="el-GR"/>
        </w:rPr>
      </w:pPr>
    </w:p>
    <w:p w14:paraId="1995555C" w14:textId="33A7C008" w:rsidR="00051E74" w:rsidRPr="00FB20CB" w:rsidRDefault="006E0597" w:rsidP="005376F7">
      <w:pPr>
        <w:pStyle w:val="Tittle2"/>
        <w:rPr>
          <w:rFonts w:cs="Arial"/>
          <w:lang w:val="el-GR"/>
        </w:rPr>
      </w:pPr>
      <w:bookmarkStart w:id="2" w:name="ΑΜΟΙΒΕΣ"/>
      <w:r w:rsidRPr="00FB20CB">
        <w:rPr>
          <w:rFonts w:cs="Arial"/>
          <w:lang w:val="el-GR"/>
        </w:rPr>
        <w:t>ΑΜΟΙΒΕΣ</w:t>
      </w:r>
      <w:r w:rsidR="00051E74" w:rsidRPr="00FB20CB">
        <w:rPr>
          <w:rFonts w:cs="Arial"/>
          <w:lang w:val="el-GR"/>
        </w:rPr>
        <w:t xml:space="preserve"> </w:t>
      </w:r>
      <w:r w:rsidRPr="00FB20CB">
        <w:rPr>
          <w:rFonts w:cs="Arial"/>
          <w:lang w:val="el-GR"/>
        </w:rPr>
        <w:t xml:space="preserve">ΠΡΟΣ ΤΟΥΣ ΜΕΤΟΧΟΥΣ ΓΙΑ ΤΟ </w:t>
      </w:r>
      <w:r w:rsidR="00051E74" w:rsidRPr="00FB20CB">
        <w:rPr>
          <w:rFonts w:cs="Arial"/>
          <w:lang w:val="el-GR"/>
        </w:rPr>
        <w:t>2025</w:t>
      </w:r>
    </w:p>
    <w:bookmarkEnd w:id="2"/>
    <w:p w14:paraId="1D5AC07D" w14:textId="2900ADAB" w:rsidR="002E6603" w:rsidRDefault="00AC74E2" w:rsidP="0056568C">
      <w:pPr>
        <w:pStyle w:val="Default"/>
        <w:jc w:val="both"/>
        <w:rPr>
          <w:rFonts w:ascii="Arial" w:eastAsiaTheme="minorHAnsi" w:hAnsi="Arial" w:cs="Arial"/>
          <w:color w:val="auto"/>
          <w:sz w:val="22"/>
          <w:szCs w:val="22"/>
          <w:lang w:eastAsia="en-US"/>
        </w:rPr>
      </w:pPr>
      <w:r w:rsidRPr="0056568C">
        <w:rPr>
          <w:rFonts w:ascii="Arial" w:eastAsiaTheme="minorHAnsi" w:hAnsi="Arial" w:cs="Arial"/>
          <w:color w:val="auto"/>
          <w:sz w:val="22"/>
          <w:szCs w:val="22"/>
          <w:lang w:eastAsia="en-US"/>
        </w:rPr>
        <w:t xml:space="preserve">Η </w:t>
      </w:r>
      <w:r w:rsidRPr="00C73E12">
        <w:rPr>
          <w:rFonts w:ascii="Arial" w:eastAsiaTheme="minorHAnsi" w:hAnsi="Arial" w:cs="Arial"/>
          <w:color w:val="auto"/>
          <w:sz w:val="22"/>
          <w:szCs w:val="22"/>
          <w:lang w:eastAsia="en-US"/>
        </w:rPr>
        <w:t xml:space="preserve">Αμοιβή </w:t>
      </w:r>
      <w:r w:rsidRPr="0056568C">
        <w:rPr>
          <w:rFonts w:ascii="Arial" w:eastAsiaTheme="minorHAnsi" w:hAnsi="Arial" w:cs="Arial"/>
          <w:color w:val="auto"/>
          <w:sz w:val="22"/>
          <w:szCs w:val="22"/>
          <w:lang w:eastAsia="en-US"/>
        </w:rPr>
        <w:t xml:space="preserve">προς τους Μετόχους για το 2025 </w:t>
      </w:r>
      <w:r w:rsidR="0056568C" w:rsidRPr="0056568C">
        <w:rPr>
          <w:rFonts w:ascii="Arial" w:eastAsiaTheme="minorHAnsi" w:hAnsi="Arial" w:cs="Arial"/>
          <w:color w:val="auto"/>
          <w:sz w:val="22"/>
          <w:szCs w:val="22"/>
          <w:lang w:eastAsia="en-US"/>
        </w:rPr>
        <w:t>έχει οριστεί</w:t>
      </w:r>
      <w:r w:rsidRPr="0056568C">
        <w:rPr>
          <w:rFonts w:ascii="Arial" w:eastAsiaTheme="minorHAnsi" w:hAnsi="Arial" w:cs="Arial"/>
          <w:color w:val="auto"/>
          <w:sz w:val="22"/>
          <w:szCs w:val="22"/>
          <w:lang w:eastAsia="en-US"/>
        </w:rPr>
        <w:t xml:space="preserve"> σε €451 εκατ. </w:t>
      </w:r>
      <w:r w:rsidR="006F02A2" w:rsidRPr="0056568C">
        <w:rPr>
          <w:rFonts w:ascii="Arial" w:eastAsiaTheme="minorHAnsi" w:hAnsi="Arial" w:cs="Arial"/>
          <w:color w:val="auto"/>
          <w:sz w:val="22"/>
          <w:szCs w:val="22"/>
          <w:lang w:eastAsia="en-US"/>
        </w:rPr>
        <w:t>και επιμερίζεται</w:t>
      </w:r>
      <w:r w:rsidR="007D7BD0" w:rsidRPr="0056568C">
        <w:rPr>
          <w:rFonts w:ascii="Arial" w:eastAsiaTheme="minorHAnsi" w:hAnsi="Arial" w:cs="Arial"/>
          <w:color w:val="auto"/>
          <w:sz w:val="22"/>
          <w:szCs w:val="22"/>
          <w:lang w:eastAsia="en-US"/>
        </w:rPr>
        <w:t xml:space="preserve"> σε </w:t>
      </w:r>
      <w:r w:rsidRPr="0056568C">
        <w:rPr>
          <w:rFonts w:ascii="Arial" w:eastAsiaTheme="minorHAnsi" w:hAnsi="Arial" w:cs="Arial"/>
          <w:color w:val="auto"/>
          <w:sz w:val="22"/>
          <w:szCs w:val="22"/>
          <w:lang w:eastAsia="en-US"/>
        </w:rPr>
        <w:t xml:space="preserve">μέρισμα αξίας €298 εκατ. και σε Πρόγραμμα Απόκτησης Ιδίων Μετοχών ύψους €153 εκατ. περίπου. </w:t>
      </w:r>
      <w:r w:rsidR="0056568C" w:rsidRPr="0056568C">
        <w:rPr>
          <w:rFonts w:ascii="Arial" w:eastAsiaTheme="minorHAnsi" w:hAnsi="Arial" w:cs="Arial"/>
          <w:color w:val="auto"/>
          <w:sz w:val="22"/>
          <w:szCs w:val="22"/>
          <w:lang w:eastAsia="en-US"/>
        </w:rPr>
        <w:t xml:space="preserve">Το ποσό αυτό προσδιορίστηκε αρχικά με βάση τις αναμενόμενες Ελεύθερες Ταμειακές Ροές (Free Cash </w:t>
      </w:r>
      <w:proofErr w:type="spellStart"/>
      <w:r w:rsidR="0056568C" w:rsidRPr="0056568C">
        <w:rPr>
          <w:rFonts w:ascii="Arial" w:eastAsiaTheme="minorHAnsi" w:hAnsi="Arial" w:cs="Arial"/>
          <w:color w:val="auto"/>
          <w:sz w:val="22"/>
          <w:szCs w:val="22"/>
          <w:lang w:eastAsia="en-US"/>
        </w:rPr>
        <w:t>Flow</w:t>
      </w:r>
      <w:proofErr w:type="spellEnd"/>
      <w:r w:rsidR="0056568C" w:rsidRPr="0056568C">
        <w:rPr>
          <w:rFonts w:ascii="Arial" w:eastAsiaTheme="minorHAnsi" w:hAnsi="Arial" w:cs="Arial"/>
          <w:color w:val="auto"/>
          <w:sz w:val="22"/>
          <w:szCs w:val="22"/>
          <w:lang w:eastAsia="en-US"/>
        </w:rPr>
        <w:t>) ύψους περίπου €460 εκατ. για το έτος, συμπεριλαμβανομένου του εκτιμώμενου ταμειακού ελλείμματος της TELEKOM ROMANIA MOBILE (TKRM), καθώς η δραστηριότητα παρέμενε μέρος του Ομίλου.</w:t>
      </w:r>
      <w:r w:rsidR="003F024E">
        <w:rPr>
          <w:rFonts w:ascii="Arial" w:eastAsiaTheme="minorHAnsi" w:hAnsi="Arial" w:cs="Arial"/>
          <w:color w:val="auto"/>
          <w:sz w:val="22"/>
          <w:szCs w:val="22"/>
          <w:lang w:eastAsia="en-US"/>
        </w:rPr>
        <w:t xml:space="preserve"> Η</w:t>
      </w:r>
      <w:r w:rsidR="003F024E" w:rsidRPr="00B02925">
        <w:rPr>
          <w:rFonts w:ascii="Arial" w:eastAsiaTheme="minorHAnsi" w:hAnsi="Arial" w:cs="Arial"/>
          <w:color w:val="auto"/>
          <w:sz w:val="22"/>
          <w:szCs w:val="22"/>
          <w:lang w:eastAsia="en-US"/>
        </w:rPr>
        <w:t xml:space="preserve"> Αμοιβή προς τους Μετόχους για το 2025 ύψους περίπου €451 εκατ. αντιστοιχεί στο 98% περίπου των </w:t>
      </w:r>
      <w:r w:rsidR="006177BF">
        <w:rPr>
          <w:rFonts w:ascii="Arial" w:eastAsiaTheme="minorHAnsi" w:hAnsi="Arial" w:cs="Arial"/>
          <w:color w:val="auto"/>
          <w:sz w:val="22"/>
          <w:szCs w:val="22"/>
          <w:lang w:eastAsia="en-US"/>
        </w:rPr>
        <w:t xml:space="preserve">αρχικά </w:t>
      </w:r>
      <w:r w:rsidR="003F024E" w:rsidRPr="00B02925">
        <w:rPr>
          <w:rFonts w:ascii="Arial" w:eastAsiaTheme="minorHAnsi" w:hAnsi="Arial" w:cs="Arial"/>
          <w:color w:val="auto"/>
          <w:sz w:val="22"/>
          <w:szCs w:val="22"/>
          <w:lang w:eastAsia="en-US"/>
        </w:rPr>
        <w:t>αναμενόμενων ελεύθερων ταμειακών ροών για το 2025</w:t>
      </w:r>
      <w:r w:rsidR="002F02E2" w:rsidRPr="002F02E2">
        <w:rPr>
          <w:rFonts w:ascii="Arial" w:eastAsiaTheme="minorHAnsi" w:hAnsi="Arial" w:cs="Arial"/>
          <w:color w:val="auto"/>
          <w:sz w:val="22"/>
          <w:szCs w:val="22"/>
          <w:lang w:eastAsia="en-US"/>
        </w:rPr>
        <w:t>.</w:t>
      </w:r>
      <w:r w:rsidR="003F024E" w:rsidRPr="00B02925">
        <w:rPr>
          <w:rFonts w:ascii="Arial" w:eastAsiaTheme="minorHAnsi" w:hAnsi="Arial" w:cs="Arial"/>
          <w:color w:val="auto"/>
          <w:sz w:val="22"/>
          <w:szCs w:val="22"/>
          <w:lang w:eastAsia="en-US"/>
        </w:rPr>
        <w:t xml:space="preserve">  </w:t>
      </w:r>
      <w:r w:rsidR="00DC42DF" w:rsidRPr="0056568C">
        <w:rPr>
          <w:rFonts w:ascii="Arial" w:eastAsiaTheme="minorHAnsi" w:hAnsi="Arial" w:cs="Arial"/>
          <w:color w:val="auto"/>
          <w:sz w:val="22"/>
          <w:szCs w:val="22"/>
          <w:lang w:eastAsia="en-US"/>
        </w:rPr>
        <w:t>Το μέρισμα ανά μετοχή αν</w:t>
      </w:r>
      <w:r w:rsidR="00B02925">
        <w:rPr>
          <w:rFonts w:ascii="Arial" w:eastAsiaTheme="minorHAnsi" w:hAnsi="Arial" w:cs="Arial"/>
          <w:color w:val="auto"/>
          <w:sz w:val="22"/>
          <w:szCs w:val="22"/>
          <w:lang w:eastAsia="en-US"/>
        </w:rPr>
        <w:t>ήλθε</w:t>
      </w:r>
      <w:r w:rsidR="00DC42DF" w:rsidRPr="0056568C">
        <w:rPr>
          <w:rFonts w:ascii="Arial" w:eastAsiaTheme="minorHAnsi" w:hAnsi="Arial" w:cs="Arial"/>
          <w:color w:val="auto"/>
          <w:sz w:val="22"/>
          <w:szCs w:val="22"/>
          <w:lang w:eastAsia="en-US"/>
        </w:rPr>
        <w:t xml:space="preserve"> σε €0,7216, ενώ το τελικό μέρισμα ύψους €0,7415 ανά μετοχή—προσαυξημένο με το ποσό που αντιστοιχεί στις ίδιες μετοχές κατά την ημερομηνία αποκοπής του μερίσματος—καταβλήθηκε στις 9 Ιουλίου 2025. Το Πρόγραμμα Απόκτησης Ιδίων Μετοχών για το 2025 είναι σε εξέλιξη</w:t>
      </w:r>
      <w:r w:rsidR="00B02925">
        <w:rPr>
          <w:rFonts w:ascii="Arial" w:eastAsiaTheme="minorHAnsi" w:hAnsi="Arial" w:cs="Arial"/>
          <w:color w:val="auto"/>
          <w:sz w:val="22"/>
          <w:szCs w:val="22"/>
          <w:lang w:eastAsia="en-US"/>
        </w:rPr>
        <w:t xml:space="preserve"> και μ</w:t>
      </w:r>
      <w:r w:rsidR="00DC42DF" w:rsidRPr="0056568C">
        <w:rPr>
          <w:rFonts w:ascii="Arial" w:eastAsiaTheme="minorHAnsi" w:hAnsi="Arial" w:cs="Arial"/>
          <w:color w:val="auto"/>
          <w:sz w:val="22"/>
          <w:szCs w:val="22"/>
          <w:lang w:eastAsia="en-US"/>
        </w:rPr>
        <w:t xml:space="preserve">έχρι σήμερα, ο ΟΤΕ έχει προβεί σε επαναγορά </w:t>
      </w:r>
      <w:r w:rsidR="007445B5" w:rsidRPr="0056568C">
        <w:rPr>
          <w:rFonts w:ascii="Arial" w:eastAsiaTheme="minorHAnsi" w:hAnsi="Arial" w:cs="Arial"/>
          <w:color w:val="auto"/>
          <w:sz w:val="22"/>
          <w:szCs w:val="22"/>
          <w:lang w:eastAsia="en-US"/>
        </w:rPr>
        <w:t>ιδίων μετοχών</w:t>
      </w:r>
      <w:r w:rsidR="00DC42DF" w:rsidRPr="0056568C">
        <w:rPr>
          <w:rFonts w:ascii="Arial" w:eastAsiaTheme="minorHAnsi" w:hAnsi="Arial" w:cs="Arial"/>
          <w:color w:val="auto"/>
          <w:sz w:val="22"/>
          <w:szCs w:val="22"/>
          <w:lang w:eastAsia="en-US"/>
        </w:rPr>
        <w:t xml:space="preserve"> ύψους </w:t>
      </w:r>
      <w:r w:rsidR="00DC42DF" w:rsidRPr="00892A0C">
        <w:rPr>
          <w:rFonts w:ascii="Arial" w:eastAsiaTheme="minorHAnsi" w:hAnsi="Arial" w:cs="Arial"/>
          <w:color w:val="auto"/>
          <w:sz w:val="22"/>
          <w:szCs w:val="22"/>
          <w:lang w:eastAsia="en-US"/>
        </w:rPr>
        <w:t>€</w:t>
      </w:r>
      <w:r w:rsidR="00B817B8" w:rsidRPr="00892A0C">
        <w:rPr>
          <w:rFonts w:ascii="Arial" w:eastAsiaTheme="minorHAnsi" w:hAnsi="Arial" w:cs="Arial"/>
          <w:color w:val="auto"/>
          <w:sz w:val="22"/>
          <w:szCs w:val="22"/>
          <w:lang w:eastAsia="en-US"/>
        </w:rPr>
        <w:t>128</w:t>
      </w:r>
      <w:r w:rsidR="00AF68C2" w:rsidRPr="00892A0C">
        <w:rPr>
          <w:rFonts w:ascii="Arial" w:eastAsiaTheme="minorHAnsi" w:hAnsi="Arial" w:cs="Arial"/>
          <w:color w:val="auto"/>
          <w:sz w:val="22"/>
          <w:szCs w:val="22"/>
          <w:lang w:eastAsia="en-US"/>
        </w:rPr>
        <w:t xml:space="preserve"> </w:t>
      </w:r>
      <w:r w:rsidR="00DC42DF" w:rsidRPr="00892A0C">
        <w:rPr>
          <w:rFonts w:ascii="Arial" w:eastAsiaTheme="minorHAnsi" w:hAnsi="Arial" w:cs="Arial"/>
          <w:color w:val="auto"/>
          <w:sz w:val="22"/>
          <w:szCs w:val="22"/>
          <w:lang w:eastAsia="en-US"/>
        </w:rPr>
        <w:t>εκατ</w:t>
      </w:r>
      <w:r w:rsidR="00DC42DF" w:rsidRPr="0056568C">
        <w:rPr>
          <w:rFonts w:ascii="Arial" w:eastAsiaTheme="minorHAnsi" w:hAnsi="Arial" w:cs="Arial"/>
          <w:color w:val="auto"/>
          <w:sz w:val="22"/>
          <w:szCs w:val="22"/>
          <w:lang w:eastAsia="en-US"/>
        </w:rPr>
        <w:t>.</w:t>
      </w:r>
      <w:r w:rsidR="005752BD" w:rsidRPr="0056568C">
        <w:rPr>
          <w:rFonts w:ascii="Arial" w:eastAsiaTheme="minorHAnsi" w:hAnsi="Arial" w:cs="Arial"/>
          <w:color w:val="auto"/>
          <w:sz w:val="22"/>
          <w:szCs w:val="22"/>
          <w:lang w:eastAsia="en-US"/>
        </w:rPr>
        <w:t xml:space="preserve"> </w:t>
      </w:r>
    </w:p>
    <w:p w14:paraId="441703EB" w14:textId="2AFCFB3F" w:rsidR="00824403" w:rsidRPr="00824403" w:rsidRDefault="00824403" w:rsidP="0089250E">
      <w:pPr>
        <w:spacing w:before="120" w:line="280" w:lineRule="exact"/>
        <w:jc w:val="both"/>
        <w:rPr>
          <w:rFonts w:ascii="Arial" w:hAnsi="Arial" w:cs="Arial"/>
        </w:rPr>
      </w:pPr>
      <w:r>
        <w:rPr>
          <w:rFonts w:ascii="Arial" w:hAnsi="Arial" w:cs="Arial"/>
        </w:rPr>
        <w:t>Σε συνέχεια π</w:t>
      </w:r>
      <w:r w:rsidRPr="00824403">
        <w:rPr>
          <w:rFonts w:ascii="Arial" w:hAnsi="Arial" w:cs="Arial"/>
        </w:rPr>
        <w:t>ώληση</w:t>
      </w:r>
      <w:r>
        <w:rPr>
          <w:rFonts w:ascii="Arial" w:hAnsi="Arial" w:cs="Arial"/>
        </w:rPr>
        <w:t xml:space="preserve">ς </w:t>
      </w:r>
      <w:r w:rsidRPr="00824403">
        <w:rPr>
          <w:rFonts w:ascii="Arial" w:hAnsi="Arial" w:cs="Arial"/>
        </w:rPr>
        <w:t xml:space="preserve">της TKRM την 1η Οκτωβρίου 2025, ο ΟΤΕ </w:t>
      </w:r>
      <w:r w:rsidRPr="00B35630">
        <w:rPr>
          <w:rFonts w:ascii="Arial" w:hAnsi="Arial" w:cs="Arial"/>
        </w:rPr>
        <w:t xml:space="preserve">προσάρμοσε </w:t>
      </w:r>
      <w:r w:rsidR="00335E2F">
        <w:rPr>
          <w:rFonts w:ascii="Arial" w:hAnsi="Arial" w:cs="Arial"/>
        </w:rPr>
        <w:t>τις</w:t>
      </w:r>
      <w:r w:rsidRPr="00824403">
        <w:rPr>
          <w:rFonts w:ascii="Arial" w:hAnsi="Arial" w:cs="Arial"/>
        </w:rPr>
        <w:t xml:space="preserve"> αμοιβ</w:t>
      </w:r>
      <w:r w:rsidR="00335E2F">
        <w:rPr>
          <w:rFonts w:ascii="Arial" w:hAnsi="Arial" w:cs="Arial"/>
        </w:rPr>
        <w:t>ές</w:t>
      </w:r>
      <w:r w:rsidRPr="00824403">
        <w:rPr>
          <w:rFonts w:ascii="Arial" w:hAnsi="Arial" w:cs="Arial"/>
        </w:rPr>
        <w:t xml:space="preserve"> </w:t>
      </w:r>
      <w:r>
        <w:rPr>
          <w:rFonts w:ascii="Arial" w:hAnsi="Arial" w:cs="Arial"/>
        </w:rPr>
        <w:t>προς τους Μ</w:t>
      </w:r>
      <w:r w:rsidRPr="00824403">
        <w:rPr>
          <w:rFonts w:ascii="Arial" w:hAnsi="Arial" w:cs="Arial"/>
        </w:rPr>
        <w:t>ετόχ</w:t>
      </w:r>
      <w:r>
        <w:rPr>
          <w:rFonts w:ascii="Arial" w:hAnsi="Arial" w:cs="Arial"/>
        </w:rPr>
        <w:t>ους,</w:t>
      </w:r>
      <w:r w:rsidRPr="00824403">
        <w:rPr>
          <w:rFonts w:ascii="Arial" w:hAnsi="Arial" w:cs="Arial"/>
        </w:rPr>
        <w:t xml:space="preserve"> ώστε να αντανακλ</w:t>
      </w:r>
      <w:r w:rsidR="00335E2F">
        <w:rPr>
          <w:rFonts w:ascii="Arial" w:hAnsi="Arial" w:cs="Arial"/>
        </w:rPr>
        <w:t>ούν</w:t>
      </w:r>
      <w:r w:rsidRPr="00824403">
        <w:rPr>
          <w:rFonts w:ascii="Arial" w:hAnsi="Arial" w:cs="Arial"/>
        </w:rPr>
        <w:t xml:space="preserve"> τον πραγματικό αντίκτυπο στις ετήσιες Ελεύθερες Ταμειακές Ροές. </w:t>
      </w:r>
      <w:r w:rsidR="00B35630">
        <w:rPr>
          <w:rFonts w:ascii="Arial" w:hAnsi="Arial" w:cs="Arial"/>
        </w:rPr>
        <w:t xml:space="preserve">Κατόπιν ολοκλήρωσης της πώλησης, </w:t>
      </w:r>
      <w:r w:rsidRPr="00824403">
        <w:rPr>
          <w:rFonts w:ascii="Arial" w:hAnsi="Arial" w:cs="Arial"/>
        </w:rPr>
        <w:t>ο ΟΤΕ θα διανείμει €40 εκατ. στους μετόχους ως έκτακτο μέρισμα</w:t>
      </w:r>
      <w:r>
        <w:rPr>
          <w:rFonts w:ascii="Arial" w:hAnsi="Arial" w:cs="Arial"/>
        </w:rPr>
        <w:t>, που αντιστοιχεί σ</w:t>
      </w:r>
      <w:r w:rsidR="00B35630">
        <w:rPr>
          <w:rFonts w:ascii="Arial" w:hAnsi="Arial" w:cs="Arial"/>
        </w:rPr>
        <w:t>ε</w:t>
      </w:r>
      <w:r w:rsidRPr="00824403">
        <w:rPr>
          <w:rFonts w:ascii="Arial" w:hAnsi="Arial" w:cs="Arial"/>
        </w:rPr>
        <w:t xml:space="preserve"> €0,10 ανά μετοχή. Το έκτακτο μέρισμα θα προσαυξηθεί αναλόγως για τις ίδιες μετοχές που </w:t>
      </w:r>
      <w:r w:rsidR="00335E2F">
        <w:rPr>
          <w:rFonts w:ascii="Arial" w:hAnsi="Arial" w:cs="Arial"/>
        </w:rPr>
        <w:t xml:space="preserve">θα </w:t>
      </w:r>
      <w:r w:rsidRPr="00824403">
        <w:rPr>
          <w:rFonts w:ascii="Arial" w:hAnsi="Arial" w:cs="Arial"/>
        </w:rPr>
        <w:t xml:space="preserve">κατέχει η Εταιρεία </w:t>
      </w:r>
      <w:r w:rsidR="00335E2F" w:rsidRPr="00824403">
        <w:rPr>
          <w:rFonts w:ascii="Arial" w:hAnsi="Arial" w:cs="Arial"/>
        </w:rPr>
        <w:t xml:space="preserve">κατά την ημερομηνία αποκοπής </w:t>
      </w:r>
      <w:r w:rsidRPr="00824403">
        <w:rPr>
          <w:rFonts w:ascii="Arial" w:hAnsi="Arial" w:cs="Arial"/>
        </w:rPr>
        <w:t xml:space="preserve">και οι οποίες δεν δικαιούνται μερίσματα. Η καταβολή του έκτακτου μερίσματος θα πραγματοποιηθεί στις </w:t>
      </w:r>
      <w:r w:rsidRPr="0088094B">
        <w:rPr>
          <w:rFonts w:ascii="Arial" w:hAnsi="Arial" w:cs="Arial"/>
        </w:rPr>
        <w:t xml:space="preserve">30 </w:t>
      </w:r>
      <w:r w:rsidRPr="00824403">
        <w:rPr>
          <w:rFonts w:ascii="Arial" w:hAnsi="Arial" w:cs="Arial"/>
        </w:rPr>
        <w:t>Δεκεμβρίου 2025</w:t>
      </w:r>
      <w:r w:rsidR="00E4343C">
        <w:rPr>
          <w:rFonts w:ascii="Arial" w:hAnsi="Arial" w:cs="Arial"/>
        </w:rPr>
        <w:t>.</w:t>
      </w:r>
    </w:p>
    <w:p w14:paraId="7353DC66" w14:textId="77777777" w:rsidR="00BE7035" w:rsidRDefault="00BE7035" w:rsidP="00BE7035">
      <w:pPr>
        <w:pStyle w:val="Heading1"/>
        <w:jc w:val="left"/>
        <w:rPr>
          <w:color w:val="004E9A"/>
          <w:lang w:val="el-GR"/>
        </w:rPr>
      </w:pPr>
    </w:p>
    <w:p w14:paraId="2297EFA5" w14:textId="6861F23A" w:rsidR="00BE7035" w:rsidRPr="00FB20CB" w:rsidRDefault="00BE7035" w:rsidP="005376F7">
      <w:pPr>
        <w:pStyle w:val="Tittle2"/>
        <w:rPr>
          <w:rFonts w:cs="Arial"/>
          <w:b w:val="0"/>
          <w:szCs w:val="24"/>
          <w:lang w:val="el-GR"/>
        </w:rPr>
      </w:pPr>
      <w:r w:rsidRPr="00FB20CB">
        <w:rPr>
          <w:rFonts w:cs="Arial"/>
          <w:lang w:val="el-GR"/>
        </w:rPr>
        <w:t>ΟΙΚΟΝΟΜΙΚΑ ΣΤΟΙΧΕΙΑ</w:t>
      </w:r>
    </w:p>
    <w:p w14:paraId="1EFDABDA" w14:textId="0885ECCE" w:rsidR="00475EE9" w:rsidRPr="00FB20CB" w:rsidRDefault="00475EE9" w:rsidP="00475EE9">
      <w:pPr>
        <w:pStyle w:val="Caption"/>
        <w:keepNext/>
        <w:rPr>
          <w:rFonts w:cs="Arial"/>
          <w:lang w:val="el-GR"/>
        </w:rPr>
      </w:pPr>
      <w:proofErr w:type="spellStart"/>
      <w:r w:rsidRPr="00FB20CB">
        <w:rPr>
          <w:rFonts w:cs="Arial"/>
        </w:rPr>
        <w:t>Χρημ</w:t>
      </w:r>
      <w:proofErr w:type="spellEnd"/>
      <w:r w:rsidRPr="00FB20CB">
        <w:rPr>
          <w:rFonts w:cs="Arial"/>
        </w:rPr>
        <w:t xml:space="preserve">ατοοικονομικά </w:t>
      </w:r>
      <w:proofErr w:type="spellStart"/>
      <w:r w:rsidRPr="00FB20CB">
        <w:rPr>
          <w:rFonts w:cs="Arial"/>
        </w:rPr>
        <w:t>Στοιχεί</w:t>
      </w:r>
      <w:proofErr w:type="spellEnd"/>
      <w:r w:rsidRPr="00FB20CB">
        <w:rPr>
          <w:rFonts w:cs="Arial"/>
        </w:rPr>
        <w:t xml:space="preserve">α  </w:t>
      </w:r>
    </w:p>
    <w:tbl>
      <w:tblPr>
        <w:tblStyle w:val="TableGrid"/>
        <w:tblW w:w="10439" w:type="dxa"/>
        <w:tblBorders>
          <w:top w:val="single" w:sz="2" w:space="0" w:color="A6A6A6" w:themeColor="background1" w:themeShade="A6"/>
          <w:left w:val="none" w:sz="0" w:space="0" w:color="auto"/>
          <w:bottom w:val="single" w:sz="2" w:space="0" w:color="A6A6A6" w:themeColor="background1" w:themeShade="A6"/>
          <w:right w:val="none" w:sz="0" w:space="0" w:color="auto"/>
          <w:insideH w:val="single" w:sz="2" w:space="0" w:color="A6A6A6" w:themeColor="background1" w:themeShade="A6"/>
          <w:insideV w:val="single" w:sz="2" w:space="0" w:color="A6A6A6" w:themeColor="background1" w:themeShade="A6"/>
        </w:tblBorders>
        <w:tblLook w:val="04A0" w:firstRow="1" w:lastRow="0" w:firstColumn="1" w:lastColumn="0" w:noHBand="0" w:noVBand="1"/>
      </w:tblPr>
      <w:tblGrid>
        <w:gridCol w:w="3762"/>
        <w:gridCol w:w="1027"/>
        <w:gridCol w:w="1066"/>
        <w:gridCol w:w="1146"/>
        <w:gridCol w:w="1146"/>
        <w:gridCol w:w="1146"/>
        <w:gridCol w:w="1146"/>
      </w:tblGrid>
      <w:tr w:rsidR="00D37E8E" w:rsidRPr="00D83072" w14:paraId="1B960D14" w14:textId="77777777" w:rsidTr="008B4539">
        <w:trPr>
          <w:trHeight w:val="411"/>
        </w:trPr>
        <w:tc>
          <w:tcPr>
            <w:tcW w:w="3762" w:type="dxa"/>
            <w:tcBorders>
              <w:top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F2F2F2" w:themeFill="background1" w:themeFillShade="F2"/>
            <w:vAlign w:val="center"/>
          </w:tcPr>
          <w:p w14:paraId="4B4A10D9" w14:textId="77777777" w:rsidR="00D37E8E" w:rsidRPr="00CC5811" w:rsidRDefault="00D37E8E" w:rsidP="00F91D94">
            <w:pPr>
              <w:tabs>
                <w:tab w:val="left" w:pos="4047"/>
              </w:tabs>
              <w:ind w:left="-108"/>
              <w:rPr>
                <w:rFonts w:ascii="Arial" w:hAnsi="Arial" w:cs="Arial"/>
                <w:i/>
                <w:color w:val="000000" w:themeColor="text1"/>
              </w:rPr>
            </w:pPr>
            <w:r w:rsidRPr="000E74C4">
              <w:rPr>
                <w:rFonts w:ascii="Arial" w:hAnsi="Arial" w:cs="Arial"/>
                <w:b/>
                <w:bCs/>
                <w:lang w:val="el-GR"/>
              </w:rPr>
              <w:t>Χρηματοοικονομικά Στοιχεία</w:t>
            </w:r>
            <w:r w:rsidRPr="000E74C4">
              <w:rPr>
                <w:rFonts w:ascii="Arial" w:hAnsi="Arial" w:cs="Arial"/>
                <w:b/>
                <w:bCs/>
              </w:rPr>
              <w:t xml:space="preserve"> </w:t>
            </w:r>
            <w:r>
              <w:rPr>
                <w:rFonts w:ascii="Arial" w:hAnsi="Arial" w:cs="Arial"/>
                <w:b/>
                <w:bCs/>
                <w:lang w:val="el-GR"/>
              </w:rPr>
              <w:t>(</w:t>
            </w:r>
            <w:proofErr w:type="spellStart"/>
            <w:r w:rsidRPr="000E74C4">
              <w:rPr>
                <w:rFonts w:ascii="Arial" w:hAnsi="Arial" w:cs="Arial"/>
                <w:b/>
                <w:bCs/>
              </w:rPr>
              <w:t>Εκ</w:t>
            </w:r>
            <w:proofErr w:type="spellEnd"/>
            <w:r w:rsidRPr="000E74C4">
              <w:rPr>
                <w:rFonts w:ascii="Arial" w:hAnsi="Arial" w:cs="Arial"/>
                <w:b/>
                <w:bCs/>
              </w:rPr>
              <w:t>ατ. €</w:t>
            </w:r>
            <w:r>
              <w:rPr>
                <w:rFonts w:ascii="Arial" w:hAnsi="Arial" w:cs="Arial"/>
                <w:b/>
                <w:bCs/>
                <w:lang w:val="el-GR"/>
              </w:rPr>
              <w:t>)</w:t>
            </w:r>
          </w:p>
        </w:tc>
        <w:tc>
          <w:tcPr>
            <w:tcW w:w="1027" w:type="dxa"/>
            <w:tcBorders>
              <w:top w:val="single" w:sz="2" w:space="0" w:color="BFBFBF" w:themeColor="background1" w:themeShade="BF"/>
              <w:left w:val="single" w:sz="2" w:space="0" w:color="BFBFBF" w:themeColor="background1" w:themeShade="BF"/>
              <w:bottom w:val="single" w:sz="2" w:space="0" w:color="BFBFBF" w:themeColor="background1" w:themeShade="BF"/>
              <w:right w:val="nil"/>
            </w:tcBorders>
            <w:shd w:val="clear" w:color="auto" w:fill="F2F2F2" w:themeFill="background1" w:themeFillShade="F2"/>
            <w:vAlign w:val="center"/>
          </w:tcPr>
          <w:p w14:paraId="73752A79" w14:textId="07351131" w:rsidR="00D37E8E" w:rsidRPr="00CC5811" w:rsidRDefault="00D37E8E" w:rsidP="00F91D94">
            <w:pPr>
              <w:pStyle w:val="ColorfulList-Accent11"/>
              <w:tabs>
                <w:tab w:val="left" w:pos="0"/>
                <w:tab w:val="left" w:pos="284"/>
              </w:tabs>
              <w:ind w:left="0" w:right="-90"/>
              <w:jc w:val="center"/>
              <w:rPr>
                <w:rFonts w:ascii="Arial" w:hAnsi="Arial" w:cs="Arial"/>
                <w:i/>
                <w:color w:val="000000" w:themeColor="text1"/>
              </w:rPr>
            </w:pPr>
            <w:r w:rsidRPr="00CC5811">
              <w:rPr>
                <w:rFonts w:ascii="Arial" w:hAnsi="Arial" w:cs="Arial"/>
                <w:b/>
                <w:color w:val="000000" w:themeColor="text1"/>
              </w:rPr>
              <w:t>Q</w:t>
            </w:r>
            <w:r>
              <w:rPr>
                <w:rFonts w:ascii="Arial" w:hAnsi="Arial" w:cs="Arial"/>
                <w:b/>
                <w:color w:val="000000" w:themeColor="text1"/>
              </w:rPr>
              <w:t>3</w:t>
            </w:r>
            <w:r w:rsidRPr="00CC5811">
              <w:rPr>
                <w:rFonts w:ascii="Arial" w:hAnsi="Arial" w:cs="Arial"/>
                <w:b/>
                <w:color w:val="000000" w:themeColor="text1"/>
              </w:rPr>
              <w:t>'25</w:t>
            </w:r>
          </w:p>
        </w:tc>
        <w:tc>
          <w:tcPr>
            <w:tcW w:w="1066" w:type="dxa"/>
            <w:tcBorders>
              <w:top w:val="single" w:sz="2" w:space="0" w:color="BFBFBF" w:themeColor="background1" w:themeShade="BF"/>
              <w:left w:val="nil"/>
              <w:bottom w:val="single" w:sz="2" w:space="0" w:color="BFBFBF" w:themeColor="background1" w:themeShade="BF"/>
              <w:right w:val="nil"/>
            </w:tcBorders>
            <w:shd w:val="clear" w:color="auto" w:fill="F2F2F2" w:themeFill="background1" w:themeFillShade="F2"/>
            <w:vAlign w:val="center"/>
          </w:tcPr>
          <w:p w14:paraId="70EB5565" w14:textId="6FBD3306" w:rsidR="00D37E8E" w:rsidRPr="00CC5811" w:rsidRDefault="00D37E8E" w:rsidP="00F91D94">
            <w:pPr>
              <w:pStyle w:val="ColorfulList-Accent11"/>
              <w:tabs>
                <w:tab w:val="left" w:pos="0"/>
                <w:tab w:val="left" w:pos="284"/>
              </w:tabs>
              <w:ind w:left="0" w:right="-90"/>
              <w:jc w:val="center"/>
              <w:rPr>
                <w:rFonts w:ascii="Arial" w:hAnsi="Arial" w:cs="Arial"/>
                <w:i/>
                <w:color w:val="000000" w:themeColor="text1"/>
              </w:rPr>
            </w:pPr>
            <w:r w:rsidRPr="00CC5811">
              <w:rPr>
                <w:rFonts w:ascii="Arial" w:hAnsi="Arial" w:cs="Arial"/>
                <w:b/>
                <w:color w:val="000000" w:themeColor="text1"/>
              </w:rPr>
              <w:t>Q</w:t>
            </w:r>
            <w:r>
              <w:rPr>
                <w:rFonts w:ascii="Arial" w:hAnsi="Arial" w:cs="Arial"/>
                <w:b/>
                <w:color w:val="000000" w:themeColor="text1"/>
              </w:rPr>
              <w:t>3</w:t>
            </w:r>
            <w:r w:rsidRPr="00CC5811">
              <w:rPr>
                <w:rFonts w:ascii="Arial" w:hAnsi="Arial" w:cs="Arial"/>
                <w:b/>
                <w:color w:val="000000" w:themeColor="text1"/>
              </w:rPr>
              <w:t>'24</w:t>
            </w:r>
          </w:p>
        </w:tc>
        <w:tc>
          <w:tcPr>
            <w:tcW w:w="1146" w:type="dxa"/>
            <w:tcBorders>
              <w:top w:val="single" w:sz="2" w:space="0" w:color="BFBFBF" w:themeColor="background1" w:themeShade="BF"/>
              <w:left w:val="nil"/>
              <w:bottom w:val="single" w:sz="2" w:space="0" w:color="BFBFBF" w:themeColor="background1" w:themeShade="BF"/>
              <w:right w:val="single" w:sz="2" w:space="0" w:color="BFBFBF" w:themeColor="background1" w:themeShade="BF"/>
            </w:tcBorders>
            <w:shd w:val="clear" w:color="auto" w:fill="F2F2F2" w:themeFill="background1" w:themeFillShade="F2"/>
            <w:vAlign w:val="center"/>
          </w:tcPr>
          <w:p w14:paraId="0F380432" w14:textId="77777777" w:rsidR="00D37E8E" w:rsidRPr="00CC5811" w:rsidRDefault="00D37E8E" w:rsidP="00F91D94">
            <w:pPr>
              <w:pStyle w:val="ColorfulList-Accent11"/>
              <w:tabs>
                <w:tab w:val="left" w:pos="0"/>
                <w:tab w:val="left" w:pos="284"/>
              </w:tabs>
              <w:ind w:left="0" w:right="-90"/>
              <w:jc w:val="center"/>
              <w:rPr>
                <w:rFonts w:ascii="Arial" w:hAnsi="Arial" w:cs="Arial"/>
                <w:i/>
                <w:color w:val="000000" w:themeColor="text1"/>
              </w:rPr>
            </w:pPr>
            <w:r w:rsidRPr="00CC5811">
              <w:rPr>
                <w:rFonts w:ascii="Arial" w:hAnsi="Arial" w:cs="Arial"/>
                <w:b/>
                <w:color w:val="000000" w:themeColor="text1"/>
              </w:rPr>
              <w:t>y-o-y</w:t>
            </w:r>
          </w:p>
        </w:tc>
        <w:tc>
          <w:tcPr>
            <w:tcW w:w="1146" w:type="dxa"/>
            <w:tcBorders>
              <w:top w:val="single" w:sz="2" w:space="0" w:color="BFBFBF" w:themeColor="background1" w:themeShade="BF"/>
              <w:left w:val="single" w:sz="2" w:space="0" w:color="BFBFBF" w:themeColor="background1" w:themeShade="BF"/>
              <w:bottom w:val="single" w:sz="2" w:space="0" w:color="BFBFBF" w:themeColor="background1" w:themeShade="BF"/>
              <w:right w:val="nil"/>
            </w:tcBorders>
            <w:shd w:val="clear" w:color="auto" w:fill="F2F2F2" w:themeFill="background1" w:themeFillShade="F2"/>
            <w:vAlign w:val="center"/>
          </w:tcPr>
          <w:p w14:paraId="7305B96B" w14:textId="743E546A" w:rsidR="00D37E8E" w:rsidRPr="00CC5811" w:rsidRDefault="00D37E8E" w:rsidP="00F91D94">
            <w:pPr>
              <w:pStyle w:val="ColorfulList-Accent11"/>
              <w:tabs>
                <w:tab w:val="left" w:pos="0"/>
                <w:tab w:val="left" w:pos="284"/>
              </w:tabs>
              <w:ind w:left="0" w:right="-90"/>
              <w:jc w:val="center"/>
              <w:rPr>
                <w:rFonts w:ascii="Arial" w:hAnsi="Arial" w:cs="Arial"/>
                <w:b/>
                <w:color w:val="000000" w:themeColor="text1"/>
              </w:rPr>
            </w:pPr>
            <w:r>
              <w:rPr>
                <w:rFonts w:ascii="Arial" w:hAnsi="Arial" w:cs="Arial"/>
                <w:b/>
                <w:color w:val="000000" w:themeColor="text1"/>
              </w:rPr>
              <w:t>9</w:t>
            </w:r>
            <w:r w:rsidRPr="00CC5811">
              <w:rPr>
                <w:rFonts w:ascii="Arial" w:hAnsi="Arial" w:cs="Arial"/>
                <w:b/>
                <w:color w:val="000000" w:themeColor="text1"/>
              </w:rPr>
              <w:t>M'25</w:t>
            </w:r>
          </w:p>
        </w:tc>
        <w:tc>
          <w:tcPr>
            <w:tcW w:w="1146" w:type="dxa"/>
            <w:tcBorders>
              <w:top w:val="single" w:sz="2" w:space="0" w:color="BFBFBF" w:themeColor="background1" w:themeShade="BF"/>
              <w:left w:val="nil"/>
              <w:bottom w:val="single" w:sz="2" w:space="0" w:color="BFBFBF" w:themeColor="background1" w:themeShade="BF"/>
              <w:right w:val="nil"/>
            </w:tcBorders>
            <w:shd w:val="clear" w:color="auto" w:fill="F2F2F2" w:themeFill="background1" w:themeFillShade="F2"/>
            <w:vAlign w:val="center"/>
          </w:tcPr>
          <w:p w14:paraId="3DA7341C" w14:textId="32D2C9B1" w:rsidR="00D37E8E" w:rsidRPr="00CC5811" w:rsidRDefault="00D37E8E" w:rsidP="00F91D94">
            <w:pPr>
              <w:pStyle w:val="ColorfulList-Accent11"/>
              <w:tabs>
                <w:tab w:val="left" w:pos="0"/>
                <w:tab w:val="left" w:pos="284"/>
              </w:tabs>
              <w:ind w:left="0" w:right="-90"/>
              <w:jc w:val="center"/>
              <w:rPr>
                <w:rFonts w:ascii="Arial" w:hAnsi="Arial" w:cs="Arial"/>
                <w:b/>
                <w:color w:val="000000" w:themeColor="text1"/>
              </w:rPr>
            </w:pPr>
            <w:r>
              <w:rPr>
                <w:rFonts w:ascii="Arial" w:hAnsi="Arial" w:cs="Arial"/>
                <w:b/>
                <w:color w:val="000000" w:themeColor="text1"/>
              </w:rPr>
              <w:t>9</w:t>
            </w:r>
            <w:r w:rsidRPr="00CC5811">
              <w:rPr>
                <w:rFonts w:ascii="Arial" w:hAnsi="Arial" w:cs="Arial"/>
                <w:b/>
                <w:color w:val="000000" w:themeColor="text1"/>
              </w:rPr>
              <w:t>M'24</w:t>
            </w:r>
          </w:p>
        </w:tc>
        <w:tc>
          <w:tcPr>
            <w:tcW w:w="1146" w:type="dxa"/>
            <w:tcBorders>
              <w:top w:val="single" w:sz="2" w:space="0" w:color="BFBFBF" w:themeColor="background1" w:themeShade="BF"/>
              <w:left w:val="nil"/>
              <w:bottom w:val="single" w:sz="2" w:space="0" w:color="BFBFBF" w:themeColor="background1" w:themeShade="BF"/>
              <w:right w:val="nil"/>
            </w:tcBorders>
            <w:shd w:val="clear" w:color="auto" w:fill="F2F2F2" w:themeFill="background1" w:themeFillShade="F2"/>
            <w:vAlign w:val="center"/>
          </w:tcPr>
          <w:p w14:paraId="5286E1EC" w14:textId="77777777" w:rsidR="00D37E8E" w:rsidRPr="00CC5811" w:rsidRDefault="00D37E8E" w:rsidP="00F91D94">
            <w:pPr>
              <w:pStyle w:val="ColorfulList-Accent11"/>
              <w:tabs>
                <w:tab w:val="left" w:pos="0"/>
                <w:tab w:val="left" w:pos="284"/>
              </w:tabs>
              <w:ind w:left="0" w:right="-90"/>
              <w:jc w:val="center"/>
              <w:rPr>
                <w:rFonts w:ascii="Arial" w:hAnsi="Arial" w:cs="Arial"/>
                <w:b/>
                <w:color w:val="000000" w:themeColor="text1"/>
              </w:rPr>
            </w:pPr>
            <w:r w:rsidRPr="00CC5811">
              <w:rPr>
                <w:rFonts w:ascii="Arial" w:hAnsi="Arial" w:cs="Arial"/>
                <w:b/>
                <w:color w:val="000000" w:themeColor="text1"/>
              </w:rPr>
              <w:t>y-o-y</w:t>
            </w:r>
          </w:p>
        </w:tc>
      </w:tr>
      <w:tr w:rsidR="00557880" w:rsidRPr="00D83072" w14:paraId="407A24C4" w14:textId="77777777" w:rsidTr="008B4539">
        <w:trPr>
          <w:trHeight w:val="308"/>
        </w:trPr>
        <w:tc>
          <w:tcPr>
            <w:tcW w:w="3762" w:type="dxa"/>
            <w:tcBorders>
              <w:top w:val="single" w:sz="2" w:space="0" w:color="BFBFBF" w:themeColor="background1" w:themeShade="BF"/>
              <w:bottom w:val="nil"/>
              <w:right w:val="single" w:sz="2" w:space="0" w:color="BFBFBF" w:themeColor="background1" w:themeShade="BF"/>
            </w:tcBorders>
            <w:shd w:val="clear" w:color="auto" w:fill="F2F2F2" w:themeFill="background1" w:themeFillShade="F2"/>
            <w:vAlign w:val="center"/>
          </w:tcPr>
          <w:p w14:paraId="668072C8" w14:textId="77777777" w:rsidR="0034237C" w:rsidRPr="00CC5811" w:rsidRDefault="0034237C" w:rsidP="0034237C">
            <w:pPr>
              <w:pStyle w:val="ColorfulList-Accent11"/>
              <w:tabs>
                <w:tab w:val="left" w:pos="0"/>
                <w:tab w:val="left" w:pos="284"/>
              </w:tabs>
              <w:ind w:left="0" w:right="-90"/>
              <w:rPr>
                <w:rFonts w:ascii="Arial" w:hAnsi="Arial" w:cs="Arial"/>
                <w:color w:val="000000" w:themeColor="text1"/>
              </w:rPr>
            </w:pPr>
            <w:r>
              <w:rPr>
                <w:rFonts w:ascii="Arial" w:hAnsi="Arial" w:cs="Arial"/>
                <w:b/>
                <w:color w:val="000000" w:themeColor="text1"/>
                <w:lang w:val="el-GR"/>
              </w:rPr>
              <w:t>Κύκλος Εργασιών</w:t>
            </w:r>
          </w:p>
        </w:tc>
        <w:tc>
          <w:tcPr>
            <w:tcW w:w="1027" w:type="dxa"/>
            <w:tcBorders>
              <w:top w:val="single" w:sz="2" w:space="0" w:color="BFBFBF" w:themeColor="background1" w:themeShade="BF"/>
              <w:left w:val="single" w:sz="2" w:space="0" w:color="BFBFBF" w:themeColor="background1" w:themeShade="BF"/>
              <w:bottom w:val="nil"/>
              <w:right w:val="nil"/>
            </w:tcBorders>
            <w:shd w:val="clear" w:color="auto" w:fill="F2F2F2" w:themeFill="background1" w:themeFillShade="F2"/>
            <w:vAlign w:val="bottom"/>
          </w:tcPr>
          <w:p w14:paraId="68C05D89" w14:textId="3AEFE610" w:rsidR="0034237C" w:rsidRPr="00D83072" w:rsidRDefault="0034237C" w:rsidP="0034237C">
            <w:pPr>
              <w:pStyle w:val="ColorfulList-Accent11"/>
              <w:tabs>
                <w:tab w:val="left" w:pos="0"/>
                <w:tab w:val="left" w:pos="284"/>
              </w:tabs>
              <w:ind w:left="0" w:right="-90"/>
              <w:jc w:val="center"/>
              <w:rPr>
                <w:rFonts w:ascii="Arial" w:hAnsi="Arial" w:cs="Arial"/>
                <w:color w:val="FF0000"/>
              </w:rPr>
            </w:pPr>
            <w:r>
              <w:rPr>
                <w:rFonts w:ascii="Arial" w:hAnsi="Arial" w:cs="Arial"/>
                <w:b/>
                <w:bCs/>
                <w:color w:val="000000"/>
              </w:rPr>
              <w:t>874</w:t>
            </w:r>
            <w:r w:rsidR="00774840">
              <w:rPr>
                <w:rFonts w:ascii="Arial" w:hAnsi="Arial" w:cs="Arial"/>
                <w:b/>
                <w:bCs/>
                <w:color w:val="000000"/>
              </w:rPr>
              <w:t>,</w:t>
            </w:r>
            <w:r>
              <w:rPr>
                <w:rFonts w:ascii="Arial" w:hAnsi="Arial" w:cs="Arial"/>
                <w:b/>
                <w:bCs/>
                <w:color w:val="000000"/>
              </w:rPr>
              <w:t>0</w:t>
            </w:r>
          </w:p>
        </w:tc>
        <w:tc>
          <w:tcPr>
            <w:tcW w:w="1066" w:type="dxa"/>
            <w:tcBorders>
              <w:top w:val="single" w:sz="2" w:space="0" w:color="BFBFBF" w:themeColor="background1" w:themeShade="BF"/>
              <w:left w:val="nil"/>
              <w:bottom w:val="nil"/>
              <w:right w:val="nil"/>
            </w:tcBorders>
            <w:shd w:val="clear" w:color="auto" w:fill="F2F2F2" w:themeFill="background1" w:themeFillShade="F2"/>
            <w:vAlign w:val="bottom"/>
          </w:tcPr>
          <w:p w14:paraId="36D14CC7" w14:textId="31DCBE33" w:rsidR="0034237C" w:rsidRPr="00D83072" w:rsidRDefault="0034237C" w:rsidP="0034237C">
            <w:pPr>
              <w:pStyle w:val="ColorfulList-Accent11"/>
              <w:tabs>
                <w:tab w:val="left" w:pos="0"/>
                <w:tab w:val="left" w:pos="284"/>
              </w:tabs>
              <w:ind w:left="0" w:right="-90"/>
              <w:jc w:val="center"/>
              <w:rPr>
                <w:rFonts w:ascii="Arial" w:hAnsi="Arial" w:cs="Arial"/>
                <w:color w:val="FF0000"/>
              </w:rPr>
            </w:pPr>
            <w:r>
              <w:rPr>
                <w:rFonts w:ascii="Arial" w:hAnsi="Arial" w:cs="Arial"/>
                <w:b/>
                <w:bCs/>
                <w:color w:val="000000"/>
              </w:rPr>
              <w:t>832</w:t>
            </w:r>
            <w:r w:rsidR="00774840">
              <w:rPr>
                <w:rFonts w:ascii="Arial" w:hAnsi="Arial" w:cs="Arial"/>
                <w:b/>
                <w:bCs/>
                <w:color w:val="000000"/>
              </w:rPr>
              <w:t>,</w:t>
            </w:r>
            <w:r>
              <w:rPr>
                <w:rFonts w:ascii="Arial" w:hAnsi="Arial" w:cs="Arial"/>
                <w:b/>
                <w:bCs/>
                <w:color w:val="000000"/>
              </w:rPr>
              <w:t>5</w:t>
            </w:r>
          </w:p>
        </w:tc>
        <w:tc>
          <w:tcPr>
            <w:tcW w:w="1146" w:type="dxa"/>
            <w:tcBorders>
              <w:top w:val="single" w:sz="2" w:space="0" w:color="BFBFBF" w:themeColor="background1" w:themeShade="BF"/>
              <w:left w:val="nil"/>
              <w:bottom w:val="nil"/>
              <w:right w:val="single" w:sz="2" w:space="0" w:color="BFBFBF" w:themeColor="background1" w:themeShade="BF"/>
            </w:tcBorders>
            <w:shd w:val="clear" w:color="auto" w:fill="F2F2F2" w:themeFill="background1" w:themeFillShade="F2"/>
            <w:vAlign w:val="bottom"/>
          </w:tcPr>
          <w:p w14:paraId="167B3960" w14:textId="5D5C15DF" w:rsidR="0034237C" w:rsidRPr="00D83072" w:rsidRDefault="0034237C" w:rsidP="0034237C">
            <w:pPr>
              <w:pStyle w:val="ColorfulList-Accent11"/>
              <w:tabs>
                <w:tab w:val="left" w:pos="0"/>
                <w:tab w:val="left" w:pos="284"/>
              </w:tabs>
              <w:ind w:left="0" w:right="-90"/>
              <w:jc w:val="center"/>
              <w:rPr>
                <w:rFonts w:ascii="Arial" w:hAnsi="Arial" w:cs="Arial"/>
                <w:color w:val="FF0000"/>
              </w:rPr>
            </w:pPr>
            <w:r>
              <w:rPr>
                <w:rFonts w:ascii="Arial" w:hAnsi="Arial" w:cs="Arial"/>
                <w:b/>
                <w:bCs/>
                <w:color w:val="000000"/>
              </w:rPr>
              <w:t>5</w:t>
            </w:r>
            <w:r w:rsidR="00774840">
              <w:rPr>
                <w:rFonts w:ascii="Arial" w:hAnsi="Arial" w:cs="Arial"/>
                <w:b/>
                <w:bCs/>
                <w:color w:val="000000"/>
              </w:rPr>
              <w:t>,</w:t>
            </w:r>
            <w:r>
              <w:rPr>
                <w:rFonts w:ascii="Arial" w:hAnsi="Arial" w:cs="Arial"/>
                <w:b/>
                <w:bCs/>
                <w:color w:val="000000"/>
              </w:rPr>
              <w:t>0%</w:t>
            </w:r>
          </w:p>
        </w:tc>
        <w:tc>
          <w:tcPr>
            <w:tcW w:w="1146" w:type="dxa"/>
            <w:tcBorders>
              <w:top w:val="single" w:sz="2" w:space="0" w:color="BFBFBF" w:themeColor="background1" w:themeShade="BF"/>
              <w:left w:val="single" w:sz="2" w:space="0" w:color="BFBFBF" w:themeColor="background1" w:themeShade="BF"/>
              <w:bottom w:val="nil"/>
              <w:right w:val="nil"/>
            </w:tcBorders>
            <w:shd w:val="clear" w:color="auto" w:fill="F2F2F2" w:themeFill="background1" w:themeFillShade="F2"/>
            <w:vAlign w:val="bottom"/>
          </w:tcPr>
          <w:p w14:paraId="1054CB81" w14:textId="4D26AAC3" w:rsidR="0034237C" w:rsidRPr="00D83072" w:rsidRDefault="0034237C" w:rsidP="0034237C">
            <w:pPr>
              <w:pStyle w:val="ColorfulList-Accent11"/>
              <w:tabs>
                <w:tab w:val="left" w:pos="0"/>
                <w:tab w:val="left" w:pos="284"/>
              </w:tabs>
              <w:ind w:left="0" w:right="-90"/>
              <w:jc w:val="center"/>
              <w:rPr>
                <w:rFonts w:ascii="Arial" w:hAnsi="Arial" w:cs="Arial"/>
                <w:b/>
                <w:bCs/>
                <w:color w:val="FF0000"/>
              </w:rPr>
            </w:pPr>
            <w:r>
              <w:rPr>
                <w:rFonts w:ascii="Arial" w:hAnsi="Arial" w:cs="Arial"/>
                <w:b/>
                <w:bCs/>
                <w:color w:val="000000"/>
              </w:rPr>
              <w:t>2</w:t>
            </w:r>
            <w:r w:rsidR="00774840">
              <w:rPr>
                <w:rFonts w:ascii="Arial" w:hAnsi="Arial" w:cs="Arial"/>
                <w:b/>
                <w:bCs/>
                <w:color w:val="000000"/>
              </w:rPr>
              <w:t>.</w:t>
            </w:r>
            <w:r>
              <w:rPr>
                <w:rFonts w:ascii="Arial" w:hAnsi="Arial" w:cs="Arial"/>
                <w:b/>
                <w:bCs/>
                <w:color w:val="000000"/>
              </w:rPr>
              <w:t>548</w:t>
            </w:r>
            <w:r w:rsidR="00774840">
              <w:rPr>
                <w:rFonts w:ascii="Arial" w:hAnsi="Arial" w:cs="Arial"/>
                <w:b/>
                <w:bCs/>
                <w:color w:val="000000"/>
              </w:rPr>
              <w:t>,</w:t>
            </w:r>
            <w:r>
              <w:rPr>
                <w:rFonts w:ascii="Arial" w:hAnsi="Arial" w:cs="Arial"/>
                <w:b/>
                <w:bCs/>
                <w:color w:val="000000"/>
              </w:rPr>
              <w:t>0</w:t>
            </w:r>
          </w:p>
        </w:tc>
        <w:tc>
          <w:tcPr>
            <w:tcW w:w="1146" w:type="dxa"/>
            <w:tcBorders>
              <w:top w:val="single" w:sz="2" w:space="0" w:color="BFBFBF" w:themeColor="background1" w:themeShade="BF"/>
              <w:left w:val="nil"/>
              <w:bottom w:val="nil"/>
              <w:right w:val="nil"/>
            </w:tcBorders>
            <w:shd w:val="clear" w:color="auto" w:fill="F2F2F2" w:themeFill="background1" w:themeFillShade="F2"/>
            <w:vAlign w:val="bottom"/>
          </w:tcPr>
          <w:p w14:paraId="200FCD1C" w14:textId="2F548DBA" w:rsidR="0034237C" w:rsidRPr="00D83072" w:rsidRDefault="0034237C" w:rsidP="0034237C">
            <w:pPr>
              <w:pStyle w:val="ColorfulList-Accent11"/>
              <w:tabs>
                <w:tab w:val="left" w:pos="0"/>
                <w:tab w:val="left" w:pos="284"/>
              </w:tabs>
              <w:ind w:left="0" w:right="-90"/>
              <w:jc w:val="center"/>
              <w:rPr>
                <w:rFonts w:ascii="Arial" w:hAnsi="Arial" w:cs="Arial"/>
                <w:b/>
                <w:bCs/>
                <w:color w:val="FF0000"/>
              </w:rPr>
            </w:pPr>
            <w:r>
              <w:rPr>
                <w:rFonts w:ascii="Arial" w:hAnsi="Arial" w:cs="Arial"/>
                <w:b/>
                <w:bCs/>
                <w:color w:val="000000"/>
              </w:rPr>
              <w:t>2</w:t>
            </w:r>
            <w:r w:rsidR="00774840">
              <w:rPr>
                <w:rFonts w:ascii="Arial" w:hAnsi="Arial" w:cs="Arial"/>
                <w:b/>
                <w:bCs/>
                <w:color w:val="000000"/>
              </w:rPr>
              <w:t>.</w:t>
            </w:r>
            <w:r>
              <w:rPr>
                <w:rFonts w:ascii="Arial" w:hAnsi="Arial" w:cs="Arial"/>
                <w:b/>
                <w:bCs/>
                <w:color w:val="000000"/>
              </w:rPr>
              <w:t>490</w:t>
            </w:r>
            <w:r w:rsidR="00774840">
              <w:rPr>
                <w:rFonts w:ascii="Arial" w:hAnsi="Arial" w:cs="Arial"/>
                <w:b/>
                <w:bCs/>
                <w:color w:val="000000"/>
              </w:rPr>
              <w:t>,</w:t>
            </w:r>
            <w:r>
              <w:rPr>
                <w:rFonts w:ascii="Arial" w:hAnsi="Arial" w:cs="Arial"/>
                <w:b/>
                <w:bCs/>
                <w:color w:val="000000"/>
              </w:rPr>
              <w:t>9</w:t>
            </w:r>
          </w:p>
        </w:tc>
        <w:tc>
          <w:tcPr>
            <w:tcW w:w="1146" w:type="dxa"/>
            <w:tcBorders>
              <w:top w:val="single" w:sz="2" w:space="0" w:color="BFBFBF" w:themeColor="background1" w:themeShade="BF"/>
              <w:left w:val="nil"/>
              <w:bottom w:val="nil"/>
              <w:right w:val="nil"/>
            </w:tcBorders>
            <w:shd w:val="clear" w:color="auto" w:fill="F2F2F2" w:themeFill="background1" w:themeFillShade="F2"/>
            <w:vAlign w:val="bottom"/>
          </w:tcPr>
          <w:p w14:paraId="193C7C52" w14:textId="49921D94" w:rsidR="0034237C" w:rsidRPr="00D83072" w:rsidRDefault="0034237C" w:rsidP="0034237C">
            <w:pPr>
              <w:pStyle w:val="ColorfulList-Accent11"/>
              <w:tabs>
                <w:tab w:val="left" w:pos="0"/>
                <w:tab w:val="left" w:pos="284"/>
              </w:tabs>
              <w:ind w:left="0" w:right="-90"/>
              <w:jc w:val="center"/>
              <w:rPr>
                <w:rFonts w:ascii="Arial" w:hAnsi="Arial" w:cs="Arial"/>
                <w:b/>
                <w:bCs/>
                <w:color w:val="FF0000"/>
              </w:rPr>
            </w:pPr>
            <w:r>
              <w:rPr>
                <w:rFonts w:ascii="Arial" w:hAnsi="Arial" w:cs="Arial"/>
                <w:b/>
                <w:bCs/>
                <w:color w:val="000000"/>
              </w:rPr>
              <w:t>2</w:t>
            </w:r>
            <w:r w:rsidR="00774840">
              <w:rPr>
                <w:rFonts w:ascii="Arial" w:hAnsi="Arial" w:cs="Arial"/>
                <w:b/>
                <w:bCs/>
                <w:color w:val="000000"/>
              </w:rPr>
              <w:t>,</w:t>
            </w:r>
            <w:r>
              <w:rPr>
                <w:rFonts w:ascii="Arial" w:hAnsi="Arial" w:cs="Arial"/>
                <w:b/>
                <w:bCs/>
                <w:color w:val="000000"/>
              </w:rPr>
              <w:t>3%</w:t>
            </w:r>
          </w:p>
        </w:tc>
      </w:tr>
      <w:tr w:rsidR="0034237C" w:rsidRPr="00D83072" w14:paraId="5B060866" w14:textId="77777777" w:rsidTr="008B4539">
        <w:trPr>
          <w:trHeight w:val="308"/>
        </w:trPr>
        <w:tc>
          <w:tcPr>
            <w:tcW w:w="3762" w:type="dxa"/>
            <w:tcBorders>
              <w:top w:val="nil"/>
              <w:bottom w:val="nil"/>
              <w:right w:val="single" w:sz="2" w:space="0" w:color="BFBFBF" w:themeColor="background1" w:themeShade="BF"/>
            </w:tcBorders>
            <w:vAlign w:val="center"/>
          </w:tcPr>
          <w:p w14:paraId="28E137EA" w14:textId="77777777" w:rsidR="0034237C" w:rsidRPr="00CC5811" w:rsidRDefault="0034237C" w:rsidP="0034237C">
            <w:pPr>
              <w:pStyle w:val="ColorfulList-Accent11"/>
              <w:tabs>
                <w:tab w:val="left" w:pos="0"/>
                <w:tab w:val="left" w:pos="284"/>
              </w:tabs>
              <w:ind w:left="0" w:right="-90"/>
              <w:rPr>
                <w:rFonts w:ascii="Arial" w:hAnsi="Arial" w:cs="Arial"/>
                <w:color w:val="000000" w:themeColor="text1"/>
              </w:rPr>
            </w:pPr>
            <w:r>
              <w:rPr>
                <w:rFonts w:ascii="Arial" w:hAnsi="Arial" w:cs="Arial"/>
                <w:color w:val="000000" w:themeColor="text1"/>
                <w:lang w:val="el-GR"/>
              </w:rPr>
              <w:t>Έσοδα λιανικής σταθερής</w:t>
            </w:r>
          </w:p>
        </w:tc>
        <w:tc>
          <w:tcPr>
            <w:tcW w:w="1027" w:type="dxa"/>
            <w:tcBorders>
              <w:top w:val="nil"/>
              <w:left w:val="single" w:sz="2" w:space="0" w:color="BFBFBF" w:themeColor="background1" w:themeShade="BF"/>
              <w:bottom w:val="nil"/>
              <w:right w:val="nil"/>
            </w:tcBorders>
            <w:vAlign w:val="center"/>
          </w:tcPr>
          <w:p w14:paraId="632AD523" w14:textId="72148471" w:rsidR="0034237C" w:rsidRPr="00D83072" w:rsidRDefault="0034237C" w:rsidP="0034237C">
            <w:pPr>
              <w:pStyle w:val="ColorfulList-Accent11"/>
              <w:tabs>
                <w:tab w:val="left" w:pos="0"/>
                <w:tab w:val="left" w:pos="284"/>
              </w:tabs>
              <w:ind w:left="0" w:right="-90"/>
              <w:jc w:val="center"/>
              <w:rPr>
                <w:rFonts w:ascii="Arial" w:hAnsi="Arial" w:cs="Arial"/>
                <w:color w:val="FF0000"/>
              </w:rPr>
            </w:pPr>
            <w:r>
              <w:rPr>
                <w:rFonts w:ascii="Arial" w:hAnsi="Arial" w:cs="Arial"/>
                <w:color w:val="000000"/>
              </w:rPr>
              <w:t>230</w:t>
            </w:r>
            <w:r w:rsidR="00774840">
              <w:rPr>
                <w:rFonts w:ascii="Arial" w:hAnsi="Arial" w:cs="Arial"/>
                <w:color w:val="000000"/>
              </w:rPr>
              <w:t>,</w:t>
            </w:r>
            <w:r>
              <w:rPr>
                <w:rFonts w:ascii="Arial" w:hAnsi="Arial" w:cs="Arial"/>
                <w:color w:val="000000"/>
              </w:rPr>
              <w:t>5</w:t>
            </w:r>
          </w:p>
        </w:tc>
        <w:tc>
          <w:tcPr>
            <w:tcW w:w="1066" w:type="dxa"/>
            <w:tcBorders>
              <w:top w:val="nil"/>
              <w:left w:val="nil"/>
              <w:bottom w:val="nil"/>
              <w:right w:val="nil"/>
            </w:tcBorders>
            <w:vAlign w:val="center"/>
          </w:tcPr>
          <w:p w14:paraId="7D3F8457" w14:textId="16C42B9C" w:rsidR="0034237C" w:rsidRPr="00D83072" w:rsidRDefault="0034237C" w:rsidP="0034237C">
            <w:pPr>
              <w:pStyle w:val="ColorfulList-Accent11"/>
              <w:tabs>
                <w:tab w:val="left" w:pos="0"/>
                <w:tab w:val="left" w:pos="284"/>
              </w:tabs>
              <w:ind w:left="0" w:right="-90"/>
              <w:jc w:val="center"/>
              <w:rPr>
                <w:rFonts w:ascii="Arial" w:hAnsi="Arial" w:cs="Arial"/>
                <w:color w:val="FF0000"/>
              </w:rPr>
            </w:pPr>
            <w:r>
              <w:rPr>
                <w:rFonts w:ascii="Arial" w:hAnsi="Arial" w:cs="Arial"/>
                <w:color w:val="000000"/>
              </w:rPr>
              <w:t>227</w:t>
            </w:r>
            <w:r w:rsidR="00774840">
              <w:rPr>
                <w:rFonts w:ascii="Arial" w:hAnsi="Arial" w:cs="Arial"/>
                <w:color w:val="000000"/>
              </w:rPr>
              <w:t>,</w:t>
            </w:r>
            <w:r>
              <w:rPr>
                <w:rFonts w:ascii="Arial" w:hAnsi="Arial" w:cs="Arial"/>
                <w:color w:val="000000"/>
              </w:rPr>
              <w:t>6</w:t>
            </w:r>
          </w:p>
        </w:tc>
        <w:tc>
          <w:tcPr>
            <w:tcW w:w="1146" w:type="dxa"/>
            <w:tcBorders>
              <w:top w:val="nil"/>
              <w:left w:val="nil"/>
              <w:bottom w:val="nil"/>
              <w:right w:val="single" w:sz="2" w:space="0" w:color="BFBFBF" w:themeColor="background1" w:themeShade="BF"/>
            </w:tcBorders>
            <w:vAlign w:val="center"/>
          </w:tcPr>
          <w:p w14:paraId="08C4FBA3" w14:textId="1B88A35E" w:rsidR="0034237C" w:rsidRPr="00D83072" w:rsidRDefault="0034237C" w:rsidP="0034237C">
            <w:pPr>
              <w:pStyle w:val="ColorfulList-Accent11"/>
              <w:tabs>
                <w:tab w:val="left" w:pos="0"/>
                <w:tab w:val="left" w:pos="284"/>
              </w:tabs>
              <w:ind w:left="0" w:right="-90"/>
              <w:jc w:val="center"/>
              <w:rPr>
                <w:rFonts w:ascii="Arial" w:hAnsi="Arial" w:cs="Arial"/>
                <w:color w:val="FF0000"/>
              </w:rPr>
            </w:pPr>
            <w:r>
              <w:rPr>
                <w:rFonts w:ascii="Arial" w:hAnsi="Arial" w:cs="Arial"/>
                <w:color w:val="000000"/>
              </w:rPr>
              <w:t>+1</w:t>
            </w:r>
            <w:r w:rsidR="00774840">
              <w:rPr>
                <w:rFonts w:ascii="Arial" w:hAnsi="Arial" w:cs="Arial"/>
                <w:color w:val="000000"/>
              </w:rPr>
              <w:t>,</w:t>
            </w:r>
            <w:r>
              <w:rPr>
                <w:rFonts w:ascii="Arial" w:hAnsi="Arial" w:cs="Arial"/>
                <w:color w:val="000000"/>
              </w:rPr>
              <w:t>3%</w:t>
            </w:r>
          </w:p>
        </w:tc>
        <w:tc>
          <w:tcPr>
            <w:tcW w:w="1146" w:type="dxa"/>
            <w:tcBorders>
              <w:top w:val="nil"/>
              <w:left w:val="single" w:sz="2" w:space="0" w:color="BFBFBF" w:themeColor="background1" w:themeShade="BF"/>
              <w:bottom w:val="nil"/>
              <w:right w:val="nil"/>
            </w:tcBorders>
            <w:vAlign w:val="center"/>
          </w:tcPr>
          <w:p w14:paraId="07F663C6" w14:textId="09CD865E" w:rsidR="0034237C" w:rsidRPr="00D83072" w:rsidRDefault="0034237C" w:rsidP="0034237C">
            <w:pPr>
              <w:pStyle w:val="ColorfulList-Accent11"/>
              <w:tabs>
                <w:tab w:val="left" w:pos="0"/>
                <w:tab w:val="left" w:pos="284"/>
              </w:tabs>
              <w:ind w:left="0" w:right="-90"/>
              <w:jc w:val="center"/>
              <w:rPr>
                <w:rFonts w:ascii="Arial" w:hAnsi="Arial" w:cs="Arial"/>
                <w:color w:val="FF0000"/>
              </w:rPr>
            </w:pPr>
            <w:r>
              <w:rPr>
                <w:rFonts w:ascii="Arial" w:hAnsi="Arial" w:cs="Arial"/>
                <w:color w:val="000000"/>
              </w:rPr>
              <w:t>687</w:t>
            </w:r>
            <w:r w:rsidR="00774840">
              <w:rPr>
                <w:rFonts w:ascii="Arial" w:hAnsi="Arial" w:cs="Arial"/>
                <w:color w:val="000000"/>
              </w:rPr>
              <w:t>,</w:t>
            </w:r>
            <w:r>
              <w:rPr>
                <w:rFonts w:ascii="Arial" w:hAnsi="Arial" w:cs="Arial"/>
                <w:color w:val="000000"/>
              </w:rPr>
              <w:t>9</w:t>
            </w:r>
          </w:p>
        </w:tc>
        <w:tc>
          <w:tcPr>
            <w:tcW w:w="1146" w:type="dxa"/>
            <w:tcBorders>
              <w:top w:val="nil"/>
              <w:left w:val="nil"/>
              <w:bottom w:val="nil"/>
              <w:right w:val="nil"/>
            </w:tcBorders>
            <w:vAlign w:val="center"/>
          </w:tcPr>
          <w:p w14:paraId="125E6851" w14:textId="58BF673D" w:rsidR="0034237C" w:rsidRPr="00D83072" w:rsidRDefault="0034237C" w:rsidP="0034237C">
            <w:pPr>
              <w:pStyle w:val="ColorfulList-Accent11"/>
              <w:tabs>
                <w:tab w:val="left" w:pos="0"/>
                <w:tab w:val="left" w:pos="284"/>
              </w:tabs>
              <w:ind w:left="0" w:right="-90"/>
              <w:jc w:val="center"/>
              <w:rPr>
                <w:rFonts w:ascii="Arial" w:hAnsi="Arial" w:cs="Arial"/>
                <w:color w:val="FF0000"/>
              </w:rPr>
            </w:pPr>
            <w:r>
              <w:rPr>
                <w:rFonts w:ascii="Arial" w:hAnsi="Arial" w:cs="Arial"/>
                <w:color w:val="000000"/>
              </w:rPr>
              <w:t>684</w:t>
            </w:r>
            <w:r w:rsidR="00774840">
              <w:rPr>
                <w:rFonts w:ascii="Arial" w:hAnsi="Arial" w:cs="Arial"/>
                <w:color w:val="000000"/>
              </w:rPr>
              <w:t>,</w:t>
            </w:r>
            <w:r>
              <w:rPr>
                <w:rFonts w:ascii="Arial" w:hAnsi="Arial" w:cs="Arial"/>
                <w:color w:val="000000"/>
              </w:rPr>
              <w:t>2</w:t>
            </w:r>
          </w:p>
        </w:tc>
        <w:tc>
          <w:tcPr>
            <w:tcW w:w="1146" w:type="dxa"/>
            <w:tcBorders>
              <w:top w:val="nil"/>
              <w:left w:val="nil"/>
              <w:bottom w:val="nil"/>
              <w:right w:val="nil"/>
            </w:tcBorders>
            <w:vAlign w:val="center"/>
          </w:tcPr>
          <w:p w14:paraId="4AD4A68B" w14:textId="10890334" w:rsidR="0034237C" w:rsidRPr="00D83072" w:rsidRDefault="0034237C" w:rsidP="0034237C">
            <w:pPr>
              <w:pStyle w:val="ColorfulList-Accent11"/>
              <w:tabs>
                <w:tab w:val="left" w:pos="0"/>
                <w:tab w:val="left" w:pos="284"/>
              </w:tabs>
              <w:ind w:left="0" w:right="-90"/>
              <w:jc w:val="center"/>
              <w:rPr>
                <w:rFonts w:ascii="Arial" w:hAnsi="Arial" w:cs="Arial"/>
                <w:color w:val="FF0000"/>
              </w:rPr>
            </w:pPr>
            <w:r>
              <w:rPr>
                <w:rFonts w:ascii="Arial" w:hAnsi="Arial" w:cs="Arial"/>
                <w:color w:val="000000"/>
              </w:rPr>
              <w:t>+0</w:t>
            </w:r>
            <w:r w:rsidR="00774840">
              <w:rPr>
                <w:rFonts w:ascii="Arial" w:hAnsi="Arial" w:cs="Arial"/>
                <w:color w:val="000000"/>
              </w:rPr>
              <w:t>,</w:t>
            </w:r>
            <w:r>
              <w:rPr>
                <w:rFonts w:ascii="Arial" w:hAnsi="Arial" w:cs="Arial"/>
                <w:color w:val="000000"/>
              </w:rPr>
              <w:t>5%</w:t>
            </w:r>
          </w:p>
        </w:tc>
      </w:tr>
      <w:tr w:rsidR="0034237C" w:rsidRPr="00D83072" w14:paraId="30098C09" w14:textId="77777777" w:rsidTr="008B4539">
        <w:trPr>
          <w:trHeight w:val="308"/>
        </w:trPr>
        <w:tc>
          <w:tcPr>
            <w:tcW w:w="3762" w:type="dxa"/>
            <w:tcBorders>
              <w:top w:val="nil"/>
              <w:bottom w:val="nil"/>
              <w:right w:val="single" w:sz="2" w:space="0" w:color="BFBFBF" w:themeColor="background1" w:themeShade="BF"/>
            </w:tcBorders>
            <w:vAlign w:val="center"/>
          </w:tcPr>
          <w:p w14:paraId="117D0C19" w14:textId="7CEF0005" w:rsidR="0034237C" w:rsidRPr="00CC5811" w:rsidRDefault="0034237C" w:rsidP="0034237C">
            <w:pPr>
              <w:pStyle w:val="ColorfulList-Accent11"/>
              <w:tabs>
                <w:tab w:val="left" w:pos="0"/>
                <w:tab w:val="left" w:pos="284"/>
              </w:tabs>
              <w:ind w:left="0" w:right="-90"/>
              <w:jc w:val="right"/>
              <w:rPr>
                <w:rFonts w:ascii="Arial" w:hAnsi="Arial" w:cs="Arial"/>
                <w:i/>
                <w:color w:val="000000" w:themeColor="text1"/>
              </w:rPr>
            </w:pPr>
            <w:proofErr w:type="spellStart"/>
            <w:r>
              <w:rPr>
                <w:rFonts w:ascii="Arial" w:hAnsi="Arial" w:cs="Arial"/>
                <w:i/>
                <w:color w:val="000000" w:themeColor="text1"/>
                <w:lang w:val="el-GR"/>
              </w:rPr>
              <w:t>συμπ</w:t>
            </w:r>
            <w:proofErr w:type="spellEnd"/>
            <w:r>
              <w:rPr>
                <w:rFonts w:ascii="Arial" w:hAnsi="Arial" w:cs="Arial"/>
                <w:i/>
                <w:color w:val="000000" w:themeColor="text1"/>
                <w:lang w:val="el-GR"/>
              </w:rPr>
              <w:t xml:space="preserve">. </w:t>
            </w:r>
            <w:r>
              <w:rPr>
                <w:rFonts w:ascii="Arial" w:hAnsi="Arial" w:cs="Arial"/>
                <w:i/>
                <w:color w:val="000000" w:themeColor="text1"/>
              </w:rPr>
              <w:t>Data Com</w:t>
            </w:r>
            <w:r w:rsidRPr="00A14889">
              <w:rPr>
                <w:rFonts w:ascii="Arial" w:hAnsi="Arial" w:cs="Arial"/>
                <w:i/>
                <w:color w:val="000000" w:themeColor="text1"/>
              </w:rPr>
              <w:t>.</w:t>
            </w:r>
          </w:p>
        </w:tc>
        <w:tc>
          <w:tcPr>
            <w:tcW w:w="1027" w:type="dxa"/>
            <w:tcBorders>
              <w:top w:val="nil"/>
              <w:left w:val="single" w:sz="2" w:space="0" w:color="BFBFBF" w:themeColor="background1" w:themeShade="BF"/>
              <w:bottom w:val="nil"/>
              <w:right w:val="nil"/>
            </w:tcBorders>
            <w:vAlign w:val="center"/>
          </w:tcPr>
          <w:p w14:paraId="0545C2CC" w14:textId="5D63F94D" w:rsidR="0034237C" w:rsidRPr="00D83072" w:rsidRDefault="0034237C" w:rsidP="0034237C">
            <w:pPr>
              <w:pStyle w:val="ColorfulList-Accent11"/>
              <w:tabs>
                <w:tab w:val="left" w:pos="0"/>
                <w:tab w:val="left" w:pos="284"/>
              </w:tabs>
              <w:ind w:left="0" w:right="-90"/>
              <w:jc w:val="center"/>
              <w:rPr>
                <w:rFonts w:ascii="Arial" w:hAnsi="Arial" w:cs="Arial"/>
                <w:i/>
                <w:color w:val="FF0000"/>
              </w:rPr>
            </w:pPr>
            <w:r w:rsidRPr="00E72EB0">
              <w:rPr>
                <w:rFonts w:ascii="Arial" w:hAnsi="Arial" w:cs="Arial"/>
                <w:i/>
                <w:iCs/>
                <w:color w:val="000000"/>
              </w:rPr>
              <w:t>255</w:t>
            </w:r>
            <w:r w:rsidR="00774840">
              <w:rPr>
                <w:rFonts w:ascii="Arial" w:hAnsi="Arial" w:cs="Arial"/>
                <w:i/>
                <w:iCs/>
                <w:color w:val="000000"/>
              </w:rPr>
              <w:t>,</w:t>
            </w:r>
            <w:r w:rsidRPr="00E72EB0">
              <w:rPr>
                <w:rFonts w:ascii="Arial" w:hAnsi="Arial" w:cs="Arial"/>
                <w:i/>
                <w:iCs/>
                <w:color w:val="000000"/>
              </w:rPr>
              <w:t>7</w:t>
            </w:r>
          </w:p>
        </w:tc>
        <w:tc>
          <w:tcPr>
            <w:tcW w:w="1066" w:type="dxa"/>
            <w:tcBorders>
              <w:top w:val="nil"/>
              <w:left w:val="nil"/>
              <w:bottom w:val="nil"/>
              <w:right w:val="nil"/>
            </w:tcBorders>
            <w:vAlign w:val="center"/>
          </w:tcPr>
          <w:p w14:paraId="604EC9EC" w14:textId="7BA2EE82" w:rsidR="0034237C" w:rsidRPr="00D83072" w:rsidRDefault="0034237C" w:rsidP="0034237C">
            <w:pPr>
              <w:pStyle w:val="ColorfulList-Accent11"/>
              <w:tabs>
                <w:tab w:val="left" w:pos="0"/>
                <w:tab w:val="left" w:pos="284"/>
              </w:tabs>
              <w:ind w:left="0" w:right="-90"/>
              <w:jc w:val="center"/>
              <w:rPr>
                <w:rFonts w:ascii="Arial" w:hAnsi="Arial" w:cs="Arial"/>
                <w:i/>
                <w:color w:val="FF0000"/>
              </w:rPr>
            </w:pPr>
            <w:r w:rsidRPr="00E72EB0">
              <w:rPr>
                <w:rFonts w:ascii="Arial" w:hAnsi="Arial" w:cs="Arial"/>
                <w:i/>
                <w:iCs/>
                <w:color w:val="000000"/>
              </w:rPr>
              <w:t>251</w:t>
            </w:r>
            <w:r w:rsidR="00774840">
              <w:rPr>
                <w:rFonts w:ascii="Arial" w:hAnsi="Arial" w:cs="Arial"/>
                <w:i/>
                <w:iCs/>
                <w:color w:val="000000"/>
              </w:rPr>
              <w:t>,</w:t>
            </w:r>
            <w:r w:rsidRPr="00E72EB0">
              <w:rPr>
                <w:rFonts w:ascii="Arial" w:hAnsi="Arial" w:cs="Arial"/>
                <w:i/>
                <w:iCs/>
                <w:color w:val="000000"/>
              </w:rPr>
              <w:t>9</w:t>
            </w:r>
          </w:p>
        </w:tc>
        <w:tc>
          <w:tcPr>
            <w:tcW w:w="1146" w:type="dxa"/>
            <w:tcBorders>
              <w:top w:val="nil"/>
              <w:left w:val="nil"/>
              <w:bottom w:val="nil"/>
              <w:right w:val="single" w:sz="2" w:space="0" w:color="BFBFBF" w:themeColor="background1" w:themeShade="BF"/>
            </w:tcBorders>
            <w:vAlign w:val="center"/>
          </w:tcPr>
          <w:p w14:paraId="49A55D51" w14:textId="335F4248" w:rsidR="0034237C" w:rsidRPr="00D83072" w:rsidRDefault="0034237C" w:rsidP="0034237C">
            <w:pPr>
              <w:pStyle w:val="ColorfulList-Accent11"/>
              <w:tabs>
                <w:tab w:val="left" w:pos="0"/>
                <w:tab w:val="left" w:pos="284"/>
              </w:tabs>
              <w:ind w:left="0" w:right="-90"/>
              <w:jc w:val="center"/>
              <w:rPr>
                <w:rFonts w:ascii="Arial" w:hAnsi="Arial" w:cs="Arial"/>
                <w:i/>
                <w:color w:val="FF0000"/>
              </w:rPr>
            </w:pPr>
            <w:r w:rsidRPr="00E72EB0">
              <w:rPr>
                <w:rFonts w:ascii="Arial" w:hAnsi="Arial" w:cs="Arial"/>
                <w:i/>
                <w:iCs/>
                <w:color w:val="000000"/>
              </w:rPr>
              <w:t>+1</w:t>
            </w:r>
            <w:r w:rsidR="00774840">
              <w:rPr>
                <w:rFonts w:ascii="Arial" w:hAnsi="Arial" w:cs="Arial"/>
                <w:i/>
                <w:iCs/>
                <w:color w:val="000000"/>
              </w:rPr>
              <w:t>,</w:t>
            </w:r>
            <w:r w:rsidRPr="00E72EB0">
              <w:rPr>
                <w:rFonts w:ascii="Arial" w:hAnsi="Arial" w:cs="Arial"/>
                <w:i/>
                <w:iCs/>
                <w:color w:val="000000"/>
              </w:rPr>
              <w:t>5%</w:t>
            </w:r>
          </w:p>
        </w:tc>
        <w:tc>
          <w:tcPr>
            <w:tcW w:w="1146" w:type="dxa"/>
            <w:tcBorders>
              <w:top w:val="nil"/>
              <w:left w:val="single" w:sz="2" w:space="0" w:color="BFBFBF" w:themeColor="background1" w:themeShade="BF"/>
              <w:bottom w:val="nil"/>
              <w:right w:val="nil"/>
            </w:tcBorders>
            <w:vAlign w:val="center"/>
          </w:tcPr>
          <w:p w14:paraId="67F9CC8F" w14:textId="5CBC6E97" w:rsidR="0034237C" w:rsidRPr="00D83072" w:rsidRDefault="0034237C" w:rsidP="0034237C">
            <w:pPr>
              <w:pStyle w:val="ColorfulList-Accent11"/>
              <w:tabs>
                <w:tab w:val="left" w:pos="0"/>
                <w:tab w:val="left" w:pos="284"/>
              </w:tabs>
              <w:ind w:left="0" w:right="-90"/>
              <w:jc w:val="center"/>
              <w:rPr>
                <w:rFonts w:ascii="Arial" w:hAnsi="Arial" w:cs="Arial"/>
                <w:color w:val="FF0000"/>
              </w:rPr>
            </w:pPr>
            <w:r w:rsidRPr="00E72EB0">
              <w:rPr>
                <w:rFonts w:ascii="Arial" w:hAnsi="Arial" w:cs="Arial"/>
                <w:i/>
                <w:iCs/>
                <w:color w:val="000000"/>
              </w:rPr>
              <w:t>761</w:t>
            </w:r>
            <w:r w:rsidR="00774840">
              <w:rPr>
                <w:rFonts w:ascii="Arial" w:hAnsi="Arial" w:cs="Arial"/>
                <w:i/>
                <w:iCs/>
                <w:color w:val="000000"/>
              </w:rPr>
              <w:t>,</w:t>
            </w:r>
            <w:r w:rsidRPr="00E72EB0">
              <w:rPr>
                <w:rFonts w:ascii="Arial" w:hAnsi="Arial" w:cs="Arial"/>
                <w:i/>
                <w:iCs/>
                <w:color w:val="000000"/>
              </w:rPr>
              <w:t>2</w:t>
            </w:r>
          </w:p>
        </w:tc>
        <w:tc>
          <w:tcPr>
            <w:tcW w:w="1146" w:type="dxa"/>
            <w:tcBorders>
              <w:top w:val="nil"/>
              <w:left w:val="nil"/>
              <w:bottom w:val="nil"/>
              <w:right w:val="nil"/>
            </w:tcBorders>
            <w:vAlign w:val="center"/>
          </w:tcPr>
          <w:p w14:paraId="75296582" w14:textId="3E851DD7" w:rsidR="0034237C" w:rsidRPr="00D83072" w:rsidRDefault="0034237C" w:rsidP="0034237C">
            <w:pPr>
              <w:pStyle w:val="ColorfulList-Accent11"/>
              <w:tabs>
                <w:tab w:val="left" w:pos="0"/>
                <w:tab w:val="left" w:pos="284"/>
              </w:tabs>
              <w:ind w:left="0" w:right="-90"/>
              <w:jc w:val="center"/>
              <w:rPr>
                <w:rFonts w:ascii="Arial" w:hAnsi="Arial" w:cs="Arial"/>
                <w:color w:val="FF0000"/>
              </w:rPr>
            </w:pPr>
            <w:r w:rsidRPr="00E72EB0">
              <w:rPr>
                <w:rFonts w:ascii="Arial" w:hAnsi="Arial" w:cs="Arial"/>
                <w:i/>
                <w:iCs/>
                <w:color w:val="000000"/>
              </w:rPr>
              <w:t>754</w:t>
            </w:r>
            <w:r w:rsidR="00774840">
              <w:rPr>
                <w:rFonts w:ascii="Arial" w:hAnsi="Arial" w:cs="Arial"/>
                <w:i/>
                <w:iCs/>
                <w:color w:val="000000"/>
              </w:rPr>
              <w:t>,</w:t>
            </w:r>
            <w:r w:rsidRPr="00E72EB0">
              <w:rPr>
                <w:rFonts w:ascii="Arial" w:hAnsi="Arial" w:cs="Arial"/>
                <w:i/>
                <w:iCs/>
                <w:color w:val="000000"/>
              </w:rPr>
              <w:t>0</w:t>
            </w:r>
          </w:p>
        </w:tc>
        <w:tc>
          <w:tcPr>
            <w:tcW w:w="1146" w:type="dxa"/>
            <w:tcBorders>
              <w:top w:val="nil"/>
              <w:left w:val="nil"/>
              <w:bottom w:val="nil"/>
              <w:right w:val="nil"/>
            </w:tcBorders>
            <w:vAlign w:val="center"/>
          </w:tcPr>
          <w:p w14:paraId="50282B14" w14:textId="2950FB1E" w:rsidR="0034237C" w:rsidRPr="00D83072" w:rsidRDefault="0034237C" w:rsidP="0034237C">
            <w:pPr>
              <w:pStyle w:val="ColorfulList-Accent11"/>
              <w:tabs>
                <w:tab w:val="left" w:pos="0"/>
                <w:tab w:val="left" w:pos="284"/>
              </w:tabs>
              <w:ind w:left="0" w:right="-90"/>
              <w:jc w:val="center"/>
              <w:rPr>
                <w:rFonts w:ascii="Arial" w:hAnsi="Arial" w:cs="Arial"/>
                <w:color w:val="FF0000"/>
              </w:rPr>
            </w:pPr>
            <w:r w:rsidRPr="00E72EB0">
              <w:rPr>
                <w:rFonts w:ascii="Arial" w:hAnsi="Arial" w:cs="Arial"/>
                <w:i/>
                <w:iCs/>
                <w:color w:val="000000"/>
              </w:rPr>
              <w:t>+1</w:t>
            </w:r>
            <w:r w:rsidR="00774840">
              <w:rPr>
                <w:rFonts w:ascii="Arial" w:hAnsi="Arial" w:cs="Arial"/>
                <w:i/>
                <w:iCs/>
                <w:color w:val="000000"/>
              </w:rPr>
              <w:t>,</w:t>
            </w:r>
            <w:r w:rsidRPr="00E72EB0">
              <w:rPr>
                <w:rFonts w:ascii="Arial" w:hAnsi="Arial" w:cs="Arial"/>
                <w:i/>
                <w:iCs/>
                <w:color w:val="000000"/>
              </w:rPr>
              <w:t>0%</w:t>
            </w:r>
          </w:p>
        </w:tc>
      </w:tr>
      <w:tr w:rsidR="0034237C" w:rsidRPr="00D83072" w14:paraId="40A61E89" w14:textId="77777777" w:rsidTr="008B4539">
        <w:trPr>
          <w:trHeight w:val="308"/>
        </w:trPr>
        <w:tc>
          <w:tcPr>
            <w:tcW w:w="3762" w:type="dxa"/>
            <w:tcBorders>
              <w:top w:val="nil"/>
              <w:bottom w:val="nil"/>
              <w:right w:val="single" w:sz="2" w:space="0" w:color="BFBFBF" w:themeColor="background1" w:themeShade="BF"/>
            </w:tcBorders>
            <w:vAlign w:val="center"/>
          </w:tcPr>
          <w:p w14:paraId="794E1314" w14:textId="77777777" w:rsidR="0034237C" w:rsidRPr="00CC5811" w:rsidRDefault="0034237C" w:rsidP="0034237C">
            <w:pPr>
              <w:pStyle w:val="ColorfulList-Accent11"/>
              <w:tabs>
                <w:tab w:val="left" w:pos="0"/>
                <w:tab w:val="left" w:pos="284"/>
              </w:tabs>
              <w:ind w:left="0" w:right="-90"/>
              <w:rPr>
                <w:rFonts w:ascii="Arial" w:hAnsi="Arial" w:cs="Arial"/>
                <w:color w:val="000000" w:themeColor="text1"/>
              </w:rPr>
            </w:pPr>
            <w:r>
              <w:rPr>
                <w:rFonts w:ascii="Arial" w:hAnsi="Arial" w:cs="Arial"/>
                <w:color w:val="000000" w:themeColor="text1"/>
                <w:lang w:val="el-GR"/>
              </w:rPr>
              <w:t>Έσοδα από υπηρεσίες κινητής</w:t>
            </w:r>
          </w:p>
        </w:tc>
        <w:tc>
          <w:tcPr>
            <w:tcW w:w="1027" w:type="dxa"/>
            <w:tcBorders>
              <w:top w:val="nil"/>
              <w:left w:val="single" w:sz="2" w:space="0" w:color="BFBFBF" w:themeColor="background1" w:themeShade="BF"/>
              <w:bottom w:val="nil"/>
              <w:right w:val="nil"/>
            </w:tcBorders>
            <w:vAlign w:val="center"/>
          </w:tcPr>
          <w:p w14:paraId="433ECFFD" w14:textId="7DDE03B5" w:rsidR="0034237C" w:rsidRPr="00D83072" w:rsidRDefault="0034237C" w:rsidP="0034237C">
            <w:pPr>
              <w:pStyle w:val="ColorfulList-Accent11"/>
              <w:tabs>
                <w:tab w:val="left" w:pos="0"/>
                <w:tab w:val="left" w:pos="284"/>
              </w:tabs>
              <w:ind w:left="0" w:right="-90"/>
              <w:jc w:val="center"/>
              <w:rPr>
                <w:rFonts w:ascii="Arial" w:hAnsi="Arial" w:cs="Arial"/>
                <w:color w:val="FF0000"/>
              </w:rPr>
            </w:pPr>
            <w:r>
              <w:rPr>
                <w:rFonts w:ascii="Arial" w:hAnsi="Arial" w:cs="Arial"/>
                <w:color w:val="000000"/>
              </w:rPr>
              <w:t>291</w:t>
            </w:r>
            <w:r w:rsidR="00774840">
              <w:rPr>
                <w:rFonts w:ascii="Arial" w:hAnsi="Arial" w:cs="Arial"/>
                <w:color w:val="000000"/>
              </w:rPr>
              <w:t>,</w:t>
            </w:r>
            <w:r>
              <w:rPr>
                <w:rFonts w:ascii="Arial" w:hAnsi="Arial" w:cs="Arial"/>
                <w:color w:val="000000"/>
              </w:rPr>
              <w:t>8</w:t>
            </w:r>
          </w:p>
        </w:tc>
        <w:tc>
          <w:tcPr>
            <w:tcW w:w="1066" w:type="dxa"/>
            <w:tcBorders>
              <w:top w:val="nil"/>
              <w:left w:val="nil"/>
              <w:bottom w:val="nil"/>
              <w:right w:val="nil"/>
            </w:tcBorders>
            <w:vAlign w:val="center"/>
          </w:tcPr>
          <w:p w14:paraId="5BBE0223" w14:textId="62FDA82B" w:rsidR="0034237C" w:rsidRPr="00D83072" w:rsidRDefault="0034237C" w:rsidP="0034237C">
            <w:pPr>
              <w:pStyle w:val="ColorfulList-Accent11"/>
              <w:tabs>
                <w:tab w:val="left" w:pos="0"/>
                <w:tab w:val="left" w:pos="284"/>
              </w:tabs>
              <w:ind w:left="0" w:right="-90"/>
              <w:jc w:val="center"/>
              <w:rPr>
                <w:rFonts w:ascii="Arial" w:hAnsi="Arial" w:cs="Arial"/>
                <w:color w:val="FF0000"/>
              </w:rPr>
            </w:pPr>
            <w:r>
              <w:rPr>
                <w:rFonts w:ascii="Arial" w:hAnsi="Arial" w:cs="Arial"/>
                <w:color w:val="000000"/>
              </w:rPr>
              <w:t>284</w:t>
            </w:r>
            <w:r w:rsidR="00774840">
              <w:rPr>
                <w:rFonts w:ascii="Arial" w:hAnsi="Arial" w:cs="Arial"/>
                <w:color w:val="000000"/>
              </w:rPr>
              <w:t>,</w:t>
            </w:r>
            <w:r>
              <w:rPr>
                <w:rFonts w:ascii="Arial" w:hAnsi="Arial" w:cs="Arial"/>
                <w:color w:val="000000"/>
              </w:rPr>
              <w:t>2</w:t>
            </w:r>
          </w:p>
        </w:tc>
        <w:tc>
          <w:tcPr>
            <w:tcW w:w="1146" w:type="dxa"/>
            <w:tcBorders>
              <w:top w:val="nil"/>
              <w:left w:val="nil"/>
              <w:bottom w:val="nil"/>
              <w:right w:val="single" w:sz="2" w:space="0" w:color="BFBFBF" w:themeColor="background1" w:themeShade="BF"/>
            </w:tcBorders>
            <w:vAlign w:val="center"/>
          </w:tcPr>
          <w:p w14:paraId="2364E1C4" w14:textId="291C91DF" w:rsidR="0034237C" w:rsidRPr="00D83072" w:rsidRDefault="0034237C" w:rsidP="0034237C">
            <w:pPr>
              <w:pStyle w:val="ColorfulList-Accent11"/>
              <w:tabs>
                <w:tab w:val="left" w:pos="0"/>
                <w:tab w:val="left" w:pos="284"/>
              </w:tabs>
              <w:ind w:left="0" w:right="-90"/>
              <w:jc w:val="center"/>
              <w:rPr>
                <w:rFonts w:ascii="Arial" w:hAnsi="Arial" w:cs="Arial"/>
                <w:color w:val="FF0000"/>
              </w:rPr>
            </w:pPr>
            <w:r>
              <w:rPr>
                <w:rFonts w:ascii="Arial" w:hAnsi="Arial" w:cs="Arial"/>
                <w:color w:val="000000"/>
              </w:rPr>
              <w:t>+2</w:t>
            </w:r>
            <w:r w:rsidR="00774840">
              <w:rPr>
                <w:rFonts w:ascii="Arial" w:hAnsi="Arial" w:cs="Arial"/>
                <w:color w:val="000000"/>
              </w:rPr>
              <w:t>,</w:t>
            </w:r>
            <w:r>
              <w:rPr>
                <w:rFonts w:ascii="Arial" w:hAnsi="Arial" w:cs="Arial"/>
                <w:color w:val="000000"/>
              </w:rPr>
              <w:t>7%</w:t>
            </w:r>
          </w:p>
        </w:tc>
        <w:tc>
          <w:tcPr>
            <w:tcW w:w="1146" w:type="dxa"/>
            <w:tcBorders>
              <w:top w:val="nil"/>
              <w:left w:val="single" w:sz="2" w:space="0" w:color="BFBFBF" w:themeColor="background1" w:themeShade="BF"/>
              <w:bottom w:val="nil"/>
              <w:right w:val="nil"/>
            </w:tcBorders>
            <w:vAlign w:val="center"/>
          </w:tcPr>
          <w:p w14:paraId="7035E901" w14:textId="6328110D" w:rsidR="0034237C" w:rsidRPr="00D83072" w:rsidRDefault="0034237C" w:rsidP="0034237C">
            <w:pPr>
              <w:pStyle w:val="ColorfulList-Accent11"/>
              <w:tabs>
                <w:tab w:val="left" w:pos="0"/>
                <w:tab w:val="left" w:pos="284"/>
              </w:tabs>
              <w:ind w:left="0" w:right="-90"/>
              <w:jc w:val="center"/>
              <w:rPr>
                <w:rFonts w:ascii="Arial" w:hAnsi="Arial" w:cs="Arial"/>
                <w:color w:val="FF0000"/>
              </w:rPr>
            </w:pPr>
            <w:r>
              <w:rPr>
                <w:rFonts w:ascii="Arial" w:hAnsi="Arial" w:cs="Arial"/>
                <w:color w:val="000000"/>
              </w:rPr>
              <w:t>803</w:t>
            </w:r>
            <w:r w:rsidR="00774840">
              <w:rPr>
                <w:rFonts w:ascii="Arial" w:hAnsi="Arial" w:cs="Arial"/>
                <w:color w:val="000000"/>
              </w:rPr>
              <w:t>,</w:t>
            </w:r>
            <w:r>
              <w:rPr>
                <w:rFonts w:ascii="Arial" w:hAnsi="Arial" w:cs="Arial"/>
                <w:color w:val="000000"/>
              </w:rPr>
              <w:t>7</w:t>
            </w:r>
          </w:p>
        </w:tc>
        <w:tc>
          <w:tcPr>
            <w:tcW w:w="1146" w:type="dxa"/>
            <w:tcBorders>
              <w:top w:val="nil"/>
              <w:left w:val="nil"/>
              <w:bottom w:val="nil"/>
              <w:right w:val="nil"/>
            </w:tcBorders>
            <w:vAlign w:val="center"/>
          </w:tcPr>
          <w:p w14:paraId="5F38AC2B" w14:textId="42E3576B" w:rsidR="0034237C" w:rsidRPr="00D83072" w:rsidRDefault="0034237C" w:rsidP="0034237C">
            <w:pPr>
              <w:pStyle w:val="ColorfulList-Accent11"/>
              <w:tabs>
                <w:tab w:val="left" w:pos="0"/>
                <w:tab w:val="left" w:pos="284"/>
              </w:tabs>
              <w:ind w:left="0" w:right="-90"/>
              <w:jc w:val="center"/>
              <w:rPr>
                <w:rFonts w:ascii="Arial" w:hAnsi="Arial" w:cs="Arial"/>
                <w:color w:val="FF0000"/>
              </w:rPr>
            </w:pPr>
            <w:r>
              <w:rPr>
                <w:rFonts w:ascii="Arial" w:hAnsi="Arial" w:cs="Arial"/>
                <w:color w:val="000000"/>
              </w:rPr>
              <w:t>784</w:t>
            </w:r>
            <w:r w:rsidR="00774840">
              <w:rPr>
                <w:rFonts w:ascii="Arial" w:hAnsi="Arial" w:cs="Arial"/>
                <w:color w:val="000000"/>
              </w:rPr>
              <w:t>,</w:t>
            </w:r>
            <w:r>
              <w:rPr>
                <w:rFonts w:ascii="Arial" w:hAnsi="Arial" w:cs="Arial"/>
                <w:color w:val="000000"/>
              </w:rPr>
              <w:t>9</w:t>
            </w:r>
          </w:p>
        </w:tc>
        <w:tc>
          <w:tcPr>
            <w:tcW w:w="1146" w:type="dxa"/>
            <w:tcBorders>
              <w:top w:val="nil"/>
              <w:left w:val="nil"/>
              <w:bottom w:val="nil"/>
              <w:right w:val="nil"/>
            </w:tcBorders>
            <w:vAlign w:val="center"/>
          </w:tcPr>
          <w:p w14:paraId="1C31E18A" w14:textId="057EC32D" w:rsidR="0034237C" w:rsidRPr="00D83072" w:rsidRDefault="0034237C" w:rsidP="0034237C">
            <w:pPr>
              <w:pStyle w:val="ColorfulList-Accent11"/>
              <w:tabs>
                <w:tab w:val="left" w:pos="0"/>
                <w:tab w:val="left" w:pos="284"/>
              </w:tabs>
              <w:ind w:left="0" w:right="-90"/>
              <w:jc w:val="center"/>
              <w:rPr>
                <w:rFonts w:ascii="Arial" w:hAnsi="Arial" w:cs="Arial"/>
                <w:color w:val="FF0000"/>
              </w:rPr>
            </w:pPr>
            <w:r>
              <w:rPr>
                <w:rFonts w:ascii="Arial" w:hAnsi="Arial" w:cs="Arial"/>
                <w:color w:val="000000"/>
              </w:rPr>
              <w:t>+2</w:t>
            </w:r>
            <w:r w:rsidR="00774840">
              <w:rPr>
                <w:rFonts w:ascii="Arial" w:hAnsi="Arial" w:cs="Arial"/>
                <w:color w:val="000000"/>
              </w:rPr>
              <w:t>,</w:t>
            </w:r>
            <w:r>
              <w:rPr>
                <w:rFonts w:ascii="Arial" w:hAnsi="Arial" w:cs="Arial"/>
                <w:color w:val="000000"/>
              </w:rPr>
              <w:t>4%</w:t>
            </w:r>
          </w:p>
        </w:tc>
      </w:tr>
      <w:tr w:rsidR="0034237C" w:rsidRPr="00D83072" w14:paraId="1E7D28A1" w14:textId="77777777" w:rsidTr="008B4539">
        <w:trPr>
          <w:trHeight w:val="308"/>
        </w:trPr>
        <w:tc>
          <w:tcPr>
            <w:tcW w:w="3762" w:type="dxa"/>
            <w:tcBorders>
              <w:top w:val="nil"/>
              <w:bottom w:val="nil"/>
              <w:right w:val="single" w:sz="2" w:space="0" w:color="BFBFBF" w:themeColor="background1" w:themeShade="BF"/>
            </w:tcBorders>
            <w:vAlign w:val="center"/>
          </w:tcPr>
          <w:p w14:paraId="3FEE3879" w14:textId="77777777" w:rsidR="0034237C" w:rsidRPr="00CC5811" w:rsidRDefault="0034237C" w:rsidP="0034237C">
            <w:pPr>
              <w:pStyle w:val="ColorfulList-Accent11"/>
              <w:tabs>
                <w:tab w:val="left" w:pos="0"/>
                <w:tab w:val="left" w:pos="284"/>
              </w:tabs>
              <w:ind w:left="0" w:right="-90"/>
              <w:rPr>
                <w:rFonts w:ascii="Arial" w:hAnsi="Arial" w:cs="Arial"/>
                <w:color w:val="000000" w:themeColor="text1"/>
              </w:rPr>
            </w:pPr>
            <w:r>
              <w:rPr>
                <w:rFonts w:ascii="Arial" w:hAnsi="Arial" w:cs="Arial"/>
                <w:color w:val="000000" w:themeColor="text1"/>
                <w:lang w:val="el-GR"/>
              </w:rPr>
              <w:t>Έσοδα χονδρικής</w:t>
            </w:r>
          </w:p>
        </w:tc>
        <w:tc>
          <w:tcPr>
            <w:tcW w:w="1027" w:type="dxa"/>
            <w:tcBorders>
              <w:top w:val="nil"/>
              <w:left w:val="single" w:sz="2" w:space="0" w:color="BFBFBF" w:themeColor="background1" w:themeShade="BF"/>
              <w:bottom w:val="nil"/>
              <w:right w:val="nil"/>
            </w:tcBorders>
            <w:vAlign w:val="center"/>
          </w:tcPr>
          <w:p w14:paraId="30F95778" w14:textId="39BC9E97" w:rsidR="0034237C" w:rsidRPr="00D83072" w:rsidRDefault="0034237C" w:rsidP="0034237C">
            <w:pPr>
              <w:pStyle w:val="ColorfulList-Accent11"/>
              <w:tabs>
                <w:tab w:val="left" w:pos="0"/>
                <w:tab w:val="left" w:pos="284"/>
              </w:tabs>
              <w:ind w:left="0" w:right="-90"/>
              <w:jc w:val="center"/>
              <w:rPr>
                <w:rFonts w:ascii="Arial" w:hAnsi="Arial" w:cs="Arial"/>
                <w:color w:val="FF0000"/>
              </w:rPr>
            </w:pPr>
            <w:r>
              <w:rPr>
                <w:rFonts w:ascii="Arial" w:hAnsi="Arial" w:cs="Arial"/>
                <w:color w:val="000000"/>
              </w:rPr>
              <w:t>140</w:t>
            </w:r>
            <w:r w:rsidR="00774840">
              <w:rPr>
                <w:rFonts w:ascii="Arial" w:hAnsi="Arial" w:cs="Arial"/>
                <w:color w:val="000000"/>
              </w:rPr>
              <w:t>,</w:t>
            </w:r>
            <w:r>
              <w:rPr>
                <w:rFonts w:ascii="Arial" w:hAnsi="Arial" w:cs="Arial"/>
                <w:color w:val="000000"/>
              </w:rPr>
              <w:t>5</w:t>
            </w:r>
          </w:p>
        </w:tc>
        <w:tc>
          <w:tcPr>
            <w:tcW w:w="1066" w:type="dxa"/>
            <w:tcBorders>
              <w:top w:val="nil"/>
              <w:left w:val="nil"/>
              <w:bottom w:val="nil"/>
              <w:right w:val="nil"/>
            </w:tcBorders>
            <w:vAlign w:val="center"/>
          </w:tcPr>
          <w:p w14:paraId="689D6471" w14:textId="30ABB7F2" w:rsidR="0034237C" w:rsidRPr="00D83072" w:rsidRDefault="0034237C" w:rsidP="0034237C">
            <w:pPr>
              <w:pStyle w:val="ColorfulList-Accent11"/>
              <w:tabs>
                <w:tab w:val="left" w:pos="0"/>
                <w:tab w:val="left" w:pos="284"/>
              </w:tabs>
              <w:ind w:left="0" w:right="-90"/>
              <w:jc w:val="center"/>
              <w:rPr>
                <w:rFonts w:ascii="Arial" w:hAnsi="Arial" w:cs="Arial"/>
                <w:color w:val="FF0000"/>
              </w:rPr>
            </w:pPr>
            <w:r>
              <w:rPr>
                <w:rFonts w:ascii="Arial" w:hAnsi="Arial" w:cs="Arial"/>
                <w:color w:val="000000"/>
              </w:rPr>
              <w:t>134</w:t>
            </w:r>
            <w:r w:rsidR="00774840">
              <w:rPr>
                <w:rFonts w:ascii="Arial" w:hAnsi="Arial" w:cs="Arial"/>
                <w:color w:val="000000"/>
              </w:rPr>
              <w:t>,</w:t>
            </w:r>
            <w:r>
              <w:rPr>
                <w:rFonts w:ascii="Arial" w:hAnsi="Arial" w:cs="Arial"/>
                <w:color w:val="000000"/>
              </w:rPr>
              <w:t>8</w:t>
            </w:r>
          </w:p>
        </w:tc>
        <w:tc>
          <w:tcPr>
            <w:tcW w:w="1146" w:type="dxa"/>
            <w:tcBorders>
              <w:top w:val="nil"/>
              <w:left w:val="nil"/>
              <w:bottom w:val="nil"/>
              <w:right w:val="single" w:sz="2" w:space="0" w:color="BFBFBF" w:themeColor="background1" w:themeShade="BF"/>
            </w:tcBorders>
            <w:vAlign w:val="center"/>
          </w:tcPr>
          <w:p w14:paraId="792338AF" w14:textId="47F8A6EE" w:rsidR="0034237C" w:rsidRPr="00D83072" w:rsidRDefault="0034237C" w:rsidP="0034237C">
            <w:pPr>
              <w:pStyle w:val="ColorfulList-Accent11"/>
              <w:tabs>
                <w:tab w:val="left" w:pos="0"/>
                <w:tab w:val="left" w:pos="284"/>
              </w:tabs>
              <w:ind w:left="0" w:right="-90"/>
              <w:jc w:val="center"/>
              <w:rPr>
                <w:rFonts w:ascii="Arial" w:hAnsi="Arial" w:cs="Arial"/>
                <w:color w:val="FF0000"/>
              </w:rPr>
            </w:pPr>
            <w:r>
              <w:rPr>
                <w:rFonts w:ascii="Arial" w:hAnsi="Arial" w:cs="Arial"/>
                <w:color w:val="000000"/>
              </w:rPr>
              <w:t>+4</w:t>
            </w:r>
            <w:r w:rsidR="00774840">
              <w:rPr>
                <w:rFonts w:ascii="Arial" w:hAnsi="Arial" w:cs="Arial"/>
                <w:color w:val="000000"/>
              </w:rPr>
              <w:t>,</w:t>
            </w:r>
            <w:r>
              <w:rPr>
                <w:rFonts w:ascii="Arial" w:hAnsi="Arial" w:cs="Arial"/>
                <w:color w:val="000000"/>
              </w:rPr>
              <w:t>2%</w:t>
            </w:r>
          </w:p>
        </w:tc>
        <w:tc>
          <w:tcPr>
            <w:tcW w:w="1146" w:type="dxa"/>
            <w:tcBorders>
              <w:top w:val="nil"/>
              <w:left w:val="single" w:sz="2" w:space="0" w:color="BFBFBF" w:themeColor="background1" w:themeShade="BF"/>
              <w:bottom w:val="nil"/>
              <w:right w:val="nil"/>
            </w:tcBorders>
            <w:vAlign w:val="center"/>
          </w:tcPr>
          <w:p w14:paraId="57429885" w14:textId="1CFEF252" w:rsidR="0034237C" w:rsidRPr="00D83072" w:rsidRDefault="0034237C" w:rsidP="0034237C">
            <w:pPr>
              <w:pStyle w:val="ColorfulList-Accent11"/>
              <w:tabs>
                <w:tab w:val="left" w:pos="0"/>
                <w:tab w:val="left" w:pos="284"/>
              </w:tabs>
              <w:ind w:left="0" w:right="-90"/>
              <w:jc w:val="center"/>
              <w:rPr>
                <w:rFonts w:ascii="Arial" w:hAnsi="Arial" w:cs="Arial"/>
                <w:color w:val="FF0000"/>
              </w:rPr>
            </w:pPr>
            <w:r>
              <w:rPr>
                <w:rFonts w:ascii="Arial" w:hAnsi="Arial" w:cs="Arial"/>
                <w:color w:val="000000"/>
              </w:rPr>
              <w:t>441</w:t>
            </w:r>
            <w:r w:rsidR="00774840">
              <w:rPr>
                <w:rFonts w:ascii="Arial" w:hAnsi="Arial" w:cs="Arial"/>
                <w:color w:val="000000"/>
              </w:rPr>
              <w:t>,</w:t>
            </w:r>
            <w:r>
              <w:rPr>
                <w:rFonts w:ascii="Arial" w:hAnsi="Arial" w:cs="Arial"/>
                <w:color w:val="000000"/>
              </w:rPr>
              <w:t>2</w:t>
            </w:r>
          </w:p>
        </w:tc>
        <w:tc>
          <w:tcPr>
            <w:tcW w:w="1146" w:type="dxa"/>
            <w:tcBorders>
              <w:top w:val="nil"/>
              <w:left w:val="nil"/>
              <w:bottom w:val="nil"/>
              <w:right w:val="nil"/>
            </w:tcBorders>
            <w:vAlign w:val="center"/>
          </w:tcPr>
          <w:p w14:paraId="30E20567" w14:textId="3685CB3C" w:rsidR="0034237C" w:rsidRPr="00D83072" w:rsidRDefault="0034237C" w:rsidP="0034237C">
            <w:pPr>
              <w:pStyle w:val="ColorfulList-Accent11"/>
              <w:tabs>
                <w:tab w:val="left" w:pos="0"/>
                <w:tab w:val="left" w:pos="284"/>
              </w:tabs>
              <w:ind w:left="0" w:right="-90"/>
              <w:jc w:val="center"/>
              <w:rPr>
                <w:rFonts w:ascii="Arial" w:hAnsi="Arial" w:cs="Arial"/>
                <w:color w:val="FF0000"/>
              </w:rPr>
            </w:pPr>
            <w:r>
              <w:rPr>
                <w:rFonts w:ascii="Arial" w:hAnsi="Arial" w:cs="Arial"/>
                <w:color w:val="000000"/>
              </w:rPr>
              <w:t>448</w:t>
            </w:r>
            <w:r w:rsidR="00774840">
              <w:rPr>
                <w:rFonts w:ascii="Arial" w:hAnsi="Arial" w:cs="Arial"/>
                <w:color w:val="000000"/>
              </w:rPr>
              <w:t>,</w:t>
            </w:r>
            <w:r>
              <w:rPr>
                <w:rFonts w:ascii="Arial" w:hAnsi="Arial" w:cs="Arial"/>
                <w:color w:val="000000"/>
              </w:rPr>
              <w:t>2</w:t>
            </w:r>
          </w:p>
        </w:tc>
        <w:tc>
          <w:tcPr>
            <w:tcW w:w="1146" w:type="dxa"/>
            <w:tcBorders>
              <w:top w:val="nil"/>
              <w:left w:val="nil"/>
              <w:bottom w:val="nil"/>
              <w:right w:val="nil"/>
            </w:tcBorders>
            <w:vAlign w:val="center"/>
          </w:tcPr>
          <w:p w14:paraId="69F60726" w14:textId="38CD5533" w:rsidR="0034237C" w:rsidRPr="00D83072" w:rsidRDefault="0034237C" w:rsidP="0034237C">
            <w:pPr>
              <w:pStyle w:val="ColorfulList-Accent11"/>
              <w:tabs>
                <w:tab w:val="left" w:pos="0"/>
                <w:tab w:val="left" w:pos="284"/>
              </w:tabs>
              <w:ind w:left="0" w:right="-90"/>
              <w:jc w:val="center"/>
              <w:rPr>
                <w:rFonts w:ascii="Arial" w:hAnsi="Arial" w:cs="Arial"/>
                <w:color w:val="FF0000"/>
              </w:rPr>
            </w:pPr>
            <w:r>
              <w:rPr>
                <w:rFonts w:ascii="Arial" w:hAnsi="Arial" w:cs="Arial"/>
                <w:color w:val="000000"/>
              </w:rPr>
              <w:t>-1</w:t>
            </w:r>
            <w:r w:rsidR="00774840">
              <w:rPr>
                <w:rFonts w:ascii="Arial" w:hAnsi="Arial" w:cs="Arial"/>
                <w:color w:val="000000"/>
              </w:rPr>
              <w:t>,</w:t>
            </w:r>
            <w:r>
              <w:rPr>
                <w:rFonts w:ascii="Arial" w:hAnsi="Arial" w:cs="Arial"/>
                <w:color w:val="000000"/>
              </w:rPr>
              <w:t>6%</w:t>
            </w:r>
          </w:p>
        </w:tc>
      </w:tr>
      <w:tr w:rsidR="0034237C" w:rsidRPr="00D83072" w14:paraId="5745A9AC" w14:textId="77777777" w:rsidTr="008B4539">
        <w:trPr>
          <w:trHeight w:val="308"/>
        </w:trPr>
        <w:tc>
          <w:tcPr>
            <w:tcW w:w="3762" w:type="dxa"/>
            <w:tcBorders>
              <w:top w:val="nil"/>
              <w:bottom w:val="nil"/>
              <w:right w:val="single" w:sz="2" w:space="0" w:color="BFBFBF" w:themeColor="background1" w:themeShade="BF"/>
            </w:tcBorders>
            <w:vAlign w:val="center"/>
          </w:tcPr>
          <w:p w14:paraId="428C6A93" w14:textId="77777777" w:rsidR="0034237C" w:rsidRPr="00CC5811" w:rsidRDefault="0034237C" w:rsidP="0034237C">
            <w:pPr>
              <w:pStyle w:val="ColorfulList-Accent11"/>
              <w:tabs>
                <w:tab w:val="left" w:pos="0"/>
                <w:tab w:val="left" w:pos="284"/>
              </w:tabs>
              <w:ind w:left="0" w:right="-90"/>
              <w:rPr>
                <w:rFonts w:ascii="Arial" w:hAnsi="Arial" w:cs="Arial"/>
                <w:color w:val="000000" w:themeColor="text1"/>
              </w:rPr>
            </w:pPr>
            <w:r>
              <w:rPr>
                <w:rFonts w:ascii="Arial" w:hAnsi="Arial" w:cs="Arial"/>
                <w:color w:val="000000" w:themeColor="text1"/>
                <w:lang w:val="el-GR"/>
              </w:rPr>
              <w:t>Λοιπά Έσοδα</w:t>
            </w:r>
          </w:p>
        </w:tc>
        <w:tc>
          <w:tcPr>
            <w:tcW w:w="1027" w:type="dxa"/>
            <w:tcBorders>
              <w:top w:val="nil"/>
              <w:left w:val="single" w:sz="2" w:space="0" w:color="BFBFBF" w:themeColor="background1" w:themeShade="BF"/>
              <w:bottom w:val="nil"/>
              <w:right w:val="nil"/>
            </w:tcBorders>
            <w:vAlign w:val="center"/>
          </w:tcPr>
          <w:p w14:paraId="1FE16B30" w14:textId="19479EAB" w:rsidR="0034237C" w:rsidRPr="00D83072" w:rsidRDefault="0034237C" w:rsidP="0034237C">
            <w:pPr>
              <w:pStyle w:val="ColorfulList-Accent11"/>
              <w:tabs>
                <w:tab w:val="left" w:pos="0"/>
                <w:tab w:val="left" w:pos="284"/>
              </w:tabs>
              <w:ind w:left="0" w:right="-90"/>
              <w:jc w:val="center"/>
              <w:rPr>
                <w:rFonts w:ascii="Arial" w:hAnsi="Arial" w:cs="Arial"/>
                <w:color w:val="FF0000"/>
              </w:rPr>
            </w:pPr>
            <w:r>
              <w:rPr>
                <w:rFonts w:ascii="Arial" w:hAnsi="Arial" w:cs="Arial"/>
                <w:color w:val="000000"/>
              </w:rPr>
              <w:t>211</w:t>
            </w:r>
            <w:r w:rsidR="00774840">
              <w:rPr>
                <w:rFonts w:ascii="Arial" w:hAnsi="Arial" w:cs="Arial"/>
                <w:color w:val="000000"/>
              </w:rPr>
              <w:t>,</w:t>
            </w:r>
            <w:r>
              <w:rPr>
                <w:rFonts w:ascii="Arial" w:hAnsi="Arial" w:cs="Arial"/>
                <w:color w:val="000000"/>
              </w:rPr>
              <w:t>2</w:t>
            </w:r>
          </w:p>
        </w:tc>
        <w:tc>
          <w:tcPr>
            <w:tcW w:w="1066" w:type="dxa"/>
            <w:tcBorders>
              <w:top w:val="nil"/>
              <w:left w:val="nil"/>
              <w:bottom w:val="nil"/>
              <w:right w:val="nil"/>
            </w:tcBorders>
            <w:vAlign w:val="center"/>
          </w:tcPr>
          <w:p w14:paraId="25D9C57D" w14:textId="42A1FB7F" w:rsidR="0034237C" w:rsidRPr="00D83072" w:rsidRDefault="0034237C" w:rsidP="0034237C">
            <w:pPr>
              <w:pStyle w:val="ColorfulList-Accent11"/>
              <w:tabs>
                <w:tab w:val="left" w:pos="0"/>
                <w:tab w:val="left" w:pos="284"/>
              </w:tabs>
              <w:ind w:left="0" w:right="-90"/>
              <w:jc w:val="center"/>
              <w:rPr>
                <w:rFonts w:ascii="Arial" w:hAnsi="Arial" w:cs="Arial"/>
                <w:color w:val="FF0000"/>
              </w:rPr>
            </w:pPr>
            <w:r>
              <w:rPr>
                <w:rFonts w:ascii="Arial" w:hAnsi="Arial" w:cs="Arial"/>
                <w:color w:val="000000"/>
              </w:rPr>
              <w:t>185</w:t>
            </w:r>
            <w:r w:rsidR="00774840">
              <w:rPr>
                <w:rFonts w:ascii="Arial" w:hAnsi="Arial" w:cs="Arial"/>
                <w:color w:val="000000"/>
              </w:rPr>
              <w:t>,</w:t>
            </w:r>
            <w:r>
              <w:rPr>
                <w:rFonts w:ascii="Arial" w:hAnsi="Arial" w:cs="Arial"/>
                <w:color w:val="000000"/>
              </w:rPr>
              <w:t>9</w:t>
            </w:r>
          </w:p>
        </w:tc>
        <w:tc>
          <w:tcPr>
            <w:tcW w:w="1146" w:type="dxa"/>
            <w:tcBorders>
              <w:top w:val="nil"/>
              <w:left w:val="nil"/>
              <w:bottom w:val="nil"/>
              <w:right w:val="single" w:sz="2" w:space="0" w:color="BFBFBF" w:themeColor="background1" w:themeShade="BF"/>
            </w:tcBorders>
            <w:vAlign w:val="center"/>
          </w:tcPr>
          <w:p w14:paraId="2E7A16F7" w14:textId="5DB597F9" w:rsidR="0034237C" w:rsidRPr="00D83072" w:rsidRDefault="0034237C" w:rsidP="0034237C">
            <w:pPr>
              <w:pStyle w:val="ColorfulList-Accent11"/>
              <w:tabs>
                <w:tab w:val="left" w:pos="0"/>
                <w:tab w:val="left" w:pos="284"/>
              </w:tabs>
              <w:ind w:left="0" w:right="-90"/>
              <w:jc w:val="center"/>
              <w:rPr>
                <w:rFonts w:ascii="Arial" w:hAnsi="Arial" w:cs="Arial"/>
                <w:color w:val="FF0000"/>
              </w:rPr>
            </w:pPr>
            <w:r>
              <w:rPr>
                <w:rFonts w:ascii="Arial" w:hAnsi="Arial" w:cs="Arial"/>
                <w:color w:val="000000"/>
              </w:rPr>
              <w:t>+13</w:t>
            </w:r>
            <w:r w:rsidR="00774840">
              <w:rPr>
                <w:rFonts w:ascii="Arial" w:hAnsi="Arial" w:cs="Arial"/>
                <w:color w:val="000000"/>
              </w:rPr>
              <w:t>,</w:t>
            </w:r>
            <w:r>
              <w:rPr>
                <w:rFonts w:ascii="Arial" w:hAnsi="Arial" w:cs="Arial"/>
                <w:color w:val="000000"/>
              </w:rPr>
              <w:t>6%</w:t>
            </w:r>
          </w:p>
        </w:tc>
        <w:tc>
          <w:tcPr>
            <w:tcW w:w="1146" w:type="dxa"/>
            <w:tcBorders>
              <w:top w:val="nil"/>
              <w:left w:val="single" w:sz="2" w:space="0" w:color="BFBFBF" w:themeColor="background1" w:themeShade="BF"/>
              <w:bottom w:val="nil"/>
              <w:right w:val="nil"/>
            </w:tcBorders>
            <w:vAlign w:val="center"/>
          </w:tcPr>
          <w:p w14:paraId="1CCFD14F" w14:textId="3ED2214B" w:rsidR="0034237C" w:rsidRPr="00D83072" w:rsidRDefault="0034237C" w:rsidP="0034237C">
            <w:pPr>
              <w:pStyle w:val="ColorfulList-Accent11"/>
              <w:tabs>
                <w:tab w:val="left" w:pos="0"/>
                <w:tab w:val="left" w:pos="284"/>
              </w:tabs>
              <w:ind w:left="0" w:right="-90"/>
              <w:jc w:val="center"/>
              <w:rPr>
                <w:rFonts w:ascii="Arial" w:hAnsi="Arial" w:cs="Arial"/>
                <w:color w:val="FF0000"/>
              </w:rPr>
            </w:pPr>
            <w:r>
              <w:rPr>
                <w:rFonts w:ascii="Arial" w:hAnsi="Arial" w:cs="Arial"/>
                <w:color w:val="000000"/>
              </w:rPr>
              <w:t>615</w:t>
            </w:r>
            <w:r w:rsidR="00774840">
              <w:rPr>
                <w:rFonts w:ascii="Arial" w:hAnsi="Arial" w:cs="Arial"/>
                <w:color w:val="000000"/>
              </w:rPr>
              <w:t>,</w:t>
            </w:r>
            <w:r>
              <w:rPr>
                <w:rFonts w:ascii="Arial" w:hAnsi="Arial" w:cs="Arial"/>
                <w:color w:val="000000"/>
              </w:rPr>
              <w:t>2</w:t>
            </w:r>
          </w:p>
        </w:tc>
        <w:tc>
          <w:tcPr>
            <w:tcW w:w="1146" w:type="dxa"/>
            <w:tcBorders>
              <w:top w:val="nil"/>
              <w:left w:val="nil"/>
              <w:bottom w:val="nil"/>
              <w:right w:val="nil"/>
            </w:tcBorders>
            <w:vAlign w:val="center"/>
          </w:tcPr>
          <w:p w14:paraId="6B9D736D" w14:textId="1C1A5014" w:rsidR="0034237C" w:rsidRPr="00D83072" w:rsidRDefault="0034237C" w:rsidP="0034237C">
            <w:pPr>
              <w:pStyle w:val="ColorfulList-Accent11"/>
              <w:tabs>
                <w:tab w:val="left" w:pos="0"/>
                <w:tab w:val="left" w:pos="284"/>
              </w:tabs>
              <w:ind w:left="0" w:right="-90"/>
              <w:jc w:val="center"/>
              <w:rPr>
                <w:rFonts w:ascii="Arial" w:hAnsi="Arial" w:cs="Arial"/>
                <w:color w:val="FF0000"/>
              </w:rPr>
            </w:pPr>
            <w:r>
              <w:rPr>
                <w:rFonts w:ascii="Arial" w:hAnsi="Arial" w:cs="Arial"/>
                <w:color w:val="000000"/>
              </w:rPr>
              <w:t>573</w:t>
            </w:r>
            <w:r w:rsidR="00774840">
              <w:rPr>
                <w:rFonts w:ascii="Arial" w:hAnsi="Arial" w:cs="Arial"/>
                <w:color w:val="000000"/>
              </w:rPr>
              <w:t>,</w:t>
            </w:r>
            <w:r>
              <w:rPr>
                <w:rFonts w:ascii="Arial" w:hAnsi="Arial" w:cs="Arial"/>
                <w:color w:val="000000"/>
              </w:rPr>
              <w:t>6</w:t>
            </w:r>
          </w:p>
        </w:tc>
        <w:tc>
          <w:tcPr>
            <w:tcW w:w="1146" w:type="dxa"/>
            <w:tcBorders>
              <w:top w:val="nil"/>
              <w:left w:val="nil"/>
              <w:bottom w:val="nil"/>
              <w:right w:val="nil"/>
            </w:tcBorders>
            <w:vAlign w:val="center"/>
          </w:tcPr>
          <w:p w14:paraId="1262117D" w14:textId="742F6B9A" w:rsidR="0034237C" w:rsidRPr="00D83072" w:rsidRDefault="0034237C" w:rsidP="0034237C">
            <w:pPr>
              <w:pStyle w:val="ColorfulList-Accent11"/>
              <w:tabs>
                <w:tab w:val="left" w:pos="0"/>
                <w:tab w:val="left" w:pos="284"/>
              </w:tabs>
              <w:ind w:left="0" w:right="-90"/>
              <w:jc w:val="center"/>
              <w:rPr>
                <w:rFonts w:ascii="Arial" w:hAnsi="Arial" w:cs="Arial"/>
                <w:color w:val="FF0000"/>
              </w:rPr>
            </w:pPr>
            <w:r>
              <w:rPr>
                <w:rFonts w:ascii="Arial" w:hAnsi="Arial" w:cs="Arial"/>
                <w:color w:val="000000"/>
              </w:rPr>
              <w:t>+7</w:t>
            </w:r>
            <w:r w:rsidR="00774840">
              <w:rPr>
                <w:rFonts w:ascii="Arial" w:hAnsi="Arial" w:cs="Arial"/>
                <w:color w:val="000000"/>
              </w:rPr>
              <w:t>,</w:t>
            </w:r>
            <w:r>
              <w:rPr>
                <w:rFonts w:ascii="Arial" w:hAnsi="Arial" w:cs="Arial"/>
                <w:color w:val="000000"/>
              </w:rPr>
              <w:t>3%</w:t>
            </w:r>
          </w:p>
        </w:tc>
      </w:tr>
      <w:tr w:rsidR="0034237C" w:rsidRPr="00D83072" w14:paraId="4155D131" w14:textId="77777777" w:rsidTr="008B4539">
        <w:trPr>
          <w:trHeight w:val="308"/>
        </w:trPr>
        <w:tc>
          <w:tcPr>
            <w:tcW w:w="3762" w:type="dxa"/>
            <w:tcBorders>
              <w:top w:val="nil"/>
              <w:bottom w:val="nil"/>
              <w:right w:val="single" w:sz="2" w:space="0" w:color="BFBFBF" w:themeColor="background1" w:themeShade="BF"/>
            </w:tcBorders>
            <w:vAlign w:val="center"/>
          </w:tcPr>
          <w:p w14:paraId="268B0D58" w14:textId="77E0AABC" w:rsidR="0034237C" w:rsidRPr="00CC5811" w:rsidRDefault="0034237C" w:rsidP="0034237C">
            <w:pPr>
              <w:pStyle w:val="ColorfulList-Accent11"/>
              <w:tabs>
                <w:tab w:val="left" w:pos="0"/>
                <w:tab w:val="left" w:pos="284"/>
              </w:tabs>
              <w:ind w:left="0" w:right="-90"/>
              <w:jc w:val="right"/>
              <w:rPr>
                <w:rFonts w:ascii="Arial" w:hAnsi="Arial" w:cs="Arial"/>
                <w:i/>
                <w:color w:val="000000" w:themeColor="text1"/>
              </w:rPr>
            </w:pPr>
            <w:r>
              <w:rPr>
                <w:rFonts w:ascii="Arial" w:hAnsi="Arial" w:cs="Arial"/>
                <w:i/>
                <w:color w:val="000000" w:themeColor="text1"/>
                <w:lang w:val="el-GR"/>
              </w:rPr>
              <w:t>εκ των οποίων</w:t>
            </w:r>
            <w:r w:rsidRPr="00A14889">
              <w:rPr>
                <w:rFonts w:ascii="Arial" w:hAnsi="Arial" w:cs="Arial"/>
                <w:i/>
                <w:color w:val="000000" w:themeColor="text1"/>
              </w:rPr>
              <w:t xml:space="preserve"> System Solutions</w:t>
            </w:r>
          </w:p>
        </w:tc>
        <w:tc>
          <w:tcPr>
            <w:tcW w:w="1027" w:type="dxa"/>
            <w:tcBorders>
              <w:top w:val="nil"/>
              <w:left w:val="single" w:sz="2" w:space="0" w:color="BFBFBF" w:themeColor="background1" w:themeShade="BF"/>
              <w:bottom w:val="nil"/>
              <w:right w:val="nil"/>
            </w:tcBorders>
            <w:vAlign w:val="bottom"/>
          </w:tcPr>
          <w:p w14:paraId="3F8BA4FD" w14:textId="633A40B9" w:rsidR="0034237C" w:rsidRPr="0049066B" w:rsidRDefault="0034237C" w:rsidP="0034237C">
            <w:pPr>
              <w:pStyle w:val="ColorfulList-Accent11"/>
              <w:tabs>
                <w:tab w:val="left" w:pos="0"/>
                <w:tab w:val="left" w:pos="284"/>
              </w:tabs>
              <w:ind w:left="0" w:right="-90"/>
              <w:jc w:val="center"/>
              <w:rPr>
                <w:rFonts w:ascii="Arial" w:hAnsi="Arial" w:cs="Arial"/>
                <w:i/>
                <w:color w:val="FF0000"/>
                <w:lang w:val="el-GR"/>
              </w:rPr>
            </w:pPr>
            <w:r w:rsidRPr="00E72EB0">
              <w:rPr>
                <w:rFonts w:ascii="Arial" w:hAnsi="Arial" w:cs="Arial"/>
                <w:i/>
                <w:iCs/>
                <w:color w:val="000000"/>
                <w:lang w:eastAsia="el-GR"/>
              </w:rPr>
              <w:t>97</w:t>
            </w:r>
            <w:r w:rsidR="00774840">
              <w:rPr>
                <w:rFonts w:ascii="Arial" w:hAnsi="Arial" w:cs="Arial"/>
                <w:i/>
                <w:iCs/>
                <w:color w:val="000000"/>
                <w:lang w:eastAsia="el-GR"/>
              </w:rPr>
              <w:t>,</w:t>
            </w:r>
            <w:r w:rsidRPr="00E72EB0">
              <w:rPr>
                <w:rFonts w:ascii="Arial" w:hAnsi="Arial" w:cs="Arial"/>
                <w:i/>
                <w:iCs/>
                <w:color w:val="000000"/>
                <w:lang w:eastAsia="el-GR"/>
              </w:rPr>
              <w:t>2</w:t>
            </w:r>
          </w:p>
        </w:tc>
        <w:tc>
          <w:tcPr>
            <w:tcW w:w="1066" w:type="dxa"/>
            <w:tcBorders>
              <w:top w:val="nil"/>
              <w:left w:val="nil"/>
              <w:bottom w:val="nil"/>
              <w:right w:val="nil"/>
            </w:tcBorders>
            <w:vAlign w:val="bottom"/>
          </w:tcPr>
          <w:p w14:paraId="6B454457" w14:textId="28A2E4A5" w:rsidR="0034237C" w:rsidRPr="00D83072" w:rsidRDefault="0034237C" w:rsidP="0034237C">
            <w:pPr>
              <w:pStyle w:val="ColorfulList-Accent11"/>
              <w:tabs>
                <w:tab w:val="left" w:pos="0"/>
                <w:tab w:val="left" w:pos="284"/>
              </w:tabs>
              <w:ind w:left="0" w:right="-90"/>
              <w:jc w:val="center"/>
              <w:rPr>
                <w:rFonts w:ascii="Arial" w:hAnsi="Arial" w:cs="Arial"/>
                <w:i/>
                <w:color w:val="FF0000"/>
              </w:rPr>
            </w:pPr>
            <w:r w:rsidRPr="00E72EB0">
              <w:rPr>
                <w:rFonts w:ascii="Arial" w:hAnsi="Arial" w:cs="Arial"/>
                <w:i/>
                <w:iCs/>
                <w:color w:val="000000"/>
                <w:lang w:eastAsia="el-GR"/>
              </w:rPr>
              <w:t>70</w:t>
            </w:r>
            <w:r w:rsidR="00774840">
              <w:rPr>
                <w:rFonts w:ascii="Arial" w:hAnsi="Arial" w:cs="Arial"/>
                <w:i/>
                <w:iCs/>
                <w:color w:val="000000"/>
                <w:lang w:eastAsia="el-GR"/>
              </w:rPr>
              <w:t>,</w:t>
            </w:r>
            <w:r w:rsidRPr="00E72EB0">
              <w:rPr>
                <w:rFonts w:ascii="Arial" w:hAnsi="Arial" w:cs="Arial"/>
                <w:i/>
                <w:iCs/>
                <w:color w:val="000000"/>
                <w:lang w:eastAsia="el-GR"/>
              </w:rPr>
              <w:t>5</w:t>
            </w:r>
          </w:p>
        </w:tc>
        <w:tc>
          <w:tcPr>
            <w:tcW w:w="1146" w:type="dxa"/>
            <w:tcBorders>
              <w:top w:val="nil"/>
              <w:left w:val="nil"/>
              <w:bottom w:val="nil"/>
              <w:right w:val="single" w:sz="2" w:space="0" w:color="BFBFBF" w:themeColor="background1" w:themeShade="BF"/>
            </w:tcBorders>
            <w:vAlign w:val="bottom"/>
          </w:tcPr>
          <w:p w14:paraId="5B5BB3EA" w14:textId="4FF0AB71" w:rsidR="0034237C" w:rsidRPr="00D83072" w:rsidRDefault="0034237C" w:rsidP="0034237C">
            <w:pPr>
              <w:pStyle w:val="ColorfulList-Accent11"/>
              <w:tabs>
                <w:tab w:val="left" w:pos="0"/>
                <w:tab w:val="left" w:pos="284"/>
              </w:tabs>
              <w:ind w:left="0" w:right="-90"/>
              <w:jc w:val="center"/>
              <w:rPr>
                <w:rFonts w:ascii="Arial" w:hAnsi="Arial" w:cs="Arial"/>
                <w:i/>
                <w:color w:val="FF0000"/>
              </w:rPr>
            </w:pPr>
            <w:r>
              <w:rPr>
                <w:rFonts w:ascii="Arial" w:hAnsi="Arial" w:cs="Arial"/>
                <w:i/>
                <w:iCs/>
                <w:color w:val="000000"/>
                <w:lang w:eastAsia="el-GR"/>
              </w:rPr>
              <w:t>+37</w:t>
            </w:r>
            <w:r w:rsidR="00774840">
              <w:rPr>
                <w:rFonts w:ascii="Arial" w:hAnsi="Arial" w:cs="Arial"/>
                <w:i/>
                <w:iCs/>
                <w:color w:val="000000"/>
                <w:lang w:eastAsia="el-GR"/>
              </w:rPr>
              <w:t>,</w:t>
            </w:r>
            <w:r>
              <w:rPr>
                <w:rFonts w:ascii="Arial" w:hAnsi="Arial" w:cs="Arial"/>
                <w:i/>
                <w:iCs/>
                <w:color w:val="000000"/>
                <w:lang w:eastAsia="el-GR"/>
              </w:rPr>
              <w:t>9%</w:t>
            </w:r>
          </w:p>
        </w:tc>
        <w:tc>
          <w:tcPr>
            <w:tcW w:w="1146" w:type="dxa"/>
            <w:tcBorders>
              <w:top w:val="nil"/>
              <w:left w:val="single" w:sz="2" w:space="0" w:color="BFBFBF" w:themeColor="background1" w:themeShade="BF"/>
              <w:bottom w:val="nil"/>
              <w:right w:val="nil"/>
            </w:tcBorders>
            <w:vAlign w:val="bottom"/>
          </w:tcPr>
          <w:p w14:paraId="68121104" w14:textId="69F3EFD5" w:rsidR="0034237C" w:rsidRPr="00D83072" w:rsidRDefault="0034237C" w:rsidP="0034237C">
            <w:pPr>
              <w:pStyle w:val="ColorfulList-Accent11"/>
              <w:tabs>
                <w:tab w:val="left" w:pos="0"/>
                <w:tab w:val="left" w:pos="284"/>
              </w:tabs>
              <w:ind w:left="0" w:right="-90"/>
              <w:jc w:val="center"/>
              <w:rPr>
                <w:rFonts w:ascii="Arial" w:hAnsi="Arial" w:cs="Arial"/>
                <w:i/>
                <w:color w:val="FF0000"/>
              </w:rPr>
            </w:pPr>
            <w:r>
              <w:rPr>
                <w:rFonts w:ascii="Arial" w:hAnsi="Arial" w:cs="Arial"/>
                <w:i/>
                <w:iCs/>
                <w:color w:val="000000"/>
                <w:lang w:eastAsia="el-GR"/>
              </w:rPr>
              <w:t>279</w:t>
            </w:r>
            <w:r w:rsidR="00774840">
              <w:rPr>
                <w:rFonts w:ascii="Arial" w:hAnsi="Arial" w:cs="Arial"/>
                <w:i/>
                <w:iCs/>
                <w:color w:val="000000"/>
                <w:lang w:eastAsia="el-GR"/>
              </w:rPr>
              <w:t>,</w:t>
            </w:r>
            <w:r>
              <w:rPr>
                <w:rFonts w:ascii="Arial" w:hAnsi="Arial" w:cs="Arial"/>
                <w:i/>
                <w:iCs/>
                <w:color w:val="000000"/>
                <w:lang w:eastAsia="el-GR"/>
              </w:rPr>
              <w:t>7</w:t>
            </w:r>
          </w:p>
        </w:tc>
        <w:tc>
          <w:tcPr>
            <w:tcW w:w="1146" w:type="dxa"/>
            <w:tcBorders>
              <w:top w:val="nil"/>
              <w:left w:val="nil"/>
              <w:bottom w:val="nil"/>
              <w:right w:val="nil"/>
            </w:tcBorders>
            <w:vAlign w:val="bottom"/>
          </w:tcPr>
          <w:p w14:paraId="1823ADB5" w14:textId="3A763829" w:rsidR="0034237C" w:rsidRPr="00D83072" w:rsidRDefault="0034237C" w:rsidP="0034237C">
            <w:pPr>
              <w:pStyle w:val="ColorfulList-Accent11"/>
              <w:tabs>
                <w:tab w:val="left" w:pos="0"/>
                <w:tab w:val="left" w:pos="284"/>
              </w:tabs>
              <w:ind w:left="0" w:right="-90"/>
              <w:jc w:val="center"/>
              <w:rPr>
                <w:rFonts w:ascii="Arial" w:hAnsi="Arial" w:cs="Arial"/>
                <w:i/>
                <w:color w:val="FF0000"/>
              </w:rPr>
            </w:pPr>
            <w:r>
              <w:rPr>
                <w:rFonts w:ascii="Arial" w:hAnsi="Arial" w:cs="Arial"/>
                <w:i/>
                <w:iCs/>
                <w:color w:val="000000"/>
                <w:lang w:eastAsia="el-GR"/>
              </w:rPr>
              <w:t>225</w:t>
            </w:r>
            <w:r w:rsidR="00774840">
              <w:rPr>
                <w:rFonts w:ascii="Arial" w:hAnsi="Arial" w:cs="Arial"/>
                <w:i/>
                <w:iCs/>
                <w:color w:val="000000"/>
                <w:lang w:eastAsia="el-GR"/>
              </w:rPr>
              <w:t>,</w:t>
            </w:r>
            <w:r>
              <w:rPr>
                <w:rFonts w:ascii="Arial" w:hAnsi="Arial" w:cs="Arial"/>
                <w:i/>
                <w:iCs/>
                <w:color w:val="000000"/>
                <w:lang w:eastAsia="el-GR"/>
              </w:rPr>
              <w:t>9</w:t>
            </w:r>
          </w:p>
        </w:tc>
        <w:tc>
          <w:tcPr>
            <w:tcW w:w="1146" w:type="dxa"/>
            <w:tcBorders>
              <w:top w:val="nil"/>
              <w:left w:val="nil"/>
              <w:bottom w:val="nil"/>
              <w:right w:val="nil"/>
            </w:tcBorders>
            <w:vAlign w:val="bottom"/>
          </w:tcPr>
          <w:p w14:paraId="2BCBB7C5" w14:textId="37F8E6F6" w:rsidR="0034237C" w:rsidRPr="00D83072" w:rsidRDefault="0034237C" w:rsidP="0034237C">
            <w:pPr>
              <w:pStyle w:val="ColorfulList-Accent11"/>
              <w:tabs>
                <w:tab w:val="left" w:pos="0"/>
                <w:tab w:val="left" w:pos="284"/>
              </w:tabs>
              <w:ind w:left="0" w:right="-90"/>
              <w:jc w:val="center"/>
              <w:rPr>
                <w:rFonts w:ascii="Arial" w:hAnsi="Arial" w:cs="Arial"/>
                <w:i/>
                <w:color w:val="FF0000"/>
              </w:rPr>
            </w:pPr>
            <w:r w:rsidRPr="00242478">
              <w:rPr>
                <w:rFonts w:ascii="Arial" w:hAnsi="Arial" w:cs="Arial"/>
                <w:i/>
                <w:iCs/>
                <w:color w:val="000000"/>
                <w:lang w:eastAsia="el-GR"/>
              </w:rPr>
              <w:t>+23</w:t>
            </w:r>
            <w:r w:rsidR="00774840" w:rsidRPr="00242478">
              <w:rPr>
                <w:rFonts w:ascii="Arial" w:hAnsi="Arial" w:cs="Arial"/>
                <w:i/>
                <w:iCs/>
                <w:color w:val="000000"/>
                <w:lang w:eastAsia="el-GR"/>
              </w:rPr>
              <w:t>,</w:t>
            </w:r>
            <w:r w:rsidRPr="00242478">
              <w:rPr>
                <w:rFonts w:ascii="Arial" w:hAnsi="Arial" w:cs="Arial"/>
                <w:i/>
                <w:iCs/>
                <w:color w:val="000000"/>
                <w:lang w:eastAsia="el-GR"/>
              </w:rPr>
              <w:t>8%</w:t>
            </w:r>
          </w:p>
        </w:tc>
      </w:tr>
      <w:tr w:rsidR="0034237C" w:rsidRPr="00D83072" w14:paraId="46DC3670" w14:textId="77777777" w:rsidTr="008B4539">
        <w:trPr>
          <w:trHeight w:val="308"/>
        </w:trPr>
        <w:tc>
          <w:tcPr>
            <w:tcW w:w="3762" w:type="dxa"/>
            <w:tcBorders>
              <w:top w:val="nil"/>
              <w:bottom w:val="nil"/>
              <w:right w:val="single" w:sz="2" w:space="0" w:color="BFBFBF" w:themeColor="background1" w:themeShade="BF"/>
            </w:tcBorders>
            <w:shd w:val="clear" w:color="auto" w:fill="F2F2F2" w:themeFill="background1" w:themeFillShade="F2"/>
            <w:vAlign w:val="center"/>
          </w:tcPr>
          <w:p w14:paraId="1447095D" w14:textId="77777777" w:rsidR="0034237C" w:rsidRPr="00CC5811" w:rsidRDefault="0034237C" w:rsidP="0034237C">
            <w:pPr>
              <w:pStyle w:val="ColorfulList-Accent11"/>
              <w:tabs>
                <w:tab w:val="left" w:pos="0"/>
                <w:tab w:val="left" w:pos="284"/>
              </w:tabs>
              <w:ind w:left="0" w:right="-90"/>
              <w:rPr>
                <w:rFonts w:ascii="Arial" w:hAnsi="Arial" w:cs="Arial"/>
                <w:b/>
                <w:color w:val="000000" w:themeColor="text1"/>
              </w:rPr>
            </w:pPr>
            <w:r>
              <w:rPr>
                <w:rFonts w:ascii="Arial" w:hAnsi="Arial" w:cs="Arial"/>
                <w:b/>
                <w:color w:val="000000" w:themeColor="text1"/>
                <w:lang w:val="el-GR"/>
              </w:rPr>
              <w:t>Προσαρμοσμένο</w:t>
            </w:r>
            <w:r w:rsidRPr="008263F5">
              <w:rPr>
                <w:rFonts w:ascii="Arial" w:hAnsi="Arial" w:cs="Arial"/>
                <w:b/>
                <w:color w:val="000000" w:themeColor="text1"/>
              </w:rPr>
              <w:t xml:space="preserve"> EBITDA (AL)</w:t>
            </w:r>
          </w:p>
        </w:tc>
        <w:tc>
          <w:tcPr>
            <w:tcW w:w="1027" w:type="dxa"/>
            <w:tcBorders>
              <w:top w:val="nil"/>
              <w:left w:val="single" w:sz="2" w:space="0" w:color="BFBFBF" w:themeColor="background1" w:themeShade="BF"/>
              <w:bottom w:val="nil"/>
              <w:right w:val="nil"/>
            </w:tcBorders>
            <w:shd w:val="clear" w:color="auto" w:fill="F2F2F2" w:themeFill="background1" w:themeFillShade="F2"/>
            <w:vAlign w:val="center"/>
          </w:tcPr>
          <w:p w14:paraId="043EEFFC" w14:textId="2C382C0A" w:rsidR="0034237C" w:rsidRPr="00D83072" w:rsidRDefault="0034237C" w:rsidP="0034237C">
            <w:pPr>
              <w:pStyle w:val="ColorfulList-Accent11"/>
              <w:tabs>
                <w:tab w:val="left" w:pos="0"/>
                <w:tab w:val="left" w:pos="284"/>
              </w:tabs>
              <w:ind w:left="0" w:right="-90"/>
              <w:jc w:val="center"/>
              <w:rPr>
                <w:rFonts w:ascii="Arial" w:hAnsi="Arial" w:cs="Arial"/>
                <w:b/>
                <w:color w:val="FF0000"/>
              </w:rPr>
            </w:pPr>
            <w:r>
              <w:rPr>
                <w:rFonts w:ascii="Arial" w:hAnsi="Arial" w:cs="Arial"/>
                <w:b/>
                <w:bCs/>
                <w:color w:val="000000"/>
              </w:rPr>
              <w:t>360</w:t>
            </w:r>
            <w:r w:rsidR="00774840">
              <w:rPr>
                <w:rFonts w:ascii="Arial" w:hAnsi="Arial" w:cs="Arial"/>
                <w:b/>
                <w:bCs/>
                <w:color w:val="000000"/>
              </w:rPr>
              <w:t>,</w:t>
            </w:r>
            <w:r>
              <w:rPr>
                <w:rFonts w:ascii="Arial" w:hAnsi="Arial" w:cs="Arial"/>
                <w:b/>
                <w:bCs/>
                <w:color w:val="000000"/>
              </w:rPr>
              <w:t xml:space="preserve">1 </w:t>
            </w:r>
          </w:p>
        </w:tc>
        <w:tc>
          <w:tcPr>
            <w:tcW w:w="1066" w:type="dxa"/>
            <w:tcBorders>
              <w:top w:val="nil"/>
              <w:left w:val="nil"/>
              <w:bottom w:val="nil"/>
              <w:right w:val="nil"/>
            </w:tcBorders>
            <w:shd w:val="clear" w:color="auto" w:fill="F2F2F2" w:themeFill="background1" w:themeFillShade="F2"/>
            <w:vAlign w:val="center"/>
          </w:tcPr>
          <w:p w14:paraId="7D8936B0" w14:textId="11E31A02" w:rsidR="0034237C" w:rsidRPr="00D83072" w:rsidRDefault="0034237C" w:rsidP="0034237C">
            <w:pPr>
              <w:pStyle w:val="ColorfulList-Accent11"/>
              <w:tabs>
                <w:tab w:val="left" w:pos="0"/>
                <w:tab w:val="left" w:pos="284"/>
              </w:tabs>
              <w:ind w:left="0" w:right="-90"/>
              <w:jc w:val="center"/>
              <w:rPr>
                <w:rFonts w:ascii="Arial" w:hAnsi="Arial" w:cs="Arial"/>
                <w:b/>
                <w:color w:val="FF0000"/>
              </w:rPr>
            </w:pPr>
            <w:r>
              <w:rPr>
                <w:rFonts w:ascii="Arial" w:hAnsi="Arial" w:cs="Arial"/>
                <w:b/>
                <w:bCs/>
                <w:color w:val="000000"/>
              </w:rPr>
              <w:t>353</w:t>
            </w:r>
            <w:r w:rsidR="00774840">
              <w:rPr>
                <w:rFonts w:ascii="Arial" w:hAnsi="Arial" w:cs="Arial"/>
                <w:b/>
                <w:bCs/>
                <w:color w:val="000000"/>
              </w:rPr>
              <w:t>,</w:t>
            </w:r>
            <w:r>
              <w:rPr>
                <w:rFonts w:ascii="Arial" w:hAnsi="Arial" w:cs="Arial"/>
                <w:b/>
                <w:bCs/>
                <w:color w:val="000000"/>
              </w:rPr>
              <w:t xml:space="preserve">1 </w:t>
            </w:r>
          </w:p>
        </w:tc>
        <w:tc>
          <w:tcPr>
            <w:tcW w:w="1146" w:type="dxa"/>
            <w:tcBorders>
              <w:top w:val="nil"/>
              <w:left w:val="nil"/>
              <w:bottom w:val="nil"/>
              <w:right w:val="single" w:sz="2" w:space="0" w:color="BFBFBF" w:themeColor="background1" w:themeShade="BF"/>
            </w:tcBorders>
            <w:shd w:val="clear" w:color="auto" w:fill="F2F2F2" w:themeFill="background1" w:themeFillShade="F2"/>
            <w:vAlign w:val="center"/>
          </w:tcPr>
          <w:p w14:paraId="1403FB38" w14:textId="787FFB5D" w:rsidR="0034237C" w:rsidRPr="00D83072" w:rsidRDefault="0034237C" w:rsidP="0034237C">
            <w:pPr>
              <w:pStyle w:val="ColorfulList-Accent11"/>
              <w:tabs>
                <w:tab w:val="left" w:pos="0"/>
                <w:tab w:val="left" w:pos="284"/>
              </w:tabs>
              <w:ind w:left="0" w:right="-90"/>
              <w:jc w:val="center"/>
              <w:rPr>
                <w:rFonts w:ascii="Arial" w:hAnsi="Arial" w:cs="Arial"/>
                <w:b/>
                <w:color w:val="FF0000"/>
              </w:rPr>
            </w:pPr>
            <w:r>
              <w:rPr>
                <w:rFonts w:ascii="Arial" w:hAnsi="Arial" w:cs="Arial"/>
                <w:b/>
                <w:bCs/>
                <w:color w:val="000000"/>
              </w:rPr>
              <w:t>+2</w:t>
            </w:r>
            <w:r w:rsidR="00774840">
              <w:rPr>
                <w:rFonts w:ascii="Arial" w:hAnsi="Arial" w:cs="Arial"/>
                <w:b/>
                <w:bCs/>
                <w:color w:val="000000"/>
              </w:rPr>
              <w:t>,</w:t>
            </w:r>
            <w:r>
              <w:rPr>
                <w:rFonts w:ascii="Arial" w:hAnsi="Arial" w:cs="Arial"/>
                <w:b/>
                <w:bCs/>
                <w:color w:val="000000"/>
              </w:rPr>
              <w:t>0%</w:t>
            </w:r>
          </w:p>
        </w:tc>
        <w:tc>
          <w:tcPr>
            <w:tcW w:w="1146" w:type="dxa"/>
            <w:tcBorders>
              <w:top w:val="nil"/>
              <w:left w:val="single" w:sz="2" w:space="0" w:color="BFBFBF" w:themeColor="background1" w:themeShade="BF"/>
              <w:bottom w:val="nil"/>
              <w:right w:val="nil"/>
            </w:tcBorders>
            <w:shd w:val="clear" w:color="auto" w:fill="F2F2F2" w:themeFill="background1" w:themeFillShade="F2"/>
            <w:vAlign w:val="center"/>
          </w:tcPr>
          <w:p w14:paraId="77C961CA" w14:textId="50D36692" w:rsidR="0034237C" w:rsidRPr="00D83072" w:rsidRDefault="0034237C" w:rsidP="0034237C">
            <w:pPr>
              <w:pStyle w:val="ColorfulList-Accent11"/>
              <w:tabs>
                <w:tab w:val="left" w:pos="0"/>
                <w:tab w:val="left" w:pos="284"/>
              </w:tabs>
              <w:ind w:left="0" w:right="-90"/>
              <w:jc w:val="center"/>
              <w:rPr>
                <w:rFonts w:ascii="Arial" w:hAnsi="Arial" w:cs="Arial"/>
                <w:b/>
                <w:bCs/>
                <w:color w:val="FF0000"/>
              </w:rPr>
            </w:pPr>
            <w:r>
              <w:rPr>
                <w:rFonts w:ascii="Arial" w:hAnsi="Arial" w:cs="Arial"/>
                <w:b/>
                <w:bCs/>
                <w:color w:val="000000"/>
              </w:rPr>
              <w:t>1</w:t>
            </w:r>
            <w:r w:rsidR="00774840">
              <w:rPr>
                <w:rFonts w:ascii="Arial" w:hAnsi="Arial" w:cs="Arial"/>
                <w:b/>
                <w:bCs/>
                <w:color w:val="000000"/>
              </w:rPr>
              <w:t>.</w:t>
            </w:r>
            <w:r>
              <w:rPr>
                <w:rFonts w:ascii="Arial" w:hAnsi="Arial" w:cs="Arial"/>
                <w:b/>
                <w:bCs/>
                <w:color w:val="000000"/>
              </w:rPr>
              <w:t>022</w:t>
            </w:r>
            <w:r w:rsidR="00774840">
              <w:rPr>
                <w:rFonts w:ascii="Arial" w:hAnsi="Arial" w:cs="Arial"/>
                <w:b/>
                <w:bCs/>
                <w:color w:val="000000"/>
              </w:rPr>
              <w:t>,</w:t>
            </w:r>
            <w:r>
              <w:rPr>
                <w:rFonts w:ascii="Arial" w:hAnsi="Arial" w:cs="Arial"/>
                <w:b/>
                <w:bCs/>
                <w:color w:val="000000"/>
              </w:rPr>
              <w:t xml:space="preserve">4 </w:t>
            </w:r>
          </w:p>
        </w:tc>
        <w:tc>
          <w:tcPr>
            <w:tcW w:w="1146" w:type="dxa"/>
            <w:tcBorders>
              <w:top w:val="nil"/>
              <w:left w:val="nil"/>
              <w:bottom w:val="nil"/>
              <w:right w:val="nil"/>
            </w:tcBorders>
            <w:shd w:val="clear" w:color="auto" w:fill="F2F2F2" w:themeFill="background1" w:themeFillShade="F2"/>
            <w:vAlign w:val="center"/>
          </w:tcPr>
          <w:p w14:paraId="03B98968" w14:textId="422400BA" w:rsidR="0034237C" w:rsidRPr="00D83072" w:rsidRDefault="0034237C" w:rsidP="0034237C">
            <w:pPr>
              <w:pStyle w:val="ColorfulList-Accent11"/>
              <w:tabs>
                <w:tab w:val="left" w:pos="0"/>
                <w:tab w:val="left" w:pos="284"/>
              </w:tabs>
              <w:ind w:left="0" w:right="-90"/>
              <w:jc w:val="center"/>
              <w:rPr>
                <w:rFonts w:ascii="Arial" w:hAnsi="Arial" w:cs="Arial"/>
                <w:b/>
                <w:bCs/>
                <w:color w:val="FF0000"/>
              </w:rPr>
            </w:pPr>
            <w:r>
              <w:rPr>
                <w:rFonts w:ascii="Arial" w:hAnsi="Arial" w:cs="Arial"/>
                <w:b/>
                <w:bCs/>
                <w:color w:val="000000"/>
              </w:rPr>
              <w:t>1</w:t>
            </w:r>
            <w:r w:rsidR="00774840">
              <w:rPr>
                <w:rFonts w:ascii="Arial" w:hAnsi="Arial" w:cs="Arial"/>
                <w:b/>
                <w:bCs/>
                <w:color w:val="000000"/>
              </w:rPr>
              <w:t>.</w:t>
            </w:r>
            <w:r>
              <w:rPr>
                <w:rFonts w:ascii="Arial" w:hAnsi="Arial" w:cs="Arial"/>
                <w:b/>
                <w:bCs/>
                <w:color w:val="000000"/>
              </w:rPr>
              <w:t>003</w:t>
            </w:r>
            <w:r w:rsidR="00774840">
              <w:rPr>
                <w:rFonts w:ascii="Arial" w:hAnsi="Arial" w:cs="Arial"/>
                <w:b/>
                <w:bCs/>
                <w:color w:val="000000"/>
              </w:rPr>
              <w:t>,</w:t>
            </w:r>
            <w:r>
              <w:rPr>
                <w:rFonts w:ascii="Arial" w:hAnsi="Arial" w:cs="Arial"/>
                <w:b/>
                <w:bCs/>
                <w:color w:val="000000"/>
              </w:rPr>
              <w:t xml:space="preserve">1 </w:t>
            </w:r>
          </w:p>
        </w:tc>
        <w:tc>
          <w:tcPr>
            <w:tcW w:w="1146" w:type="dxa"/>
            <w:tcBorders>
              <w:top w:val="nil"/>
              <w:left w:val="nil"/>
              <w:bottom w:val="nil"/>
              <w:right w:val="nil"/>
            </w:tcBorders>
            <w:shd w:val="clear" w:color="auto" w:fill="F2F2F2" w:themeFill="background1" w:themeFillShade="F2"/>
            <w:vAlign w:val="center"/>
          </w:tcPr>
          <w:p w14:paraId="7FD91A8B" w14:textId="07625A28" w:rsidR="0034237C" w:rsidRPr="00D83072" w:rsidRDefault="0034237C" w:rsidP="0034237C">
            <w:pPr>
              <w:pStyle w:val="ColorfulList-Accent11"/>
              <w:tabs>
                <w:tab w:val="left" w:pos="0"/>
                <w:tab w:val="left" w:pos="284"/>
              </w:tabs>
              <w:ind w:left="0" w:right="-90"/>
              <w:jc w:val="center"/>
              <w:rPr>
                <w:rFonts w:ascii="Arial" w:hAnsi="Arial" w:cs="Arial"/>
                <w:b/>
                <w:bCs/>
                <w:color w:val="FF0000"/>
              </w:rPr>
            </w:pPr>
            <w:r>
              <w:rPr>
                <w:rFonts w:ascii="Arial" w:hAnsi="Arial" w:cs="Arial"/>
                <w:b/>
                <w:bCs/>
                <w:color w:val="000000"/>
              </w:rPr>
              <w:t>+1</w:t>
            </w:r>
            <w:r w:rsidR="00774840">
              <w:rPr>
                <w:rFonts w:ascii="Arial" w:hAnsi="Arial" w:cs="Arial"/>
                <w:b/>
                <w:bCs/>
                <w:color w:val="000000"/>
              </w:rPr>
              <w:t>,</w:t>
            </w:r>
            <w:r>
              <w:rPr>
                <w:rFonts w:ascii="Arial" w:hAnsi="Arial" w:cs="Arial"/>
                <w:b/>
                <w:bCs/>
                <w:color w:val="000000"/>
              </w:rPr>
              <w:t>9%</w:t>
            </w:r>
          </w:p>
        </w:tc>
      </w:tr>
      <w:tr w:rsidR="0034237C" w:rsidRPr="00D83072" w14:paraId="791C3C9A" w14:textId="77777777" w:rsidTr="008B4539">
        <w:trPr>
          <w:trHeight w:val="295"/>
        </w:trPr>
        <w:tc>
          <w:tcPr>
            <w:tcW w:w="3762" w:type="dxa"/>
            <w:tcBorders>
              <w:top w:val="nil"/>
              <w:bottom w:val="single" w:sz="2" w:space="0" w:color="808080" w:themeColor="background1" w:themeShade="80"/>
              <w:right w:val="single" w:sz="2" w:space="0" w:color="BFBFBF" w:themeColor="background1" w:themeShade="BF"/>
            </w:tcBorders>
            <w:shd w:val="clear" w:color="auto" w:fill="F2F2F2" w:themeFill="background1" w:themeFillShade="F2"/>
            <w:vAlign w:val="center"/>
          </w:tcPr>
          <w:p w14:paraId="09214EEB" w14:textId="77777777" w:rsidR="0034237C" w:rsidRPr="00CC5811" w:rsidRDefault="0034237C" w:rsidP="0034237C">
            <w:pPr>
              <w:pStyle w:val="ColorfulList-Accent11"/>
              <w:tabs>
                <w:tab w:val="left" w:pos="0"/>
                <w:tab w:val="left" w:pos="284"/>
              </w:tabs>
              <w:ind w:left="0" w:right="-90"/>
              <w:rPr>
                <w:rFonts w:ascii="Arial" w:hAnsi="Arial" w:cs="Arial"/>
                <w:b/>
                <w:i/>
                <w:color w:val="000000" w:themeColor="text1"/>
              </w:rPr>
            </w:pPr>
            <w:r>
              <w:rPr>
                <w:rFonts w:ascii="Arial" w:hAnsi="Arial" w:cs="Arial"/>
                <w:b/>
                <w:i/>
                <w:color w:val="000000" w:themeColor="text1"/>
                <w:lang w:val="el-GR"/>
              </w:rPr>
              <w:t>Περιθώριο</w:t>
            </w:r>
            <w:r w:rsidRPr="008263F5">
              <w:rPr>
                <w:rFonts w:ascii="Arial" w:hAnsi="Arial" w:cs="Arial"/>
                <w:b/>
                <w:i/>
                <w:color w:val="000000" w:themeColor="text1"/>
              </w:rPr>
              <w:t xml:space="preserve"> (%)</w:t>
            </w:r>
          </w:p>
        </w:tc>
        <w:tc>
          <w:tcPr>
            <w:tcW w:w="1027" w:type="dxa"/>
            <w:tcBorders>
              <w:top w:val="nil"/>
              <w:left w:val="single" w:sz="2" w:space="0" w:color="BFBFBF" w:themeColor="background1" w:themeShade="BF"/>
              <w:bottom w:val="single" w:sz="2" w:space="0" w:color="808080" w:themeColor="background1" w:themeShade="80"/>
              <w:right w:val="nil"/>
            </w:tcBorders>
            <w:shd w:val="clear" w:color="auto" w:fill="F2F2F2" w:themeFill="background1" w:themeFillShade="F2"/>
            <w:vAlign w:val="center"/>
          </w:tcPr>
          <w:p w14:paraId="5DDD33E2" w14:textId="44BDC01B" w:rsidR="0034237C" w:rsidRPr="00D83072" w:rsidRDefault="0034237C" w:rsidP="0034237C">
            <w:pPr>
              <w:pStyle w:val="ColorfulList-Accent11"/>
              <w:tabs>
                <w:tab w:val="left" w:pos="0"/>
                <w:tab w:val="left" w:pos="284"/>
              </w:tabs>
              <w:ind w:left="0" w:right="-90"/>
              <w:jc w:val="center"/>
              <w:rPr>
                <w:rFonts w:ascii="Arial" w:hAnsi="Arial" w:cs="Arial"/>
                <w:b/>
                <w:i/>
                <w:color w:val="FF0000"/>
              </w:rPr>
            </w:pPr>
            <w:r>
              <w:rPr>
                <w:rFonts w:ascii="Arial" w:hAnsi="Arial" w:cs="Arial"/>
                <w:b/>
                <w:bCs/>
                <w:i/>
                <w:iCs/>
                <w:color w:val="000000"/>
              </w:rPr>
              <w:t>41</w:t>
            </w:r>
            <w:r w:rsidR="00774840">
              <w:rPr>
                <w:rFonts w:ascii="Arial" w:hAnsi="Arial" w:cs="Arial"/>
                <w:b/>
                <w:bCs/>
                <w:i/>
                <w:iCs/>
                <w:color w:val="000000"/>
              </w:rPr>
              <w:t>,</w:t>
            </w:r>
            <w:r>
              <w:rPr>
                <w:rFonts w:ascii="Arial" w:hAnsi="Arial" w:cs="Arial"/>
                <w:b/>
                <w:bCs/>
                <w:i/>
                <w:iCs/>
                <w:color w:val="000000"/>
              </w:rPr>
              <w:t>2%</w:t>
            </w:r>
          </w:p>
        </w:tc>
        <w:tc>
          <w:tcPr>
            <w:tcW w:w="1066" w:type="dxa"/>
            <w:tcBorders>
              <w:top w:val="nil"/>
              <w:left w:val="nil"/>
              <w:bottom w:val="single" w:sz="2" w:space="0" w:color="808080" w:themeColor="background1" w:themeShade="80"/>
              <w:right w:val="nil"/>
            </w:tcBorders>
            <w:shd w:val="clear" w:color="auto" w:fill="F2F2F2" w:themeFill="background1" w:themeFillShade="F2"/>
            <w:vAlign w:val="center"/>
          </w:tcPr>
          <w:p w14:paraId="0A1C4CE2" w14:textId="442A8A25" w:rsidR="0034237C" w:rsidRPr="00D83072" w:rsidRDefault="0034237C" w:rsidP="0034237C">
            <w:pPr>
              <w:pStyle w:val="ColorfulList-Accent11"/>
              <w:tabs>
                <w:tab w:val="left" w:pos="0"/>
                <w:tab w:val="left" w:pos="284"/>
              </w:tabs>
              <w:ind w:left="0" w:right="-90"/>
              <w:jc w:val="center"/>
              <w:rPr>
                <w:rFonts w:ascii="Arial" w:hAnsi="Arial" w:cs="Arial"/>
                <w:b/>
                <w:i/>
                <w:color w:val="FF0000"/>
              </w:rPr>
            </w:pPr>
            <w:r>
              <w:rPr>
                <w:rFonts w:ascii="Arial" w:hAnsi="Arial" w:cs="Arial"/>
                <w:b/>
                <w:bCs/>
                <w:i/>
                <w:iCs/>
                <w:color w:val="000000"/>
              </w:rPr>
              <w:t>42</w:t>
            </w:r>
            <w:r w:rsidR="00774840">
              <w:rPr>
                <w:rFonts w:ascii="Arial" w:hAnsi="Arial" w:cs="Arial"/>
                <w:b/>
                <w:bCs/>
                <w:i/>
                <w:iCs/>
                <w:color w:val="000000"/>
              </w:rPr>
              <w:t>,</w:t>
            </w:r>
            <w:r>
              <w:rPr>
                <w:rFonts w:ascii="Arial" w:hAnsi="Arial" w:cs="Arial"/>
                <w:b/>
                <w:bCs/>
                <w:i/>
                <w:iCs/>
                <w:color w:val="000000"/>
              </w:rPr>
              <w:t>4%</w:t>
            </w:r>
          </w:p>
        </w:tc>
        <w:tc>
          <w:tcPr>
            <w:tcW w:w="1146" w:type="dxa"/>
            <w:tcBorders>
              <w:top w:val="nil"/>
              <w:left w:val="nil"/>
              <w:bottom w:val="single" w:sz="2" w:space="0" w:color="808080" w:themeColor="background1" w:themeShade="80"/>
              <w:right w:val="single" w:sz="2" w:space="0" w:color="BFBFBF" w:themeColor="background1" w:themeShade="BF"/>
            </w:tcBorders>
            <w:shd w:val="clear" w:color="auto" w:fill="F2F2F2" w:themeFill="background1" w:themeFillShade="F2"/>
            <w:vAlign w:val="center"/>
          </w:tcPr>
          <w:p w14:paraId="7ABE1D2A" w14:textId="2B85E851" w:rsidR="0034237C" w:rsidRPr="00933233" w:rsidRDefault="0034237C" w:rsidP="0034237C">
            <w:pPr>
              <w:pStyle w:val="ColorfulList-Accent11"/>
              <w:tabs>
                <w:tab w:val="left" w:pos="0"/>
                <w:tab w:val="left" w:pos="284"/>
              </w:tabs>
              <w:ind w:left="0" w:right="-90"/>
              <w:jc w:val="center"/>
              <w:rPr>
                <w:rFonts w:ascii="Arial" w:hAnsi="Arial" w:cs="Arial"/>
                <w:b/>
                <w:i/>
                <w:color w:val="FF0000"/>
                <w:lang w:val="el-GR"/>
              </w:rPr>
            </w:pPr>
            <w:r>
              <w:rPr>
                <w:rFonts w:ascii="Arial" w:hAnsi="Arial" w:cs="Arial"/>
                <w:b/>
                <w:bCs/>
                <w:i/>
                <w:iCs/>
                <w:color w:val="000000"/>
              </w:rPr>
              <w:t>-1</w:t>
            </w:r>
            <w:r w:rsidR="00774840">
              <w:rPr>
                <w:rFonts w:ascii="Arial" w:hAnsi="Arial" w:cs="Arial"/>
                <w:b/>
                <w:bCs/>
                <w:i/>
                <w:iCs/>
                <w:color w:val="000000"/>
              </w:rPr>
              <w:t>,</w:t>
            </w:r>
            <w:r>
              <w:rPr>
                <w:rFonts w:ascii="Arial" w:hAnsi="Arial" w:cs="Arial"/>
                <w:b/>
                <w:bCs/>
                <w:i/>
                <w:iCs/>
                <w:color w:val="000000"/>
              </w:rPr>
              <w:t>2</w:t>
            </w:r>
            <w:proofErr w:type="spellStart"/>
            <w:r w:rsidR="00283104">
              <w:rPr>
                <w:rFonts w:ascii="Arial" w:hAnsi="Arial" w:cs="Arial"/>
                <w:b/>
                <w:bCs/>
                <w:i/>
                <w:iCs/>
                <w:color w:val="000000"/>
                <w:lang w:val="el-GR"/>
              </w:rPr>
              <w:t>μον</w:t>
            </w:r>
            <w:proofErr w:type="spellEnd"/>
          </w:p>
        </w:tc>
        <w:tc>
          <w:tcPr>
            <w:tcW w:w="1146" w:type="dxa"/>
            <w:tcBorders>
              <w:top w:val="nil"/>
              <w:left w:val="single" w:sz="2" w:space="0" w:color="BFBFBF" w:themeColor="background1" w:themeShade="BF"/>
              <w:bottom w:val="single" w:sz="2" w:space="0" w:color="808080" w:themeColor="background1" w:themeShade="80"/>
              <w:right w:val="nil"/>
            </w:tcBorders>
            <w:shd w:val="clear" w:color="auto" w:fill="F2F2F2" w:themeFill="background1" w:themeFillShade="F2"/>
            <w:vAlign w:val="center"/>
          </w:tcPr>
          <w:p w14:paraId="6A71D4C2" w14:textId="00B465BA" w:rsidR="0034237C" w:rsidRPr="00D83072" w:rsidRDefault="0034237C" w:rsidP="0034237C">
            <w:pPr>
              <w:pStyle w:val="ColorfulList-Accent11"/>
              <w:tabs>
                <w:tab w:val="left" w:pos="0"/>
                <w:tab w:val="left" w:pos="284"/>
              </w:tabs>
              <w:ind w:left="0" w:right="-90"/>
              <w:jc w:val="center"/>
              <w:rPr>
                <w:rFonts w:ascii="Arial" w:hAnsi="Arial" w:cs="Arial"/>
                <w:b/>
                <w:bCs/>
                <w:i/>
                <w:iCs/>
                <w:color w:val="FF0000"/>
              </w:rPr>
            </w:pPr>
            <w:r>
              <w:rPr>
                <w:rFonts w:ascii="Arial" w:hAnsi="Arial" w:cs="Arial"/>
                <w:b/>
                <w:bCs/>
                <w:i/>
                <w:iCs/>
                <w:color w:val="000000"/>
              </w:rPr>
              <w:t>40</w:t>
            </w:r>
            <w:r w:rsidR="00774840">
              <w:rPr>
                <w:rFonts w:ascii="Arial" w:hAnsi="Arial" w:cs="Arial"/>
                <w:b/>
                <w:bCs/>
                <w:i/>
                <w:iCs/>
                <w:color w:val="000000"/>
              </w:rPr>
              <w:t>,</w:t>
            </w:r>
            <w:r>
              <w:rPr>
                <w:rFonts w:ascii="Arial" w:hAnsi="Arial" w:cs="Arial"/>
                <w:b/>
                <w:bCs/>
                <w:i/>
                <w:iCs/>
                <w:color w:val="000000"/>
              </w:rPr>
              <w:t>1%</w:t>
            </w:r>
          </w:p>
        </w:tc>
        <w:tc>
          <w:tcPr>
            <w:tcW w:w="1146" w:type="dxa"/>
            <w:tcBorders>
              <w:top w:val="nil"/>
              <w:left w:val="nil"/>
              <w:bottom w:val="single" w:sz="2" w:space="0" w:color="808080" w:themeColor="background1" w:themeShade="80"/>
              <w:right w:val="nil"/>
            </w:tcBorders>
            <w:shd w:val="clear" w:color="auto" w:fill="F2F2F2" w:themeFill="background1" w:themeFillShade="F2"/>
            <w:vAlign w:val="center"/>
          </w:tcPr>
          <w:p w14:paraId="2BFC0419" w14:textId="1348AF43" w:rsidR="0034237C" w:rsidRPr="00D83072" w:rsidRDefault="0034237C" w:rsidP="0034237C">
            <w:pPr>
              <w:pStyle w:val="ColorfulList-Accent11"/>
              <w:tabs>
                <w:tab w:val="left" w:pos="0"/>
                <w:tab w:val="left" w:pos="284"/>
              </w:tabs>
              <w:ind w:left="0" w:right="-90"/>
              <w:jc w:val="center"/>
              <w:rPr>
                <w:rFonts w:ascii="Arial" w:hAnsi="Arial" w:cs="Arial"/>
                <w:b/>
                <w:bCs/>
                <w:i/>
                <w:iCs/>
                <w:color w:val="FF0000"/>
              </w:rPr>
            </w:pPr>
            <w:r>
              <w:rPr>
                <w:rFonts w:ascii="Arial" w:hAnsi="Arial" w:cs="Arial"/>
                <w:b/>
                <w:bCs/>
                <w:i/>
                <w:iCs/>
                <w:color w:val="000000"/>
              </w:rPr>
              <w:t>40</w:t>
            </w:r>
            <w:r w:rsidR="00774840">
              <w:rPr>
                <w:rFonts w:ascii="Arial" w:hAnsi="Arial" w:cs="Arial"/>
                <w:b/>
                <w:bCs/>
                <w:i/>
                <w:iCs/>
                <w:color w:val="000000"/>
              </w:rPr>
              <w:t>,</w:t>
            </w:r>
            <w:r>
              <w:rPr>
                <w:rFonts w:ascii="Arial" w:hAnsi="Arial" w:cs="Arial"/>
                <w:b/>
                <w:bCs/>
                <w:i/>
                <w:iCs/>
                <w:color w:val="000000"/>
              </w:rPr>
              <w:t>3%</w:t>
            </w:r>
          </w:p>
        </w:tc>
        <w:tc>
          <w:tcPr>
            <w:tcW w:w="1146" w:type="dxa"/>
            <w:tcBorders>
              <w:top w:val="nil"/>
              <w:left w:val="nil"/>
              <w:bottom w:val="single" w:sz="2" w:space="0" w:color="808080" w:themeColor="background1" w:themeShade="80"/>
              <w:right w:val="nil"/>
            </w:tcBorders>
            <w:shd w:val="clear" w:color="auto" w:fill="F2F2F2" w:themeFill="background1" w:themeFillShade="F2"/>
            <w:vAlign w:val="center"/>
          </w:tcPr>
          <w:p w14:paraId="7E3602F4" w14:textId="7415D131" w:rsidR="0034237C" w:rsidRPr="00933233" w:rsidRDefault="0034237C" w:rsidP="0034237C">
            <w:pPr>
              <w:pStyle w:val="ColorfulList-Accent11"/>
              <w:tabs>
                <w:tab w:val="left" w:pos="0"/>
                <w:tab w:val="left" w:pos="284"/>
              </w:tabs>
              <w:ind w:left="0" w:right="-90"/>
              <w:jc w:val="center"/>
              <w:rPr>
                <w:rFonts w:ascii="Arial" w:hAnsi="Arial" w:cs="Arial"/>
                <w:b/>
                <w:i/>
                <w:color w:val="FF0000"/>
                <w:lang w:val="el-GR"/>
              </w:rPr>
            </w:pPr>
            <w:r>
              <w:rPr>
                <w:rFonts w:ascii="Arial" w:hAnsi="Arial" w:cs="Arial"/>
                <w:b/>
                <w:bCs/>
                <w:i/>
                <w:iCs/>
                <w:color w:val="000000"/>
              </w:rPr>
              <w:t>-0</w:t>
            </w:r>
            <w:r w:rsidR="00774840">
              <w:rPr>
                <w:rFonts w:ascii="Arial" w:hAnsi="Arial" w:cs="Arial"/>
                <w:b/>
                <w:bCs/>
                <w:i/>
                <w:iCs/>
                <w:color w:val="000000"/>
              </w:rPr>
              <w:t>,</w:t>
            </w:r>
            <w:r>
              <w:rPr>
                <w:rFonts w:ascii="Arial" w:hAnsi="Arial" w:cs="Arial"/>
                <w:b/>
                <w:bCs/>
                <w:i/>
                <w:iCs/>
                <w:color w:val="000000"/>
              </w:rPr>
              <w:t>2</w:t>
            </w:r>
            <w:proofErr w:type="spellStart"/>
            <w:r w:rsidR="00283104">
              <w:rPr>
                <w:rFonts w:ascii="Arial" w:hAnsi="Arial" w:cs="Arial"/>
                <w:b/>
                <w:bCs/>
                <w:i/>
                <w:iCs/>
                <w:color w:val="000000"/>
                <w:lang w:val="el-GR"/>
              </w:rPr>
              <w:t>μον</w:t>
            </w:r>
            <w:proofErr w:type="spellEnd"/>
          </w:p>
        </w:tc>
      </w:tr>
    </w:tbl>
    <w:p w14:paraId="0D065C03" w14:textId="66AFFFC4" w:rsidR="00F26251" w:rsidRDefault="00D739F0" w:rsidP="00970A4F">
      <w:pPr>
        <w:spacing w:before="120" w:line="280" w:lineRule="exact"/>
        <w:jc w:val="both"/>
        <w:rPr>
          <w:rFonts w:ascii="Arial" w:hAnsi="Arial" w:cs="Arial"/>
          <w:color w:val="FF0000"/>
        </w:rPr>
      </w:pPr>
      <w:r w:rsidRPr="006E0597">
        <w:rPr>
          <w:rFonts w:ascii="Arial" w:hAnsi="Arial" w:cs="Arial"/>
          <w:b/>
          <w:bCs/>
        </w:rPr>
        <w:t xml:space="preserve">Τα </w:t>
      </w:r>
      <w:r w:rsidR="00F925FC">
        <w:rPr>
          <w:rFonts w:ascii="Arial" w:hAnsi="Arial" w:cs="Arial"/>
          <w:b/>
          <w:bCs/>
        </w:rPr>
        <w:t>έσοδα</w:t>
      </w:r>
      <w:r w:rsidRPr="006E0597">
        <w:rPr>
          <w:rFonts w:ascii="Arial" w:hAnsi="Arial" w:cs="Arial"/>
          <w:b/>
          <w:bCs/>
        </w:rPr>
        <w:t xml:space="preserve"> </w:t>
      </w:r>
      <w:r w:rsidR="00FF3775" w:rsidRPr="006E0597">
        <w:rPr>
          <w:rFonts w:ascii="Arial" w:hAnsi="Arial" w:cs="Arial"/>
        </w:rPr>
        <w:t>τ</w:t>
      </w:r>
      <w:r w:rsidR="00D7271A" w:rsidRPr="006E0597">
        <w:rPr>
          <w:rFonts w:ascii="Arial" w:hAnsi="Arial" w:cs="Arial"/>
        </w:rPr>
        <w:t xml:space="preserve">ο </w:t>
      </w:r>
      <w:r w:rsidR="00FC3E73">
        <w:rPr>
          <w:rFonts w:ascii="Arial" w:hAnsi="Arial" w:cs="Arial"/>
        </w:rPr>
        <w:t>Γ</w:t>
      </w:r>
      <w:r w:rsidR="009E285A" w:rsidRPr="006E0597">
        <w:rPr>
          <w:rFonts w:ascii="Arial" w:hAnsi="Arial" w:cs="Arial"/>
        </w:rPr>
        <w:t>’ τρίμηνο του 202</w:t>
      </w:r>
      <w:r w:rsidR="00E01B94">
        <w:rPr>
          <w:rFonts w:ascii="Arial" w:hAnsi="Arial" w:cs="Arial"/>
        </w:rPr>
        <w:t>5</w:t>
      </w:r>
      <w:r w:rsidR="009B0FF7">
        <w:rPr>
          <w:rFonts w:ascii="Arial" w:hAnsi="Arial" w:cs="Arial"/>
        </w:rPr>
        <w:t xml:space="preserve"> </w:t>
      </w:r>
      <w:r w:rsidR="00970A4F">
        <w:rPr>
          <w:rFonts w:ascii="Arial" w:hAnsi="Arial" w:cs="Arial"/>
        </w:rPr>
        <w:t>ανήλθαν</w:t>
      </w:r>
      <w:r w:rsidR="00A73516">
        <w:rPr>
          <w:rFonts w:ascii="Arial" w:hAnsi="Arial" w:cs="Arial"/>
        </w:rPr>
        <w:t xml:space="preserve"> στα €</w:t>
      </w:r>
      <w:r w:rsidR="00970A4F">
        <w:rPr>
          <w:rFonts w:ascii="Arial" w:hAnsi="Arial" w:cs="Arial"/>
        </w:rPr>
        <w:t>874,0</w:t>
      </w:r>
      <w:r w:rsidR="00A73516">
        <w:rPr>
          <w:rFonts w:ascii="Arial" w:hAnsi="Arial" w:cs="Arial"/>
        </w:rPr>
        <w:t xml:space="preserve"> εκατ.</w:t>
      </w:r>
      <w:r w:rsidR="00211F45">
        <w:rPr>
          <w:rFonts w:ascii="Arial" w:hAnsi="Arial" w:cs="Arial"/>
        </w:rPr>
        <w:t>,</w:t>
      </w:r>
      <w:r w:rsidR="00970A4F">
        <w:rPr>
          <w:rFonts w:ascii="Arial" w:hAnsi="Arial" w:cs="Arial"/>
        </w:rPr>
        <w:t xml:space="preserve"> καταγράφοντας ισχυρή αύξηση </w:t>
      </w:r>
      <w:r w:rsidR="00970A4F" w:rsidRPr="00970A4F">
        <w:rPr>
          <w:rFonts w:ascii="Arial" w:hAnsi="Arial" w:cs="Arial"/>
        </w:rPr>
        <w:t xml:space="preserve">5% </w:t>
      </w:r>
      <w:r w:rsidR="00970A4F">
        <w:rPr>
          <w:rFonts w:ascii="Arial" w:hAnsi="Arial" w:cs="Arial"/>
        </w:rPr>
        <w:t xml:space="preserve">σε ετήσια βάση, </w:t>
      </w:r>
      <w:r w:rsidR="00970A4F" w:rsidRPr="005F7C20">
        <w:rPr>
          <w:rFonts w:ascii="Arial" w:hAnsi="Arial" w:cs="Arial"/>
        </w:rPr>
        <w:t xml:space="preserve">καθώς η </w:t>
      </w:r>
      <w:r w:rsidR="00970A4F" w:rsidRPr="00B836FC">
        <w:rPr>
          <w:rFonts w:ascii="Arial" w:hAnsi="Arial" w:cs="Arial"/>
        </w:rPr>
        <w:t xml:space="preserve">θετική δυναμική στην κινητή, τις υπηρεσίες τηλεόρασης, </w:t>
      </w:r>
      <w:r w:rsidR="00970A4F">
        <w:rPr>
          <w:rFonts w:ascii="Arial" w:hAnsi="Arial" w:cs="Arial"/>
        </w:rPr>
        <w:t xml:space="preserve">τις </w:t>
      </w:r>
      <w:proofErr w:type="spellStart"/>
      <w:r w:rsidR="00970A4F">
        <w:rPr>
          <w:rFonts w:ascii="Arial" w:hAnsi="Arial" w:cs="Arial"/>
        </w:rPr>
        <w:t>ευρυζωνικές</w:t>
      </w:r>
      <w:proofErr w:type="spellEnd"/>
      <w:r w:rsidR="00970A4F">
        <w:rPr>
          <w:rFonts w:ascii="Arial" w:hAnsi="Arial" w:cs="Arial"/>
        </w:rPr>
        <w:t xml:space="preserve"> υπηρεσίες </w:t>
      </w:r>
      <w:r w:rsidR="00970A4F" w:rsidRPr="00B836FC">
        <w:rPr>
          <w:rFonts w:ascii="Arial" w:hAnsi="Arial" w:cs="Arial"/>
        </w:rPr>
        <w:t xml:space="preserve">και τα έργα ICT </w:t>
      </w:r>
      <w:r w:rsidR="00970A4F">
        <w:rPr>
          <w:rFonts w:ascii="Arial" w:hAnsi="Arial" w:cs="Arial"/>
        </w:rPr>
        <w:t>αντιστάθμισε</w:t>
      </w:r>
      <w:r w:rsidR="00970A4F" w:rsidRPr="00B836FC">
        <w:rPr>
          <w:rFonts w:ascii="Arial" w:hAnsi="Arial" w:cs="Arial"/>
        </w:rPr>
        <w:t xml:space="preserve"> </w:t>
      </w:r>
      <w:r w:rsidR="00970A4F">
        <w:rPr>
          <w:rFonts w:ascii="Arial" w:hAnsi="Arial" w:cs="Arial"/>
        </w:rPr>
        <w:t xml:space="preserve">την </w:t>
      </w:r>
      <w:r w:rsidR="00970A4F" w:rsidRPr="00B836FC">
        <w:rPr>
          <w:rFonts w:ascii="Arial" w:hAnsi="Arial" w:cs="Arial"/>
        </w:rPr>
        <w:t>πτώση στις υπηρεσίες χονδρικής</w:t>
      </w:r>
      <w:r w:rsidR="00970A4F">
        <w:rPr>
          <w:rFonts w:ascii="Arial" w:hAnsi="Arial" w:cs="Arial"/>
        </w:rPr>
        <w:t xml:space="preserve"> και στα έσοδα από συσκευές</w:t>
      </w:r>
      <w:r w:rsidR="00970A4F" w:rsidRPr="00D1525F">
        <w:rPr>
          <w:rFonts w:ascii="Arial" w:hAnsi="Arial" w:cs="Arial"/>
        </w:rPr>
        <w:t>.</w:t>
      </w:r>
      <w:r w:rsidR="00970A4F">
        <w:rPr>
          <w:rFonts w:ascii="Arial" w:hAnsi="Arial" w:cs="Arial"/>
          <w:color w:val="FF0000"/>
        </w:rPr>
        <w:t xml:space="preserve"> </w:t>
      </w:r>
    </w:p>
    <w:p w14:paraId="033F692A" w14:textId="463F5A68" w:rsidR="00C12BD0" w:rsidRPr="00F26251" w:rsidRDefault="00C12BD0" w:rsidP="0001494A">
      <w:pPr>
        <w:pStyle w:val="ListParagraph"/>
        <w:numPr>
          <w:ilvl w:val="0"/>
          <w:numId w:val="18"/>
        </w:numPr>
        <w:spacing w:line="276" w:lineRule="auto"/>
        <w:ind w:left="284"/>
        <w:jc w:val="both"/>
        <w:rPr>
          <w:rFonts w:ascii="Arial" w:hAnsi="Arial" w:cs="Arial"/>
          <w:sz w:val="22"/>
          <w:lang w:val="el-GR"/>
        </w:rPr>
      </w:pPr>
      <w:r w:rsidRPr="00F26251">
        <w:rPr>
          <w:rFonts w:ascii="Arial" w:hAnsi="Arial" w:cs="Arial"/>
          <w:b/>
          <w:bCs/>
          <w:sz w:val="22"/>
          <w:lang w:val="el-GR"/>
        </w:rPr>
        <w:t>Τα έσοδα από υπηρεσίες λιανικής σταθερής</w:t>
      </w:r>
      <w:r w:rsidRPr="00F26251">
        <w:rPr>
          <w:rFonts w:ascii="Arial" w:hAnsi="Arial" w:cs="Arial"/>
          <w:sz w:val="22"/>
          <w:lang w:val="el-GR"/>
        </w:rPr>
        <w:t xml:space="preserve"> </w:t>
      </w:r>
      <w:r w:rsidR="00F65740" w:rsidRPr="00F26251">
        <w:rPr>
          <w:rFonts w:ascii="Arial" w:hAnsi="Arial" w:cs="Arial"/>
          <w:sz w:val="22"/>
          <w:lang w:val="el-GR"/>
        </w:rPr>
        <w:t xml:space="preserve">συνεχίζουν </w:t>
      </w:r>
      <w:r w:rsidR="004214F1">
        <w:rPr>
          <w:rFonts w:ascii="Arial" w:hAnsi="Arial" w:cs="Arial"/>
          <w:sz w:val="22"/>
          <w:lang w:val="el-GR"/>
        </w:rPr>
        <w:t>να αυξάνονται δυναμικά</w:t>
      </w:r>
      <w:r w:rsidR="00904E26">
        <w:rPr>
          <w:rFonts w:ascii="Arial" w:hAnsi="Arial" w:cs="Arial"/>
          <w:sz w:val="22"/>
          <w:lang w:val="el-GR"/>
        </w:rPr>
        <w:t>,</w:t>
      </w:r>
      <w:r w:rsidR="00943CDC">
        <w:rPr>
          <w:rFonts w:ascii="Arial" w:hAnsi="Arial" w:cs="Arial"/>
          <w:sz w:val="22"/>
          <w:lang w:val="el-GR"/>
        </w:rPr>
        <w:t xml:space="preserve"> </w:t>
      </w:r>
      <w:r w:rsidR="004214F1">
        <w:rPr>
          <w:rFonts w:ascii="Arial" w:hAnsi="Arial" w:cs="Arial"/>
          <w:sz w:val="22"/>
          <w:lang w:val="el-GR"/>
        </w:rPr>
        <w:t>κατά</w:t>
      </w:r>
      <w:r w:rsidRPr="00F26251" w:rsidDel="004214F1">
        <w:rPr>
          <w:rFonts w:ascii="Arial" w:hAnsi="Arial" w:cs="Arial"/>
          <w:sz w:val="22"/>
          <w:lang w:val="el-GR"/>
        </w:rPr>
        <w:t xml:space="preserve"> </w:t>
      </w:r>
      <w:r w:rsidR="00F65740" w:rsidRPr="00F26251">
        <w:rPr>
          <w:rFonts w:ascii="Arial" w:hAnsi="Arial" w:cs="Arial"/>
          <w:sz w:val="22"/>
          <w:lang w:val="el-GR"/>
        </w:rPr>
        <w:t>1,3</w:t>
      </w:r>
      <w:r w:rsidRPr="00F26251">
        <w:rPr>
          <w:rFonts w:ascii="Arial" w:hAnsi="Arial" w:cs="Arial"/>
          <w:sz w:val="22"/>
          <w:lang w:val="el-GR"/>
        </w:rPr>
        <w:t xml:space="preserve">% </w:t>
      </w:r>
      <w:r w:rsidR="00F9168E">
        <w:rPr>
          <w:rFonts w:ascii="Arial" w:hAnsi="Arial" w:cs="Arial"/>
          <w:sz w:val="22"/>
          <w:lang w:val="el-GR"/>
        </w:rPr>
        <w:t xml:space="preserve">συγκριτικά με 0,6% το προηγούμενο τρίμηνο, </w:t>
      </w:r>
      <w:r w:rsidRPr="00F26251">
        <w:rPr>
          <w:rFonts w:ascii="Arial" w:hAnsi="Arial" w:cs="Arial"/>
          <w:sz w:val="22"/>
          <w:lang w:val="el-GR"/>
        </w:rPr>
        <w:t>μετά από αρκετά τρίμηνα πτώσης ή στασιμότητας.</w:t>
      </w:r>
      <w:r w:rsidR="00F65740" w:rsidRPr="00F26251">
        <w:rPr>
          <w:rFonts w:ascii="Arial" w:hAnsi="Arial" w:cs="Arial"/>
          <w:sz w:val="22"/>
          <w:lang w:val="el-GR"/>
        </w:rPr>
        <w:t xml:space="preserve"> Το διψήφιο ποσοστό ανάπτυξης στις υπηρεσίες τηλεόρασης, </w:t>
      </w:r>
      <w:r w:rsidRPr="00F26251">
        <w:rPr>
          <w:rFonts w:ascii="Arial" w:hAnsi="Arial" w:cs="Arial"/>
          <w:sz w:val="22"/>
          <w:lang w:val="el-GR"/>
        </w:rPr>
        <w:t xml:space="preserve">ο θετικός αντίκτυπος από το </w:t>
      </w:r>
      <w:proofErr w:type="spellStart"/>
      <w:r w:rsidRPr="00F26251">
        <w:rPr>
          <w:rFonts w:ascii="Arial" w:hAnsi="Arial" w:cs="Arial"/>
          <w:sz w:val="22"/>
          <w:lang w:val="el-GR"/>
        </w:rPr>
        <w:t>Gigabit</w:t>
      </w:r>
      <w:proofErr w:type="spellEnd"/>
      <w:r w:rsidRPr="00F26251">
        <w:rPr>
          <w:rFonts w:ascii="Arial" w:hAnsi="Arial" w:cs="Arial"/>
          <w:sz w:val="22"/>
          <w:lang w:val="el-GR"/>
        </w:rPr>
        <w:t xml:space="preserve"> </w:t>
      </w:r>
      <w:proofErr w:type="spellStart"/>
      <w:r w:rsidRPr="00F26251">
        <w:rPr>
          <w:rFonts w:ascii="Arial" w:hAnsi="Arial" w:cs="Arial"/>
          <w:sz w:val="22"/>
          <w:lang w:val="el-GR"/>
        </w:rPr>
        <w:t>Voucher</w:t>
      </w:r>
      <w:proofErr w:type="spellEnd"/>
      <w:r w:rsidRPr="00F26251">
        <w:rPr>
          <w:rFonts w:ascii="Arial" w:hAnsi="Arial" w:cs="Arial"/>
          <w:sz w:val="22"/>
          <w:lang w:val="el-GR"/>
        </w:rPr>
        <w:t xml:space="preserve"> για συνδέσεις FTTH σε συνδυασμό με την επιταχυνόμενη ανάπτυξη της υποδομής FTTH, καθώς και η υπηρεσία FWA που λανσαρίστηκε στις αρχές του έτους, υποστηρίζουν τα έσοδα από υπηρεσίες λιανικής σταθερής. </w:t>
      </w:r>
    </w:p>
    <w:p w14:paraId="32B216EC" w14:textId="1936EC9F" w:rsidR="00C12BD0" w:rsidRPr="000F4841" w:rsidRDefault="00C12BD0" w:rsidP="00C12BD0">
      <w:pPr>
        <w:pStyle w:val="ListParagraph"/>
        <w:numPr>
          <w:ilvl w:val="0"/>
          <w:numId w:val="8"/>
        </w:numPr>
        <w:spacing w:before="120" w:after="160" w:line="280" w:lineRule="exact"/>
        <w:ind w:left="284" w:hanging="284"/>
        <w:contextualSpacing w:val="0"/>
        <w:jc w:val="both"/>
        <w:rPr>
          <w:rFonts w:ascii="Arial" w:hAnsi="Arial" w:cs="Arial"/>
          <w:sz w:val="22"/>
          <w:lang w:val="el-GR"/>
        </w:rPr>
      </w:pPr>
      <w:r w:rsidRPr="00FA50A0">
        <w:rPr>
          <w:rFonts w:ascii="Arial" w:hAnsi="Arial" w:cs="Arial"/>
          <w:b/>
          <w:bCs/>
          <w:sz w:val="22"/>
          <w:lang w:val="el-GR"/>
        </w:rPr>
        <w:lastRenderedPageBreak/>
        <w:t>Τα έσοδα από υπηρεσίες κινητής</w:t>
      </w:r>
      <w:r>
        <w:rPr>
          <w:rFonts w:ascii="Arial" w:hAnsi="Arial" w:cs="Arial"/>
          <w:b/>
          <w:bCs/>
          <w:sz w:val="22"/>
          <w:lang w:val="el-GR"/>
        </w:rPr>
        <w:t xml:space="preserve"> </w:t>
      </w:r>
      <w:r w:rsidRPr="00B06E17">
        <w:rPr>
          <w:rFonts w:ascii="Arial" w:hAnsi="Arial" w:cs="Arial"/>
          <w:sz w:val="22"/>
          <w:lang w:val="el-GR"/>
        </w:rPr>
        <w:t>αυξήθηκαν κατά 2</w:t>
      </w:r>
      <w:r w:rsidR="00A16959">
        <w:rPr>
          <w:rFonts w:ascii="Arial" w:hAnsi="Arial" w:cs="Arial"/>
          <w:sz w:val="22"/>
          <w:lang w:val="el-GR"/>
        </w:rPr>
        <w:t>,7</w:t>
      </w:r>
      <w:r w:rsidRPr="00B06E17">
        <w:rPr>
          <w:rFonts w:ascii="Arial" w:hAnsi="Arial" w:cs="Arial"/>
          <w:sz w:val="22"/>
          <w:lang w:val="el-GR"/>
        </w:rPr>
        <w:t xml:space="preserve">% στο </w:t>
      </w:r>
      <w:r w:rsidR="00A16959">
        <w:rPr>
          <w:rFonts w:ascii="Arial" w:hAnsi="Arial" w:cs="Arial"/>
          <w:sz w:val="22"/>
          <w:lang w:val="el-GR"/>
        </w:rPr>
        <w:t>Γ</w:t>
      </w:r>
      <w:r w:rsidRPr="00B06E17">
        <w:rPr>
          <w:rFonts w:ascii="Arial" w:hAnsi="Arial" w:cs="Arial"/>
          <w:sz w:val="22"/>
          <w:lang w:val="el-GR"/>
        </w:rPr>
        <w:t>’ τρίμηνο του 2025</w:t>
      </w:r>
      <w:r w:rsidR="00AD13DE">
        <w:rPr>
          <w:rFonts w:ascii="Arial" w:hAnsi="Arial" w:cs="Arial"/>
          <w:sz w:val="22"/>
          <w:lang w:val="el-GR"/>
        </w:rPr>
        <w:t>,</w:t>
      </w:r>
      <w:r w:rsidRPr="00FA50A0">
        <w:rPr>
          <w:rFonts w:ascii="Arial" w:hAnsi="Arial" w:cs="Arial"/>
          <w:b/>
          <w:bCs/>
          <w:sz w:val="22"/>
          <w:lang w:val="el-GR"/>
        </w:rPr>
        <w:t xml:space="preserve"> </w:t>
      </w:r>
      <w:r w:rsidR="00F331B9" w:rsidRPr="00F331B9">
        <w:rPr>
          <w:rFonts w:ascii="Arial" w:hAnsi="Arial" w:cs="Arial"/>
          <w:sz w:val="22"/>
          <w:lang w:val="el-GR"/>
        </w:rPr>
        <w:t xml:space="preserve">διατηρώντας τη θετική δυναμική των προηγούμενων </w:t>
      </w:r>
      <w:r w:rsidR="00F331B9" w:rsidRPr="00E45FDC">
        <w:rPr>
          <w:rFonts w:ascii="Arial" w:hAnsi="Arial" w:cs="Arial"/>
          <w:sz w:val="22"/>
          <w:lang w:val="el-GR"/>
        </w:rPr>
        <w:t>τριμήνων.</w:t>
      </w:r>
      <w:r w:rsidR="00DC7B2B" w:rsidRPr="00E45FDC">
        <w:rPr>
          <w:rFonts w:ascii="Arial" w:hAnsi="Arial" w:cs="Arial"/>
          <w:sz w:val="22"/>
          <w:lang w:val="el-GR"/>
        </w:rPr>
        <w:t xml:space="preserve"> </w:t>
      </w:r>
      <w:r w:rsidR="002D4D73">
        <w:rPr>
          <w:rFonts w:ascii="Arial" w:hAnsi="Arial" w:cs="Arial"/>
          <w:sz w:val="22"/>
          <w:lang w:val="el-GR"/>
        </w:rPr>
        <w:t xml:space="preserve">Ο τομέας των συμβολαίων συνεχίζει να </w:t>
      </w:r>
      <w:r w:rsidR="00B17FB0">
        <w:rPr>
          <w:rFonts w:ascii="Arial" w:hAnsi="Arial" w:cs="Arial"/>
          <w:sz w:val="22"/>
          <w:lang w:val="el-GR"/>
        </w:rPr>
        <w:t>ενισχύεται,</w:t>
      </w:r>
      <w:r w:rsidR="00DC7B2B" w:rsidRPr="00E45FDC">
        <w:rPr>
          <w:rFonts w:ascii="Arial" w:hAnsi="Arial" w:cs="Arial"/>
          <w:sz w:val="22"/>
          <w:lang w:val="el-GR"/>
        </w:rPr>
        <w:t xml:space="preserve"> </w:t>
      </w:r>
      <w:r w:rsidRPr="00E45FDC">
        <w:rPr>
          <w:rFonts w:ascii="Arial" w:hAnsi="Arial" w:cs="Arial"/>
          <w:sz w:val="22"/>
          <w:lang w:val="el-GR"/>
        </w:rPr>
        <w:t xml:space="preserve">κυρίως </w:t>
      </w:r>
      <w:r w:rsidR="00DC7B2B" w:rsidRPr="00E45FDC">
        <w:rPr>
          <w:rFonts w:ascii="Arial" w:hAnsi="Arial" w:cs="Arial"/>
          <w:sz w:val="22"/>
          <w:lang w:val="el-GR"/>
        </w:rPr>
        <w:t>χάρη σ</w:t>
      </w:r>
      <w:r w:rsidRPr="00E45FDC">
        <w:rPr>
          <w:rFonts w:ascii="Arial" w:hAnsi="Arial" w:cs="Arial"/>
          <w:sz w:val="22"/>
          <w:lang w:val="el-GR"/>
        </w:rPr>
        <w:t>τη μετάβαση πελατών καρτοκινητής σε υπηρεσίες συμβολαίου, καθώς</w:t>
      </w:r>
      <w:r w:rsidRPr="00FA50A0">
        <w:rPr>
          <w:rFonts w:ascii="Arial" w:hAnsi="Arial" w:cs="Arial"/>
          <w:sz w:val="22"/>
          <w:lang w:val="el-GR"/>
        </w:rPr>
        <w:t xml:space="preserve"> και τη μετάβαση των πελατών σε υπηρεσίες υψηλότερης αξίας. </w:t>
      </w:r>
      <w:r w:rsidRPr="00FE16F5">
        <w:rPr>
          <w:rFonts w:ascii="Arial" w:hAnsi="Arial" w:cs="Arial"/>
          <w:sz w:val="22"/>
          <w:lang w:val="el-GR"/>
        </w:rPr>
        <w:t xml:space="preserve">Επιπλέον, η Εταιρεία έχει τροποποιήσει το </w:t>
      </w:r>
      <w:proofErr w:type="spellStart"/>
      <w:r w:rsidRPr="00FE16F5">
        <w:rPr>
          <w:rFonts w:ascii="Arial" w:hAnsi="Arial" w:cs="Arial"/>
          <w:sz w:val="22"/>
          <w:lang w:val="el-GR"/>
        </w:rPr>
        <w:t>πορτφόλιο</w:t>
      </w:r>
      <w:proofErr w:type="spellEnd"/>
      <w:r w:rsidRPr="00FE16F5">
        <w:rPr>
          <w:rFonts w:ascii="Arial" w:hAnsi="Arial" w:cs="Arial"/>
          <w:sz w:val="22"/>
          <w:lang w:val="el-GR"/>
        </w:rPr>
        <w:t xml:space="preserve"> υπηρεσιών καρτοκινητής στα φυσικά της κανάλια, διαθέτοντας προτάσεις μεγαλύτερης αξίας,</w:t>
      </w:r>
      <w:r>
        <w:rPr>
          <w:rFonts w:ascii="Arial" w:hAnsi="Arial" w:cs="Arial"/>
          <w:sz w:val="22"/>
          <w:lang w:val="el-GR"/>
        </w:rPr>
        <w:t xml:space="preserve"> </w:t>
      </w:r>
      <w:r w:rsidRPr="00666F16">
        <w:rPr>
          <w:rFonts w:ascii="Arial" w:hAnsi="Arial" w:cs="Arial"/>
          <w:sz w:val="22"/>
          <w:lang w:val="el-GR"/>
        </w:rPr>
        <w:t xml:space="preserve">που </w:t>
      </w:r>
      <w:r w:rsidR="0015692B" w:rsidRPr="0015692B">
        <w:rPr>
          <w:rFonts w:ascii="Arial" w:hAnsi="Arial" w:cs="Arial"/>
          <w:sz w:val="22"/>
          <w:lang w:val="el-GR"/>
        </w:rPr>
        <w:t>υποστηρίζουν</w:t>
      </w:r>
      <w:r w:rsidRPr="00666F16">
        <w:rPr>
          <w:rFonts w:ascii="Arial" w:hAnsi="Arial" w:cs="Arial"/>
          <w:sz w:val="22"/>
          <w:lang w:val="el-GR"/>
        </w:rPr>
        <w:t xml:space="preserve"> περαιτέρω την ανάπτυξη της κινητής. </w:t>
      </w:r>
      <w:r>
        <w:rPr>
          <w:rFonts w:ascii="Arial" w:hAnsi="Arial" w:cs="Arial"/>
          <w:sz w:val="22"/>
          <w:lang w:val="el-GR"/>
        </w:rPr>
        <w:t>Η εν λόγω πρωτοβουλία</w:t>
      </w:r>
      <w:r w:rsidRPr="00D12F2A">
        <w:rPr>
          <w:rFonts w:ascii="Arial" w:hAnsi="Arial" w:cs="Arial"/>
          <w:sz w:val="22"/>
          <w:lang w:val="el-GR"/>
        </w:rPr>
        <w:t xml:space="preserve"> </w:t>
      </w:r>
      <w:r w:rsidRPr="0015692B">
        <w:rPr>
          <w:rFonts w:ascii="Arial" w:hAnsi="Arial" w:cs="Arial"/>
          <w:sz w:val="22"/>
          <w:lang w:val="el-GR"/>
        </w:rPr>
        <w:t>ενισχύ</w:t>
      </w:r>
      <w:r w:rsidR="0015692B" w:rsidRPr="0015692B">
        <w:rPr>
          <w:rFonts w:ascii="Arial" w:hAnsi="Arial" w:cs="Arial"/>
          <w:sz w:val="22"/>
          <w:lang w:val="el-GR"/>
        </w:rPr>
        <w:t>ει</w:t>
      </w:r>
      <w:r w:rsidRPr="00D12F2A">
        <w:rPr>
          <w:rFonts w:ascii="Arial" w:hAnsi="Arial" w:cs="Arial"/>
          <w:sz w:val="22"/>
          <w:lang w:val="el-GR"/>
        </w:rPr>
        <w:t xml:space="preserve"> το μέσο έσοδο ανά πελάτη (ARPU), ενώ ταυτόχρονα διευκολύνει τη σταδιακή μετακίνηση των πελατών </w:t>
      </w:r>
      <w:r>
        <w:rPr>
          <w:rFonts w:ascii="Arial" w:hAnsi="Arial" w:cs="Arial"/>
          <w:sz w:val="22"/>
          <w:lang w:val="el-GR"/>
        </w:rPr>
        <w:t>σε υπηρεσίες</w:t>
      </w:r>
      <w:r w:rsidRPr="00D12F2A">
        <w:rPr>
          <w:rFonts w:ascii="Arial" w:hAnsi="Arial" w:cs="Arial"/>
          <w:sz w:val="22"/>
          <w:lang w:val="el-GR"/>
        </w:rPr>
        <w:t xml:space="preserve"> συμβολαίου.</w:t>
      </w:r>
    </w:p>
    <w:p w14:paraId="75262B15" w14:textId="585B9C67" w:rsidR="00C12BD0" w:rsidRPr="00E03F8D" w:rsidRDefault="00C12BD0" w:rsidP="00C12BD0">
      <w:pPr>
        <w:pStyle w:val="ListParagraph"/>
        <w:numPr>
          <w:ilvl w:val="0"/>
          <w:numId w:val="8"/>
        </w:numPr>
        <w:spacing w:before="120" w:after="160" w:line="280" w:lineRule="exact"/>
        <w:ind w:left="284" w:hanging="284"/>
        <w:contextualSpacing w:val="0"/>
        <w:jc w:val="both"/>
        <w:rPr>
          <w:rFonts w:ascii="Arial" w:hAnsi="Arial" w:cs="Arial"/>
          <w:sz w:val="22"/>
          <w:lang w:val="el-GR"/>
        </w:rPr>
      </w:pPr>
      <w:r w:rsidRPr="00393FC5">
        <w:rPr>
          <w:rFonts w:ascii="Arial" w:hAnsi="Arial" w:cs="Arial"/>
          <w:b/>
          <w:bCs/>
          <w:sz w:val="22"/>
          <w:lang w:val="el-GR"/>
        </w:rPr>
        <w:t>Τα έσοδα από υπηρεσίες χονδρικής</w:t>
      </w:r>
      <w:r w:rsidRPr="00393FC5">
        <w:rPr>
          <w:rFonts w:ascii="Arial" w:hAnsi="Arial" w:cs="Arial"/>
          <w:sz w:val="22"/>
          <w:lang w:val="el-GR"/>
        </w:rPr>
        <w:t xml:space="preserve"> κατέγραψαν </w:t>
      </w:r>
      <w:r w:rsidR="00DC7B2B">
        <w:rPr>
          <w:rFonts w:ascii="Arial" w:hAnsi="Arial" w:cs="Arial"/>
          <w:sz w:val="22"/>
          <w:lang w:val="el-GR"/>
        </w:rPr>
        <w:t>αύξηση</w:t>
      </w:r>
      <w:r w:rsidRPr="00393FC5">
        <w:rPr>
          <w:rFonts w:ascii="Arial" w:hAnsi="Arial" w:cs="Arial"/>
          <w:sz w:val="22"/>
          <w:lang w:val="el-GR"/>
        </w:rPr>
        <w:t xml:space="preserve"> </w:t>
      </w:r>
      <w:r w:rsidR="00DC7B2B">
        <w:rPr>
          <w:rFonts w:ascii="Arial" w:hAnsi="Arial" w:cs="Arial"/>
          <w:sz w:val="22"/>
          <w:lang w:val="el-GR"/>
        </w:rPr>
        <w:t>4,2</w:t>
      </w:r>
      <w:r w:rsidRPr="00393FC5">
        <w:rPr>
          <w:rFonts w:ascii="Arial" w:hAnsi="Arial" w:cs="Arial"/>
          <w:sz w:val="22"/>
          <w:lang w:val="el-GR"/>
        </w:rPr>
        <w:t xml:space="preserve">% στο τρίμηνο, </w:t>
      </w:r>
      <w:r w:rsidR="00DC7B2B">
        <w:rPr>
          <w:rFonts w:ascii="Arial" w:hAnsi="Arial" w:cs="Arial"/>
          <w:sz w:val="22"/>
          <w:lang w:val="el-GR"/>
        </w:rPr>
        <w:t xml:space="preserve">καθώς η αύξηση των εσόδων </w:t>
      </w:r>
      <w:r w:rsidRPr="00393FC5">
        <w:rPr>
          <w:rFonts w:ascii="Arial" w:hAnsi="Arial" w:cs="Arial"/>
          <w:sz w:val="22"/>
          <w:lang w:val="el-GR"/>
        </w:rPr>
        <w:t xml:space="preserve">από διεθνή κίνηση </w:t>
      </w:r>
      <w:r w:rsidR="00DC7B2B">
        <w:rPr>
          <w:rFonts w:ascii="Arial" w:hAnsi="Arial" w:cs="Arial"/>
          <w:sz w:val="22"/>
          <w:lang w:val="el-GR"/>
        </w:rPr>
        <w:t>αντιστάθμισε τη συνεχιζόμενη</w:t>
      </w:r>
      <w:r w:rsidRPr="00393FC5">
        <w:rPr>
          <w:rFonts w:ascii="Arial" w:hAnsi="Arial" w:cs="Arial"/>
          <w:sz w:val="22"/>
          <w:lang w:val="el-GR"/>
        </w:rPr>
        <w:t xml:space="preserve"> πτώση στις εγχώριες ροές χονδρικής</w:t>
      </w:r>
      <w:r w:rsidR="00DC7B2B" w:rsidRPr="00DC7B2B">
        <w:rPr>
          <w:rFonts w:ascii="Arial" w:hAnsi="Arial" w:cs="Arial"/>
          <w:sz w:val="22"/>
          <w:lang w:val="el-GR"/>
        </w:rPr>
        <w:t xml:space="preserve"> </w:t>
      </w:r>
      <w:r w:rsidR="00DC7B2B" w:rsidRPr="00393FC5">
        <w:rPr>
          <w:rFonts w:ascii="Arial" w:hAnsi="Arial" w:cs="Arial"/>
          <w:sz w:val="22"/>
          <w:lang w:val="el-GR"/>
        </w:rPr>
        <w:t xml:space="preserve">που σχετίζεται με τις υποδομές δικτύων των υπόλοιπων </w:t>
      </w:r>
      <w:proofErr w:type="spellStart"/>
      <w:r w:rsidR="00DC7B2B" w:rsidRPr="00393FC5">
        <w:rPr>
          <w:rFonts w:ascii="Arial" w:hAnsi="Arial" w:cs="Arial"/>
          <w:sz w:val="22"/>
          <w:lang w:val="el-GR"/>
        </w:rPr>
        <w:t>παρόχων</w:t>
      </w:r>
      <w:proofErr w:type="spellEnd"/>
      <w:r w:rsidR="00DC7B2B">
        <w:rPr>
          <w:rFonts w:ascii="Arial" w:hAnsi="Arial" w:cs="Arial"/>
          <w:sz w:val="22"/>
          <w:lang w:val="el-GR"/>
        </w:rPr>
        <w:t xml:space="preserve"> σε όλη τη χώρα</w:t>
      </w:r>
      <w:r w:rsidR="00DC7B2B" w:rsidRPr="00E63271">
        <w:rPr>
          <w:rFonts w:ascii="Arial" w:hAnsi="Arial" w:cs="Arial"/>
          <w:sz w:val="22"/>
          <w:lang w:val="el-GR"/>
        </w:rPr>
        <w:t>.</w:t>
      </w:r>
      <w:r w:rsidRPr="00393FC5">
        <w:rPr>
          <w:rFonts w:ascii="Arial" w:hAnsi="Arial" w:cs="Arial"/>
          <w:sz w:val="22"/>
          <w:lang w:val="el-GR"/>
        </w:rPr>
        <w:t xml:space="preserve"> Η συμφωνία στην αγορά χονδρικής FTTH </w:t>
      </w:r>
      <w:r w:rsidR="00E63271">
        <w:rPr>
          <w:rFonts w:ascii="Arial" w:hAnsi="Arial" w:cs="Arial"/>
          <w:sz w:val="22"/>
          <w:lang w:val="el-GR"/>
        </w:rPr>
        <w:t xml:space="preserve">με τους βασικούς </w:t>
      </w:r>
      <w:proofErr w:type="spellStart"/>
      <w:r w:rsidR="00E63271">
        <w:rPr>
          <w:rFonts w:ascii="Arial" w:hAnsi="Arial" w:cs="Arial"/>
          <w:sz w:val="22"/>
          <w:lang w:val="el-GR"/>
        </w:rPr>
        <w:t>παρόχους</w:t>
      </w:r>
      <w:proofErr w:type="spellEnd"/>
      <w:r w:rsidR="00E63271">
        <w:rPr>
          <w:rFonts w:ascii="Arial" w:hAnsi="Arial" w:cs="Arial"/>
          <w:sz w:val="22"/>
          <w:lang w:val="el-GR"/>
        </w:rPr>
        <w:t xml:space="preserve"> τηλεπικοινωνιών </w:t>
      </w:r>
      <w:r w:rsidR="00830CBE">
        <w:rPr>
          <w:rFonts w:ascii="Arial" w:hAnsi="Arial" w:cs="Arial"/>
          <w:sz w:val="22"/>
          <w:lang w:val="el-GR"/>
        </w:rPr>
        <w:t>επιτρέπει</w:t>
      </w:r>
      <w:r w:rsidRPr="00393FC5">
        <w:rPr>
          <w:rFonts w:ascii="Arial" w:hAnsi="Arial" w:cs="Arial"/>
          <w:sz w:val="22"/>
          <w:lang w:val="el-GR"/>
        </w:rPr>
        <w:t xml:space="preserve"> στον ΟΤΕ να μετριάσει τον αρνητικό αντίκτυπο</w:t>
      </w:r>
      <w:r w:rsidR="00E63271" w:rsidRPr="00E03F8D">
        <w:rPr>
          <w:rFonts w:ascii="Arial" w:hAnsi="Arial" w:cs="Arial"/>
          <w:sz w:val="22"/>
          <w:lang w:val="el-GR"/>
        </w:rPr>
        <w:t>.</w:t>
      </w:r>
      <w:r w:rsidR="003E77BC" w:rsidRPr="00E03F8D">
        <w:rPr>
          <w:rFonts w:ascii="Arial" w:hAnsi="Arial" w:cs="Arial"/>
          <w:sz w:val="22"/>
          <w:lang w:val="el-GR"/>
        </w:rPr>
        <w:t xml:space="preserve"> </w:t>
      </w:r>
      <w:r w:rsidR="00A93A0D">
        <w:rPr>
          <w:rFonts w:ascii="Arial" w:hAnsi="Arial" w:cs="Arial"/>
          <w:sz w:val="22"/>
          <w:lang w:val="el-GR"/>
        </w:rPr>
        <w:t>Α</w:t>
      </w:r>
      <w:r w:rsidR="0063251A" w:rsidRPr="00E03F8D">
        <w:rPr>
          <w:rFonts w:ascii="Arial" w:hAnsi="Arial" w:cs="Arial"/>
          <w:sz w:val="22"/>
          <w:lang w:val="el-GR"/>
        </w:rPr>
        <w:t>π</w:t>
      </w:r>
      <w:r w:rsidR="004C2DC3" w:rsidRPr="00E03F8D">
        <w:rPr>
          <w:rFonts w:ascii="Arial" w:hAnsi="Arial" w:cs="Arial"/>
          <w:sz w:val="22"/>
          <w:lang w:val="el-GR"/>
        </w:rPr>
        <w:t>ό τ</w:t>
      </w:r>
      <w:r w:rsidR="00E26973" w:rsidRPr="00E03F8D">
        <w:rPr>
          <w:rFonts w:ascii="Arial" w:hAnsi="Arial" w:cs="Arial"/>
          <w:sz w:val="22"/>
          <w:lang w:val="el-GR"/>
        </w:rPr>
        <w:t>α συνολικά έσοδα</w:t>
      </w:r>
      <w:r w:rsidR="004C2DC3" w:rsidRPr="00E03F8D">
        <w:rPr>
          <w:rFonts w:ascii="Arial" w:hAnsi="Arial" w:cs="Arial"/>
          <w:sz w:val="22"/>
          <w:lang w:val="el-GR"/>
        </w:rPr>
        <w:t xml:space="preserve"> τ</w:t>
      </w:r>
      <w:r w:rsidR="00E26973" w:rsidRPr="00E03F8D">
        <w:rPr>
          <w:rFonts w:ascii="Arial" w:hAnsi="Arial" w:cs="Arial"/>
          <w:sz w:val="22"/>
          <w:lang w:val="el-GR"/>
        </w:rPr>
        <w:t>ων υπηρεσιών</w:t>
      </w:r>
      <w:r w:rsidR="004C2DC3" w:rsidRPr="00E03F8D">
        <w:rPr>
          <w:rFonts w:ascii="Arial" w:hAnsi="Arial" w:cs="Arial"/>
          <w:sz w:val="22"/>
          <w:lang w:val="el-GR"/>
        </w:rPr>
        <w:t xml:space="preserve"> χονδρικής στο τρίμηνο</w:t>
      </w:r>
      <w:r w:rsidR="00A93A0D">
        <w:rPr>
          <w:rFonts w:ascii="Arial" w:hAnsi="Arial" w:cs="Arial"/>
          <w:sz w:val="22"/>
          <w:lang w:val="el-GR"/>
        </w:rPr>
        <w:t>, π</w:t>
      </w:r>
      <w:r w:rsidR="00A93A0D" w:rsidRPr="00E03F8D">
        <w:rPr>
          <w:rFonts w:ascii="Arial" w:hAnsi="Arial" w:cs="Arial"/>
          <w:sz w:val="22"/>
          <w:lang w:val="el-GR"/>
        </w:rPr>
        <w:t>ερίπου €81</w:t>
      </w:r>
      <w:r w:rsidR="00A904B7">
        <w:rPr>
          <w:rFonts w:ascii="Arial" w:hAnsi="Arial" w:cs="Arial"/>
          <w:sz w:val="22"/>
          <w:lang w:val="el-GR"/>
        </w:rPr>
        <w:t xml:space="preserve"> </w:t>
      </w:r>
      <w:r w:rsidR="00A93A0D" w:rsidRPr="00E03F8D">
        <w:rPr>
          <w:rFonts w:ascii="Arial" w:hAnsi="Arial" w:cs="Arial"/>
          <w:sz w:val="22"/>
          <w:lang w:val="el-GR"/>
        </w:rPr>
        <w:t>εκατ.</w:t>
      </w:r>
      <w:r w:rsidR="00A93A0D">
        <w:rPr>
          <w:rFonts w:ascii="Arial" w:hAnsi="Arial" w:cs="Arial"/>
          <w:sz w:val="22"/>
          <w:lang w:val="el-GR"/>
        </w:rPr>
        <w:t xml:space="preserve"> </w:t>
      </w:r>
      <w:r w:rsidR="003E77BC" w:rsidRPr="00E03F8D">
        <w:rPr>
          <w:rFonts w:ascii="Arial" w:hAnsi="Arial" w:cs="Arial"/>
          <w:sz w:val="22"/>
          <w:lang w:val="el-GR"/>
        </w:rPr>
        <w:t xml:space="preserve">αντιστοιχούν σε έσοδα από </w:t>
      </w:r>
      <w:r w:rsidR="00D44EBD" w:rsidRPr="00E03F8D">
        <w:rPr>
          <w:rFonts w:ascii="Arial" w:hAnsi="Arial" w:cs="Arial"/>
          <w:sz w:val="22"/>
          <w:lang w:val="el-GR"/>
        </w:rPr>
        <w:t>υπηρεσίες διεθνούς χονδρικής</w:t>
      </w:r>
      <w:r w:rsidR="003E77BC" w:rsidRPr="00E03F8D">
        <w:rPr>
          <w:rFonts w:ascii="Arial" w:hAnsi="Arial" w:cs="Arial"/>
          <w:sz w:val="22"/>
          <w:lang w:val="el-GR"/>
        </w:rPr>
        <w:t>, τα οποία αναμένεται να μειωθούν σημαντικά κατά τη διάρκεια των προσεχών τριμήνων.</w:t>
      </w:r>
    </w:p>
    <w:p w14:paraId="6E08CBE2" w14:textId="73299B13" w:rsidR="003631E6" w:rsidRPr="003631E6" w:rsidRDefault="00C12BD0" w:rsidP="00C12BD0">
      <w:pPr>
        <w:pStyle w:val="ListParagraph"/>
        <w:numPr>
          <w:ilvl w:val="0"/>
          <w:numId w:val="8"/>
        </w:numPr>
        <w:spacing w:before="120" w:after="160" w:line="280" w:lineRule="exact"/>
        <w:ind w:left="284" w:hanging="284"/>
        <w:contextualSpacing w:val="0"/>
        <w:jc w:val="both"/>
        <w:rPr>
          <w:rFonts w:ascii="Arial" w:hAnsi="Arial" w:cs="Arial"/>
          <w:sz w:val="22"/>
          <w:lang w:val="el-GR"/>
        </w:rPr>
      </w:pPr>
      <w:r w:rsidRPr="00335C20">
        <w:rPr>
          <w:rFonts w:ascii="Arial" w:hAnsi="Arial" w:cs="Arial"/>
          <w:b/>
          <w:bCs/>
          <w:sz w:val="22"/>
          <w:lang w:val="el-GR"/>
        </w:rPr>
        <w:t>Τα λοιπά έσοδα</w:t>
      </w:r>
      <w:r w:rsidRPr="00335C20">
        <w:rPr>
          <w:rFonts w:ascii="Arial" w:hAnsi="Arial" w:cs="Arial"/>
          <w:sz w:val="22"/>
          <w:lang w:val="el-GR"/>
        </w:rPr>
        <w:t xml:space="preserve"> αυξήθηκαν κατά </w:t>
      </w:r>
      <w:r w:rsidR="003631E6">
        <w:rPr>
          <w:rFonts w:ascii="Arial" w:hAnsi="Arial" w:cs="Arial"/>
          <w:sz w:val="22"/>
          <w:lang w:val="el-GR"/>
        </w:rPr>
        <w:t>13,6</w:t>
      </w:r>
      <w:r w:rsidRPr="00335C20">
        <w:rPr>
          <w:rFonts w:ascii="Arial" w:hAnsi="Arial" w:cs="Arial"/>
          <w:sz w:val="22"/>
          <w:lang w:val="el-GR"/>
        </w:rPr>
        <w:t xml:space="preserve">% στο τρίμηνο, </w:t>
      </w:r>
      <w:r>
        <w:rPr>
          <w:rFonts w:ascii="Arial" w:hAnsi="Arial" w:cs="Arial"/>
          <w:sz w:val="22"/>
          <w:lang w:val="el-GR"/>
        </w:rPr>
        <w:t xml:space="preserve">υποστηριζόμενα κυρίως από </w:t>
      </w:r>
      <w:r w:rsidRPr="00335C20">
        <w:rPr>
          <w:rFonts w:ascii="Arial" w:hAnsi="Arial" w:cs="Arial"/>
          <w:sz w:val="22"/>
          <w:lang w:val="el-GR"/>
        </w:rPr>
        <w:t xml:space="preserve">την ισχυρή δυναμική </w:t>
      </w:r>
      <w:r>
        <w:rPr>
          <w:rFonts w:ascii="Arial" w:hAnsi="Arial" w:cs="Arial"/>
          <w:sz w:val="22"/>
          <w:lang w:val="el-GR"/>
        </w:rPr>
        <w:t>στην αγορά του</w:t>
      </w:r>
      <w:r w:rsidRPr="00335C20">
        <w:rPr>
          <w:rFonts w:ascii="Arial" w:hAnsi="Arial" w:cs="Arial"/>
          <w:sz w:val="22"/>
          <w:lang w:val="el-GR"/>
        </w:rPr>
        <w:t xml:space="preserve"> ICT</w:t>
      </w:r>
      <w:r>
        <w:rPr>
          <w:rFonts w:ascii="Arial" w:hAnsi="Arial" w:cs="Arial"/>
          <w:sz w:val="22"/>
          <w:lang w:val="el-GR"/>
        </w:rPr>
        <w:t>. Ειδικότερα, τ</w:t>
      </w:r>
      <w:r w:rsidRPr="00FE61EB">
        <w:rPr>
          <w:rFonts w:ascii="Arial" w:hAnsi="Arial" w:cs="Arial"/>
          <w:sz w:val="22"/>
          <w:lang w:val="el-GR"/>
        </w:rPr>
        <w:t xml:space="preserve">α </w:t>
      </w:r>
      <w:r w:rsidRPr="00335C20">
        <w:rPr>
          <w:rFonts w:ascii="Arial" w:hAnsi="Arial" w:cs="Arial"/>
          <w:sz w:val="22"/>
          <w:lang w:val="el-GR"/>
        </w:rPr>
        <w:t xml:space="preserve">έσοδα από </w:t>
      </w:r>
      <w:proofErr w:type="spellStart"/>
      <w:r w:rsidRPr="00335C20">
        <w:rPr>
          <w:rFonts w:ascii="Arial" w:hAnsi="Arial" w:cs="Arial"/>
          <w:sz w:val="22"/>
          <w:lang w:val="el-GR"/>
        </w:rPr>
        <w:t>system</w:t>
      </w:r>
      <w:proofErr w:type="spellEnd"/>
      <w:r w:rsidRPr="00335C20">
        <w:rPr>
          <w:rFonts w:ascii="Arial" w:hAnsi="Arial" w:cs="Arial"/>
          <w:sz w:val="22"/>
          <w:lang w:val="el-GR"/>
        </w:rPr>
        <w:t xml:space="preserve"> </w:t>
      </w:r>
      <w:proofErr w:type="spellStart"/>
      <w:r w:rsidRPr="00335C20">
        <w:rPr>
          <w:rFonts w:ascii="Arial" w:hAnsi="Arial" w:cs="Arial"/>
          <w:sz w:val="22"/>
          <w:lang w:val="el-GR"/>
        </w:rPr>
        <w:t>solutions</w:t>
      </w:r>
      <w:proofErr w:type="spellEnd"/>
      <w:r w:rsidRPr="00335C20">
        <w:rPr>
          <w:rFonts w:ascii="Arial" w:hAnsi="Arial" w:cs="Arial"/>
          <w:sz w:val="22"/>
          <w:lang w:val="el-GR"/>
        </w:rPr>
        <w:t xml:space="preserve"> σημείωσαν</w:t>
      </w:r>
      <w:r>
        <w:rPr>
          <w:rFonts w:ascii="Arial" w:hAnsi="Arial" w:cs="Arial"/>
          <w:sz w:val="22"/>
          <w:lang w:val="el-GR"/>
        </w:rPr>
        <w:t xml:space="preserve"> </w:t>
      </w:r>
      <w:r w:rsidR="001A78EF">
        <w:rPr>
          <w:rFonts w:ascii="Arial" w:hAnsi="Arial" w:cs="Arial"/>
          <w:sz w:val="22"/>
          <w:lang w:val="el-GR"/>
        </w:rPr>
        <w:t xml:space="preserve">ισχυρή </w:t>
      </w:r>
      <w:r w:rsidRPr="00335C20">
        <w:rPr>
          <w:rFonts w:ascii="Arial" w:hAnsi="Arial" w:cs="Arial"/>
          <w:sz w:val="22"/>
          <w:lang w:val="el-GR"/>
        </w:rPr>
        <w:t xml:space="preserve">αύξηση </w:t>
      </w:r>
      <w:r w:rsidR="003631E6">
        <w:rPr>
          <w:rFonts w:ascii="Arial" w:hAnsi="Arial" w:cs="Arial"/>
          <w:sz w:val="22"/>
          <w:lang w:val="el-GR"/>
        </w:rPr>
        <w:t>37,9</w:t>
      </w:r>
      <w:r w:rsidRPr="00335C20">
        <w:rPr>
          <w:rFonts w:ascii="Arial" w:hAnsi="Arial" w:cs="Arial"/>
          <w:sz w:val="22"/>
          <w:lang w:val="el-GR"/>
        </w:rPr>
        <w:t>%</w:t>
      </w:r>
      <w:r>
        <w:rPr>
          <w:rFonts w:ascii="Arial" w:hAnsi="Arial" w:cs="Arial"/>
          <w:sz w:val="22"/>
          <w:lang w:val="el-GR"/>
        </w:rPr>
        <w:t xml:space="preserve"> στο τρίμηνο. </w:t>
      </w:r>
      <w:r w:rsidRPr="00335C20">
        <w:rPr>
          <w:rFonts w:ascii="Arial" w:hAnsi="Arial" w:cs="Arial"/>
          <w:sz w:val="22"/>
          <w:lang w:val="el-GR"/>
        </w:rPr>
        <w:t xml:space="preserve">Ο ΟΤΕ </w:t>
      </w:r>
      <w:r>
        <w:rPr>
          <w:rFonts w:ascii="Arial" w:hAnsi="Arial" w:cs="Arial"/>
          <w:sz w:val="22"/>
          <w:lang w:val="el-GR"/>
        </w:rPr>
        <w:t>έχει αναλάβει</w:t>
      </w:r>
      <w:r w:rsidRPr="00C74D59">
        <w:rPr>
          <w:rFonts w:ascii="Arial" w:hAnsi="Arial" w:cs="Arial"/>
          <w:sz w:val="22"/>
          <w:lang w:val="el-GR"/>
        </w:rPr>
        <w:t xml:space="preserve"> αρκετ</w:t>
      </w:r>
      <w:r>
        <w:rPr>
          <w:rFonts w:ascii="Arial" w:hAnsi="Arial" w:cs="Arial"/>
          <w:sz w:val="22"/>
          <w:lang w:val="el-GR"/>
        </w:rPr>
        <w:t>ά έργα</w:t>
      </w:r>
      <w:r w:rsidRPr="00C74D59">
        <w:rPr>
          <w:rFonts w:ascii="Arial" w:hAnsi="Arial" w:cs="Arial"/>
          <w:sz w:val="22"/>
          <w:lang w:val="el-GR"/>
        </w:rPr>
        <w:t xml:space="preserve">, </w:t>
      </w:r>
      <w:r>
        <w:rPr>
          <w:rFonts w:ascii="Arial" w:hAnsi="Arial" w:cs="Arial"/>
          <w:sz w:val="22"/>
          <w:lang w:val="el-GR"/>
        </w:rPr>
        <w:t xml:space="preserve">για την </w:t>
      </w:r>
      <w:r w:rsidRPr="00C74D59">
        <w:rPr>
          <w:rFonts w:ascii="Arial" w:hAnsi="Arial" w:cs="Arial"/>
          <w:sz w:val="22"/>
          <w:lang w:val="el-GR"/>
        </w:rPr>
        <w:t>παροχή</w:t>
      </w:r>
      <w:r>
        <w:rPr>
          <w:rFonts w:ascii="Arial" w:hAnsi="Arial" w:cs="Arial"/>
          <w:sz w:val="22"/>
          <w:lang w:val="el-GR"/>
        </w:rPr>
        <w:t>, μεταξύ άλλων,</w:t>
      </w:r>
      <w:r w:rsidRPr="00C74D59">
        <w:rPr>
          <w:rFonts w:ascii="Arial" w:hAnsi="Arial" w:cs="Arial"/>
          <w:sz w:val="22"/>
          <w:lang w:val="el-GR"/>
        </w:rPr>
        <w:t xml:space="preserve"> υπηρεσιών </w:t>
      </w:r>
      <w:r w:rsidRPr="00F232D6">
        <w:rPr>
          <w:rFonts w:ascii="Arial" w:hAnsi="Arial" w:cs="Arial"/>
          <w:sz w:val="22"/>
          <w:lang w:val="el-GR"/>
        </w:rPr>
        <w:t>υποδομών</w:t>
      </w:r>
      <w:r>
        <w:rPr>
          <w:rFonts w:ascii="Arial" w:hAnsi="Arial" w:cs="Arial"/>
          <w:sz w:val="22"/>
          <w:lang w:val="el-GR"/>
        </w:rPr>
        <w:t xml:space="preserve"> </w:t>
      </w:r>
      <w:r w:rsidRPr="00C74D59">
        <w:rPr>
          <w:rFonts w:ascii="Arial" w:hAnsi="Arial" w:cs="Arial"/>
          <w:sz w:val="22"/>
          <w:lang w:val="el-GR"/>
        </w:rPr>
        <w:t>δικτύου, συστημάτων ERP, υποδομ</w:t>
      </w:r>
      <w:r>
        <w:rPr>
          <w:rFonts w:ascii="Arial" w:hAnsi="Arial" w:cs="Arial"/>
          <w:sz w:val="22"/>
          <w:lang w:val="el-GR"/>
        </w:rPr>
        <w:t>ής</w:t>
      </w:r>
      <w:r w:rsidRPr="00C74D59">
        <w:rPr>
          <w:rFonts w:ascii="Arial" w:hAnsi="Arial" w:cs="Arial"/>
          <w:sz w:val="22"/>
          <w:lang w:val="el-GR"/>
        </w:rPr>
        <w:t xml:space="preserve"> οπτικών ινών</w:t>
      </w:r>
      <w:r>
        <w:rPr>
          <w:rFonts w:ascii="Arial" w:hAnsi="Arial" w:cs="Arial"/>
          <w:sz w:val="22"/>
          <w:lang w:val="el-GR"/>
        </w:rPr>
        <w:t xml:space="preserve">, </w:t>
      </w:r>
      <w:proofErr w:type="spellStart"/>
      <w:r>
        <w:rPr>
          <w:rFonts w:ascii="Arial" w:hAnsi="Arial" w:cs="Arial"/>
          <w:sz w:val="22"/>
          <w:lang w:val="el-GR"/>
        </w:rPr>
        <w:t>ψηφιοποίησης</w:t>
      </w:r>
      <w:proofErr w:type="spellEnd"/>
      <w:r>
        <w:rPr>
          <w:rFonts w:ascii="Arial" w:hAnsi="Arial" w:cs="Arial"/>
          <w:sz w:val="22"/>
          <w:lang w:val="el-GR"/>
        </w:rPr>
        <w:t xml:space="preserve"> αρχείων και μετασχηματισμού δημόσιων υπηρεσιών</w:t>
      </w:r>
      <w:r w:rsidRPr="00C74D59">
        <w:rPr>
          <w:rFonts w:ascii="Arial" w:hAnsi="Arial" w:cs="Arial"/>
          <w:sz w:val="22"/>
          <w:lang w:val="el-GR"/>
        </w:rPr>
        <w:t>.</w:t>
      </w:r>
      <w:r>
        <w:rPr>
          <w:rFonts w:ascii="Arial" w:hAnsi="Arial" w:cs="Arial"/>
          <w:sz w:val="22"/>
          <w:lang w:val="el-GR"/>
        </w:rPr>
        <w:t xml:space="preserve"> </w:t>
      </w:r>
    </w:p>
    <w:p w14:paraId="43D3F48F" w14:textId="077C1C4E" w:rsidR="00ED3FB6" w:rsidRPr="00CE2C10" w:rsidRDefault="009E285A" w:rsidP="006E0597">
      <w:pPr>
        <w:spacing w:before="120" w:line="280" w:lineRule="exact"/>
        <w:jc w:val="both"/>
        <w:rPr>
          <w:rFonts w:ascii="Arial" w:eastAsia="Times New Roman" w:hAnsi="Arial" w:cs="Arial"/>
          <w:szCs w:val="20"/>
        </w:rPr>
      </w:pPr>
      <w:r w:rsidRPr="00A239B0">
        <w:rPr>
          <w:rFonts w:ascii="Arial" w:hAnsi="Arial" w:cs="Arial"/>
          <w:b/>
          <w:bCs/>
        </w:rPr>
        <w:t>Τα συνολικά λειτουργικά έξοδ</w:t>
      </w:r>
      <w:r w:rsidR="0090661A" w:rsidRPr="00A239B0">
        <w:rPr>
          <w:rFonts w:ascii="Arial" w:hAnsi="Arial" w:cs="Arial"/>
          <w:b/>
          <w:bCs/>
        </w:rPr>
        <w:t>α</w:t>
      </w:r>
      <w:r w:rsidRPr="00A239B0">
        <w:rPr>
          <w:rFonts w:ascii="Arial" w:hAnsi="Arial" w:cs="Arial"/>
        </w:rPr>
        <w:t xml:space="preserve">, </w:t>
      </w:r>
      <w:r w:rsidRPr="00CE2C10">
        <w:rPr>
          <w:rFonts w:ascii="Arial" w:eastAsia="Times New Roman" w:hAnsi="Arial" w:cs="Arial"/>
          <w:szCs w:val="20"/>
        </w:rPr>
        <w:t xml:space="preserve">εξαιρουμένων των αποσβέσεων, των </w:t>
      </w:r>
      <w:proofErr w:type="spellStart"/>
      <w:r w:rsidRPr="00CE2C10">
        <w:rPr>
          <w:rFonts w:ascii="Arial" w:eastAsia="Times New Roman" w:hAnsi="Arial" w:cs="Arial"/>
          <w:szCs w:val="20"/>
        </w:rPr>
        <w:t>απομειώσεων</w:t>
      </w:r>
      <w:proofErr w:type="spellEnd"/>
      <w:r w:rsidR="004F14DF" w:rsidRPr="00CE2C10">
        <w:rPr>
          <w:rFonts w:ascii="Arial" w:eastAsia="Times New Roman" w:hAnsi="Arial" w:cs="Arial"/>
          <w:szCs w:val="20"/>
        </w:rPr>
        <w:t xml:space="preserve"> </w:t>
      </w:r>
      <w:r w:rsidR="009165B7" w:rsidRPr="00CE2C10">
        <w:rPr>
          <w:rFonts w:ascii="Arial" w:eastAsia="Times New Roman" w:hAnsi="Arial" w:cs="Arial"/>
          <w:szCs w:val="20"/>
        </w:rPr>
        <w:t xml:space="preserve">και των επιβαρύνσεων που σχετίζονται </w:t>
      </w:r>
      <w:r w:rsidRPr="00CE2C10">
        <w:rPr>
          <w:rFonts w:ascii="Arial" w:eastAsia="Times New Roman" w:hAnsi="Arial" w:cs="Arial"/>
          <w:szCs w:val="20"/>
        </w:rPr>
        <w:t>με</w:t>
      </w:r>
      <w:r w:rsidR="004F14DF" w:rsidRPr="00CE2C10">
        <w:rPr>
          <w:rFonts w:ascii="Arial" w:eastAsia="Times New Roman" w:hAnsi="Arial" w:cs="Arial"/>
          <w:szCs w:val="20"/>
        </w:rPr>
        <w:t xml:space="preserve"> Προγράμματα Εθελούσιας Αποχώρησης και</w:t>
      </w:r>
      <w:r w:rsidRPr="00CE2C10">
        <w:rPr>
          <w:rFonts w:ascii="Arial" w:eastAsia="Times New Roman" w:hAnsi="Arial" w:cs="Arial"/>
          <w:szCs w:val="20"/>
        </w:rPr>
        <w:t xml:space="preserve"> </w:t>
      </w:r>
      <w:r w:rsidR="006E50DF" w:rsidRPr="00CE2C10">
        <w:rPr>
          <w:rFonts w:ascii="Arial" w:eastAsia="Times New Roman" w:hAnsi="Arial" w:cs="Arial"/>
          <w:szCs w:val="20"/>
        </w:rPr>
        <w:t xml:space="preserve">λοιπά έξοδα </w:t>
      </w:r>
      <w:r w:rsidRPr="00CE2C10">
        <w:rPr>
          <w:rFonts w:ascii="Arial" w:eastAsia="Times New Roman" w:hAnsi="Arial" w:cs="Arial"/>
          <w:szCs w:val="20"/>
        </w:rPr>
        <w:t>αναδιοργάνωσης</w:t>
      </w:r>
      <w:r w:rsidR="004F14DF" w:rsidRPr="00CE2C10">
        <w:rPr>
          <w:rFonts w:ascii="Arial" w:eastAsia="Times New Roman" w:hAnsi="Arial" w:cs="Arial"/>
          <w:szCs w:val="20"/>
        </w:rPr>
        <w:t xml:space="preserve">, </w:t>
      </w:r>
      <w:r w:rsidR="00CA7F4A" w:rsidRPr="00CE2C10">
        <w:rPr>
          <w:rFonts w:ascii="Arial" w:eastAsia="Times New Roman" w:hAnsi="Arial" w:cs="Arial"/>
          <w:szCs w:val="20"/>
        </w:rPr>
        <w:t>διαμορφώθηκαν σε €</w:t>
      </w:r>
      <w:r w:rsidR="00CE2C10" w:rsidRPr="00CE2C10">
        <w:rPr>
          <w:rFonts w:ascii="Arial" w:eastAsia="Times New Roman" w:hAnsi="Arial" w:cs="Arial"/>
          <w:szCs w:val="20"/>
        </w:rPr>
        <w:t>500,5</w:t>
      </w:r>
      <w:r w:rsidR="00CA7F4A" w:rsidRPr="00CE2C10">
        <w:rPr>
          <w:rFonts w:ascii="Arial" w:eastAsia="Times New Roman" w:hAnsi="Arial" w:cs="Arial"/>
          <w:szCs w:val="20"/>
        </w:rPr>
        <w:t xml:space="preserve"> εκατ. στο τρίμηνο</w:t>
      </w:r>
      <w:r w:rsidR="00BA6B7E" w:rsidRPr="00CE2C10">
        <w:rPr>
          <w:rFonts w:ascii="Arial" w:eastAsia="Times New Roman" w:hAnsi="Arial" w:cs="Arial"/>
          <w:szCs w:val="20"/>
        </w:rPr>
        <w:t xml:space="preserve">, </w:t>
      </w:r>
      <w:r w:rsidR="00CE2C10" w:rsidRPr="00CE2C10">
        <w:rPr>
          <w:rFonts w:ascii="Arial" w:eastAsia="Times New Roman" w:hAnsi="Arial" w:cs="Arial"/>
          <w:szCs w:val="20"/>
        </w:rPr>
        <w:t>αυξημένα κατά €34,3</w:t>
      </w:r>
      <w:r w:rsidR="00A904B7">
        <w:rPr>
          <w:rFonts w:ascii="Arial" w:eastAsia="Times New Roman" w:hAnsi="Arial" w:cs="Arial"/>
          <w:szCs w:val="20"/>
        </w:rPr>
        <w:t xml:space="preserve"> </w:t>
      </w:r>
      <w:r w:rsidR="00CE2C10" w:rsidRPr="00CE2C10">
        <w:rPr>
          <w:rFonts w:ascii="Arial" w:eastAsia="Times New Roman" w:hAnsi="Arial" w:cs="Arial"/>
          <w:szCs w:val="20"/>
        </w:rPr>
        <w:t xml:space="preserve">εκατ. </w:t>
      </w:r>
      <w:r w:rsidR="00FC10CB" w:rsidRPr="00CE2C10">
        <w:rPr>
          <w:rFonts w:ascii="Arial" w:eastAsia="Times New Roman" w:hAnsi="Arial" w:cs="Arial"/>
          <w:szCs w:val="20"/>
        </w:rPr>
        <w:t>σε ετήσια βάση</w:t>
      </w:r>
      <w:r w:rsidR="00BA6B7E" w:rsidRPr="00CE2C10">
        <w:rPr>
          <w:rFonts w:ascii="Arial" w:eastAsia="Times New Roman" w:hAnsi="Arial" w:cs="Arial"/>
          <w:szCs w:val="20"/>
        </w:rPr>
        <w:t xml:space="preserve">, </w:t>
      </w:r>
      <w:r w:rsidR="00CE2C10" w:rsidRPr="00CE2C10">
        <w:rPr>
          <w:rFonts w:ascii="Arial" w:eastAsia="Times New Roman" w:hAnsi="Arial" w:cs="Arial"/>
          <w:szCs w:val="20"/>
        </w:rPr>
        <w:t>αντανακλώντας τη σημαντική αύξηση</w:t>
      </w:r>
      <w:r w:rsidR="00FC10CB" w:rsidRPr="00CE2C10">
        <w:rPr>
          <w:rFonts w:ascii="Arial" w:eastAsia="Times New Roman" w:hAnsi="Arial" w:cs="Arial"/>
          <w:szCs w:val="20"/>
        </w:rPr>
        <w:t xml:space="preserve"> των εσόδων</w:t>
      </w:r>
      <w:r w:rsidR="00CA7F4A" w:rsidRPr="00CE2C10">
        <w:rPr>
          <w:rFonts w:ascii="Arial" w:eastAsia="Times New Roman" w:hAnsi="Arial" w:cs="Arial"/>
          <w:szCs w:val="20"/>
        </w:rPr>
        <w:t xml:space="preserve">. </w:t>
      </w:r>
    </w:p>
    <w:p w14:paraId="16486310" w14:textId="1F3CCFAE" w:rsidR="00FA7D70" w:rsidRPr="00042446" w:rsidRDefault="00A31E8E" w:rsidP="008E3861">
      <w:pPr>
        <w:pStyle w:val="NormalWeb"/>
        <w:spacing w:line="276" w:lineRule="auto"/>
        <w:jc w:val="both"/>
        <w:rPr>
          <w:rFonts w:ascii="Arial" w:hAnsi="Arial" w:cs="Arial"/>
          <w:sz w:val="22"/>
          <w:szCs w:val="22"/>
          <w:lang w:eastAsia="en-US"/>
        </w:rPr>
      </w:pPr>
      <w:r w:rsidRPr="00CE0FC0">
        <w:rPr>
          <w:rFonts w:ascii="Arial" w:hAnsi="Arial" w:cs="Arial"/>
          <w:b/>
          <w:sz w:val="22"/>
          <w:szCs w:val="22"/>
        </w:rPr>
        <w:t>Το</w:t>
      </w:r>
      <w:r w:rsidR="009E285A" w:rsidRPr="00CE0FC0" w:rsidDel="0012664C">
        <w:rPr>
          <w:rFonts w:ascii="Arial" w:hAnsi="Arial" w:cs="Arial"/>
          <w:b/>
          <w:sz w:val="22"/>
          <w:szCs w:val="22"/>
        </w:rPr>
        <w:t xml:space="preserve"> </w:t>
      </w:r>
      <w:r w:rsidR="009E285A" w:rsidRPr="00CE0FC0">
        <w:rPr>
          <w:rFonts w:ascii="Arial" w:hAnsi="Arial" w:cs="Arial"/>
          <w:b/>
          <w:sz w:val="22"/>
          <w:szCs w:val="22"/>
        </w:rPr>
        <w:t>προσαρμοσμέν</w:t>
      </w:r>
      <w:r w:rsidRPr="00CE0FC0">
        <w:rPr>
          <w:rFonts w:ascii="Arial" w:hAnsi="Arial" w:cs="Arial"/>
          <w:b/>
          <w:sz w:val="22"/>
          <w:szCs w:val="22"/>
        </w:rPr>
        <w:t>ο</w:t>
      </w:r>
      <w:r w:rsidR="009E285A" w:rsidRPr="00CE0FC0">
        <w:rPr>
          <w:rFonts w:ascii="Arial" w:hAnsi="Arial" w:cs="Arial"/>
          <w:b/>
          <w:sz w:val="22"/>
          <w:szCs w:val="22"/>
        </w:rPr>
        <w:t xml:space="preserve"> </w:t>
      </w:r>
      <w:r w:rsidR="009E285A" w:rsidRPr="00CE0FC0">
        <w:rPr>
          <w:rFonts w:ascii="Arial" w:hAnsi="Arial" w:cs="Arial"/>
          <w:b/>
          <w:sz w:val="22"/>
          <w:szCs w:val="22"/>
          <w:lang w:val="en-US"/>
        </w:rPr>
        <w:t>EBITDA</w:t>
      </w:r>
      <w:r w:rsidR="009E285A" w:rsidRPr="00CE0FC0" w:rsidDel="00184804">
        <w:rPr>
          <w:rFonts w:ascii="Arial" w:hAnsi="Arial" w:cs="Arial"/>
          <w:b/>
          <w:sz w:val="22"/>
          <w:szCs w:val="22"/>
        </w:rPr>
        <w:t xml:space="preserve"> </w:t>
      </w:r>
      <w:r w:rsidR="009E285A" w:rsidRPr="00CE0FC0">
        <w:rPr>
          <w:rFonts w:ascii="Arial" w:hAnsi="Arial" w:cs="Arial"/>
          <w:b/>
          <w:sz w:val="22"/>
          <w:szCs w:val="22"/>
        </w:rPr>
        <w:t>(</w:t>
      </w:r>
      <w:r w:rsidR="009E285A" w:rsidRPr="00CE0FC0">
        <w:rPr>
          <w:rFonts w:ascii="Arial" w:hAnsi="Arial" w:cs="Arial"/>
          <w:b/>
          <w:sz w:val="22"/>
          <w:szCs w:val="22"/>
          <w:lang w:val="en-US"/>
        </w:rPr>
        <w:t>AL</w:t>
      </w:r>
      <w:r w:rsidR="009E285A" w:rsidRPr="00CE0FC0">
        <w:rPr>
          <w:rFonts w:ascii="Arial" w:hAnsi="Arial" w:cs="Arial"/>
          <w:b/>
          <w:sz w:val="22"/>
          <w:szCs w:val="22"/>
        </w:rPr>
        <w:t xml:space="preserve">) </w:t>
      </w:r>
      <w:r w:rsidR="00FA7D70" w:rsidRPr="00042446">
        <w:rPr>
          <w:rFonts w:ascii="Arial" w:hAnsi="Arial" w:cs="Arial"/>
          <w:sz w:val="22"/>
          <w:szCs w:val="22"/>
          <w:lang w:eastAsia="en-US"/>
        </w:rPr>
        <w:t xml:space="preserve"> αυξήθηκε κατά 2,0%, στα €360,1 εκατ., συνεχίζοντας τη θετική δυναμική </w:t>
      </w:r>
      <w:r w:rsidR="00D03C0F">
        <w:rPr>
          <w:rFonts w:ascii="Arial" w:hAnsi="Arial" w:cs="Arial"/>
          <w:sz w:val="22"/>
          <w:szCs w:val="22"/>
          <w:lang w:eastAsia="en-US"/>
        </w:rPr>
        <w:t>των προηγούμενων τριμήνων</w:t>
      </w:r>
      <w:r w:rsidR="00FA7D70" w:rsidRPr="00042446">
        <w:rPr>
          <w:rFonts w:ascii="Arial" w:hAnsi="Arial" w:cs="Arial"/>
          <w:sz w:val="22"/>
          <w:szCs w:val="22"/>
          <w:lang w:eastAsia="en-US"/>
        </w:rPr>
        <w:t>. Το αντίστοιχο περιθώριο διαμορφώθηκε σε 41,2%, έναντι 42,4% το Γ’ τρίμηνο του 2024, κυρίως λόγω της μεγαλύτερης συμβολής εσόδων από δραστηριότητες χαμηλότερου περιθωρίου κέρδους. Παράλληλα με την αύξηση των εσόδων, οι συνεχιζόμενες εξοικονομήσεις κόστους</w:t>
      </w:r>
      <w:r w:rsidR="007B6BB8">
        <w:rPr>
          <w:rFonts w:ascii="Arial" w:hAnsi="Arial" w:cs="Arial"/>
          <w:sz w:val="22"/>
          <w:szCs w:val="22"/>
          <w:lang w:eastAsia="en-US"/>
        </w:rPr>
        <w:t>,</w:t>
      </w:r>
      <w:r w:rsidR="00FA7D70" w:rsidRPr="00042446" w:rsidDel="007B6BB8">
        <w:rPr>
          <w:rFonts w:ascii="Arial" w:hAnsi="Arial" w:cs="Arial"/>
          <w:sz w:val="22"/>
          <w:szCs w:val="22"/>
          <w:lang w:eastAsia="en-US"/>
        </w:rPr>
        <w:t xml:space="preserve"> </w:t>
      </w:r>
      <w:r w:rsidR="00FA7D70" w:rsidRPr="00042446">
        <w:rPr>
          <w:rFonts w:ascii="Arial" w:hAnsi="Arial" w:cs="Arial"/>
          <w:sz w:val="22"/>
          <w:szCs w:val="22"/>
          <w:lang w:eastAsia="en-US"/>
        </w:rPr>
        <w:t>ιδίως στο κόστος προσωπικού</w:t>
      </w:r>
      <w:r w:rsidR="007B6BB8">
        <w:rPr>
          <w:rFonts w:ascii="Arial" w:hAnsi="Arial" w:cs="Arial"/>
          <w:sz w:val="22"/>
          <w:szCs w:val="22"/>
          <w:lang w:eastAsia="en-US"/>
        </w:rPr>
        <w:t>,</w:t>
      </w:r>
      <w:r w:rsidR="00FA7D70" w:rsidRPr="00042446">
        <w:rPr>
          <w:rFonts w:ascii="Arial" w:hAnsi="Arial" w:cs="Arial"/>
          <w:sz w:val="22"/>
          <w:szCs w:val="22"/>
          <w:lang w:eastAsia="en-US"/>
        </w:rPr>
        <w:t xml:space="preserve"> συνέβαλαν στην αντιστάθμιση ορισμένων αυξήσεων κόστους κατά την περίοδο.</w:t>
      </w:r>
    </w:p>
    <w:p w14:paraId="79F1991F" w14:textId="7D1F659F" w:rsidR="007023B9" w:rsidRPr="00DC1E0D" w:rsidRDefault="002E7A41" w:rsidP="006E0597">
      <w:pPr>
        <w:spacing w:before="120" w:line="280" w:lineRule="exact"/>
        <w:jc w:val="both"/>
        <w:rPr>
          <w:rFonts w:ascii="Arial" w:eastAsia="Times New Roman" w:hAnsi="Arial" w:cs="Arial"/>
        </w:rPr>
      </w:pPr>
      <w:r w:rsidRPr="00DC1E0D">
        <w:rPr>
          <w:rFonts w:ascii="Arial" w:eastAsia="Times New Roman" w:hAnsi="Arial" w:cs="Arial"/>
          <w:b/>
          <w:bCs/>
        </w:rPr>
        <w:t>Τα λειτουργικά κέρδη προ χρηματοοικονομικών</w:t>
      </w:r>
      <w:r w:rsidR="00DC1E0D" w:rsidRPr="00DC1E0D">
        <w:rPr>
          <w:rFonts w:ascii="Arial" w:eastAsia="Times New Roman" w:hAnsi="Arial" w:cs="Arial"/>
          <w:b/>
          <w:bCs/>
        </w:rPr>
        <w:t xml:space="preserve"> </w:t>
      </w:r>
      <w:r w:rsidRPr="00DC1E0D">
        <w:rPr>
          <w:rFonts w:ascii="Arial" w:eastAsia="Times New Roman" w:hAnsi="Arial" w:cs="Arial"/>
          <w:b/>
          <w:bCs/>
        </w:rPr>
        <w:t>και επενδυτικών δραστηριοτήτων</w:t>
      </w:r>
      <w:r w:rsidR="00103725" w:rsidRPr="00DC1E0D">
        <w:rPr>
          <w:rFonts w:ascii="Arial" w:eastAsia="Times New Roman" w:hAnsi="Arial" w:cs="Arial"/>
          <w:b/>
          <w:bCs/>
        </w:rPr>
        <w:t xml:space="preserve"> </w:t>
      </w:r>
      <w:r w:rsidRPr="00DC1E0D">
        <w:rPr>
          <w:rFonts w:ascii="Arial" w:eastAsia="Times New Roman" w:hAnsi="Arial" w:cs="Arial"/>
          <w:b/>
          <w:bCs/>
        </w:rPr>
        <w:t xml:space="preserve">(EBIT) </w:t>
      </w:r>
      <w:r w:rsidR="008242BD" w:rsidRPr="00DC1E0D">
        <w:rPr>
          <w:rFonts w:ascii="Arial" w:eastAsia="Times New Roman" w:hAnsi="Arial" w:cs="Arial"/>
        </w:rPr>
        <w:t xml:space="preserve">διαμορφώθηκαν </w:t>
      </w:r>
      <w:r w:rsidRPr="00DC1E0D">
        <w:rPr>
          <w:rFonts w:ascii="Arial" w:eastAsia="Times New Roman" w:hAnsi="Arial" w:cs="Arial"/>
        </w:rPr>
        <w:t>σε €</w:t>
      </w:r>
      <w:r w:rsidR="004037B4" w:rsidRPr="00DC1E0D">
        <w:rPr>
          <w:rFonts w:ascii="Arial" w:eastAsia="Times New Roman" w:hAnsi="Arial" w:cs="Arial"/>
        </w:rPr>
        <w:t>223,5</w:t>
      </w:r>
      <w:r w:rsidRPr="00DC1E0D">
        <w:rPr>
          <w:rFonts w:ascii="Arial" w:eastAsia="Times New Roman" w:hAnsi="Arial" w:cs="Arial"/>
        </w:rPr>
        <w:t xml:space="preserve"> εκατ.</w:t>
      </w:r>
      <w:r w:rsidR="00CB641A" w:rsidRPr="00DC1E0D">
        <w:rPr>
          <w:rFonts w:ascii="Arial" w:eastAsia="Times New Roman" w:hAnsi="Arial" w:cs="Arial"/>
        </w:rPr>
        <w:t>,</w:t>
      </w:r>
      <w:r w:rsidRPr="00DC1E0D">
        <w:rPr>
          <w:rFonts w:ascii="Arial" w:eastAsia="Times New Roman" w:hAnsi="Arial" w:cs="Arial"/>
        </w:rPr>
        <w:t xml:space="preserve"> </w:t>
      </w:r>
      <w:r w:rsidR="004037B4" w:rsidRPr="00DC1E0D">
        <w:rPr>
          <w:rFonts w:ascii="Arial" w:eastAsia="Times New Roman" w:hAnsi="Arial" w:cs="Arial"/>
        </w:rPr>
        <w:t xml:space="preserve">ελαφρώς </w:t>
      </w:r>
      <w:r w:rsidRPr="00DC1E0D">
        <w:rPr>
          <w:rFonts w:ascii="Arial" w:eastAsia="Times New Roman" w:hAnsi="Arial" w:cs="Arial"/>
        </w:rPr>
        <w:t xml:space="preserve">μειωμένα κατά </w:t>
      </w:r>
      <w:r w:rsidR="004037B4" w:rsidRPr="00DC1E0D">
        <w:rPr>
          <w:rFonts w:ascii="Arial" w:eastAsia="Times New Roman" w:hAnsi="Arial" w:cs="Arial"/>
        </w:rPr>
        <w:t>0,7</w:t>
      </w:r>
      <w:r w:rsidRPr="00DC1E0D">
        <w:rPr>
          <w:rFonts w:ascii="Arial" w:eastAsia="Times New Roman" w:hAnsi="Arial" w:cs="Arial"/>
        </w:rPr>
        <w:t>% σε σύγκριση με €</w:t>
      </w:r>
      <w:r w:rsidR="00DC1E0D" w:rsidRPr="00DC1E0D">
        <w:rPr>
          <w:rFonts w:ascii="Arial" w:eastAsia="Times New Roman" w:hAnsi="Arial" w:cs="Arial"/>
        </w:rPr>
        <w:t>225,1</w:t>
      </w:r>
      <w:r w:rsidRPr="00DC1E0D">
        <w:rPr>
          <w:rFonts w:ascii="Arial" w:eastAsia="Times New Roman" w:hAnsi="Arial" w:cs="Arial"/>
        </w:rPr>
        <w:t xml:space="preserve"> εκατ. ένα χρόνο πριν, κυρίως λόγω </w:t>
      </w:r>
      <w:r w:rsidR="00DC1E0D" w:rsidRPr="00DC1E0D">
        <w:rPr>
          <w:rFonts w:ascii="Arial" w:eastAsia="Times New Roman" w:hAnsi="Arial" w:cs="Arial"/>
        </w:rPr>
        <w:t>υψηλότερ</w:t>
      </w:r>
      <w:r w:rsidR="00D03C0F">
        <w:rPr>
          <w:rFonts w:ascii="Arial" w:eastAsia="Times New Roman" w:hAnsi="Arial" w:cs="Arial"/>
        </w:rPr>
        <w:t>ων</w:t>
      </w:r>
      <w:r w:rsidR="00DC1E0D" w:rsidRPr="00DC1E0D">
        <w:rPr>
          <w:rFonts w:ascii="Arial" w:eastAsia="Times New Roman" w:hAnsi="Arial" w:cs="Arial"/>
        </w:rPr>
        <w:t xml:space="preserve"> </w:t>
      </w:r>
      <w:r w:rsidR="00D03C0F" w:rsidRPr="00DC1E0D">
        <w:rPr>
          <w:rFonts w:ascii="Arial" w:eastAsia="Times New Roman" w:hAnsi="Arial" w:cs="Arial"/>
        </w:rPr>
        <w:t>αποσβέσ</w:t>
      </w:r>
      <w:r w:rsidR="00D03C0F">
        <w:rPr>
          <w:rFonts w:ascii="Arial" w:eastAsia="Times New Roman" w:hAnsi="Arial" w:cs="Arial"/>
        </w:rPr>
        <w:t>εων</w:t>
      </w:r>
      <w:r w:rsidR="00DC1E0D" w:rsidRPr="00DC1E0D">
        <w:rPr>
          <w:rFonts w:ascii="Arial" w:eastAsia="Times New Roman" w:hAnsi="Arial" w:cs="Arial"/>
        </w:rPr>
        <w:t xml:space="preserve"> ορισμένων άυλων περιουσιακών στοιχείων κατά το τρίμηνο.</w:t>
      </w:r>
    </w:p>
    <w:p w14:paraId="6C148FA6" w14:textId="0836BF28" w:rsidR="009E285A" w:rsidRPr="00D256E2" w:rsidRDefault="009E285A" w:rsidP="00BE0AD5">
      <w:pPr>
        <w:spacing w:before="120" w:line="280" w:lineRule="exact"/>
        <w:jc w:val="both"/>
        <w:rPr>
          <w:rFonts w:ascii="Arial" w:eastAsia="Times New Roman" w:hAnsi="Arial" w:cs="Arial"/>
        </w:rPr>
      </w:pPr>
      <w:r w:rsidRPr="00D60C86">
        <w:rPr>
          <w:rFonts w:ascii="Arial" w:hAnsi="Arial" w:cs="Arial"/>
          <w:b/>
          <w:bCs/>
        </w:rPr>
        <w:t>Οι επενδύσεις σε πάγια περιουσιακά στοιχεία</w:t>
      </w:r>
      <w:r w:rsidRPr="00D60C86">
        <w:rPr>
          <w:rFonts w:ascii="Arial" w:hAnsi="Arial" w:cs="Arial"/>
        </w:rPr>
        <w:t xml:space="preserve"> </w:t>
      </w:r>
      <w:r w:rsidRPr="00D60C86">
        <w:rPr>
          <w:rFonts w:ascii="Arial" w:eastAsia="Times New Roman" w:hAnsi="Arial" w:cs="Arial"/>
        </w:rPr>
        <w:t xml:space="preserve">ανήλθαν </w:t>
      </w:r>
      <w:r w:rsidRPr="00D256E2">
        <w:rPr>
          <w:rFonts w:ascii="Arial" w:eastAsia="Times New Roman" w:hAnsi="Arial" w:cs="Arial"/>
        </w:rPr>
        <w:t>σε €</w:t>
      </w:r>
      <w:r w:rsidR="00394879" w:rsidRPr="00D256E2">
        <w:rPr>
          <w:rFonts w:ascii="Arial" w:eastAsia="Times New Roman" w:hAnsi="Arial" w:cs="Arial"/>
        </w:rPr>
        <w:t>149,8</w:t>
      </w:r>
      <w:r w:rsidRPr="00D256E2">
        <w:rPr>
          <w:rFonts w:ascii="Arial" w:eastAsia="Times New Roman" w:hAnsi="Arial" w:cs="Arial"/>
        </w:rPr>
        <w:t xml:space="preserve"> εκατ.</w:t>
      </w:r>
      <w:r w:rsidR="00702AF3" w:rsidRPr="00D256E2">
        <w:rPr>
          <w:rFonts w:ascii="Arial" w:eastAsia="Times New Roman" w:hAnsi="Arial" w:cs="Arial"/>
        </w:rPr>
        <w:t xml:space="preserve"> στο </w:t>
      </w:r>
      <w:r w:rsidR="00394879" w:rsidRPr="00D256E2">
        <w:rPr>
          <w:rFonts w:ascii="Arial" w:eastAsia="Times New Roman" w:hAnsi="Arial" w:cs="Arial"/>
        </w:rPr>
        <w:t>Γ</w:t>
      </w:r>
      <w:r w:rsidR="00702AF3" w:rsidRPr="00D256E2">
        <w:rPr>
          <w:rFonts w:ascii="Arial" w:eastAsia="Times New Roman" w:hAnsi="Arial" w:cs="Arial"/>
        </w:rPr>
        <w:t>’ τρίμηνο</w:t>
      </w:r>
      <w:r w:rsidR="001E0EDE" w:rsidRPr="00D256E2">
        <w:rPr>
          <w:rFonts w:ascii="Arial" w:eastAsia="Times New Roman" w:hAnsi="Arial" w:cs="Arial"/>
        </w:rPr>
        <w:t xml:space="preserve"> του</w:t>
      </w:r>
      <w:r w:rsidR="00702AF3" w:rsidRPr="00D256E2">
        <w:rPr>
          <w:rFonts w:ascii="Arial" w:eastAsia="Times New Roman" w:hAnsi="Arial" w:cs="Arial"/>
        </w:rPr>
        <w:t xml:space="preserve"> 2025</w:t>
      </w:r>
      <w:r w:rsidR="00E8173B">
        <w:rPr>
          <w:rFonts w:ascii="Arial" w:eastAsia="Times New Roman" w:hAnsi="Arial" w:cs="Arial"/>
        </w:rPr>
        <w:t>,</w:t>
      </w:r>
      <w:r w:rsidR="00394879" w:rsidRPr="00D256E2">
        <w:rPr>
          <w:rFonts w:ascii="Arial" w:eastAsia="Times New Roman" w:hAnsi="Arial" w:cs="Arial"/>
        </w:rPr>
        <w:t xml:space="preserve"> ελαφρώς μειωμένες κατά €2,4 εκατ. </w:t>
      </w:r>
      <w:r w:rsidRPr="00D256E2">
        <w:rPr>
          <w:rFonts w:ascii="Arial" w:eastAsia="Times New Roman" w:hAnsi="Arial" w:cs="Arial"/>
        </w:rPr>
        <w:t xml:space="preserve">από το </w:t>
      </w:r>
      <w:r w:rsidR="00394879" w:rsidRPr="00D256E2">
        <w:rPr>
          <w:rFonts w:ascii="Arial" w:eastAsia="Times New Roman" w:hAnsi="Arial" w:cs="Arial"/>
        </w:rPr>
        <w:t>Γ</w:t>
      </w:r>
      <w:r w:rsidRPr="00D256E2">
        <w:rPr>
          <w:rFonts w:ascii="Arial" w:eastAsia="Times New Roman" w:hAnsi="Arial" w:cs="Arial"/>
        </w:rPr>
        <w:t>’ τρίμηνο του 202</w:t>
      </w:r>
      <w:r w:rsidR="00702AF3" w:rsidRPr="00D256E2">
        <w:rPr>
          <w:rFonts w:ascii="Arial" w:eastAsia="Times New Roman" w:hAnsi="Arial" w:cs="Arial"/>
        </w:rPr>
        <w:t>4</w:t>
      </w:r>
      <w:r w:rsidR="00F02045" w:rsidRPr="00D256E2">
        <w:rPr>
          <w:rFonts w:ascii="Arial" w:eastAsia="Times New Roman" w:hAnsi="Arial" w:cs="Arial"/>
        </w:rPr>
        <w:t xml:space="preserve">, </w:t>
      </w:r>
      <w:r w:rsidR="00D256E2" w:rsidRPr="00D256E2">
        <w:rPr>
          <w:rFonts w:ascii="Arial" w:eastAsia="Times New Roman" w:hAnsi="Arial" w:cs="Arial"/>
        </w:rPr>
        <w:t xml:space="preserve">ενώ οι συνολικές επενδύσεις τους εννέα πρώτους μήνες ανήλθαν στα €437,1 εκατ. </w:t>
      </w:r>
      <w:r w:rsidR="005B2F68">
        <w:rPr>
          <w:rFonts w:ascii="Arial" w:eastAsia="Times New Roman" w:hAnsi="Arial" w:cs="Arial"/>
        </w:rPr>
        <w:t>από</w:t>
      </w:r>
      <w:r w:rsidR="00D256E2" w:rsidRPr="00D256E2">
        <w:rPr>
          <w:rFonts w:ascii="Arial" w:eastAsia="Times New Roman" w:hAnsi="Arial" w:cs="Arial"/>
        </w:rPr>
        <w:t xml:space="preserve"> €404,1 εκατ. </w:t>
      </w:r>
      <w:r w:rsidR="005B2F68">
        <w:rPr>
          <w:rFonts w:ascii="Arial" w:eastAsia="Times New Roman" w:hAnsi="Arial" w:cs="Arial"/>
        </w:rPr>
        <w:t>πέρσι</w:t>
      </w:r>
      <w:r w:rsidR="00C239C0">
        <w:rPr>
          <w:rFonts w:ascii="Arial" w:eastAsia="Times New Roman" w:hAnsi="Arial" w:cs="Arial"/>
        </w:rPr>
        <w:t xml:space="preserve">, </w:t>
      </w:r>
      <w:r w:rsidR="004C4D58" w:rsidRPr="00D256E2">
        <w:rPr>
          <w:rFonts w:ascii="Arial" w:eastAsia="Times New Roman" w:hAnsi="Arial" w:cs="Arial"/>
        </w:rPr>
        <w:t xml:space="preserve">κυρίως </w:t>
      </w:r>
      <w:r w:rsidR="00295D2C" w:rsidRPr="00D256E2">
        <w:rPr>
          <w:rFonts w:ascii="Arial" w:eastAsia="Times New Roman" w:hAnsi="Arial" w:cs="Arial"/>
        </w:rPr>
        <w:t xml:space="preserve">λόγω </w:t>
      </w:r>
      <w:r w:rsidR="001C64D7" w:rsidRPr="00D256E2">
        <w:rPr>
          <w:rFonts w:ascii="Arial" w:eastAsia="Times New Roman" w:hAnsi="Arial" w:cs="Arial"/>
        </w:rPr>
        <w:t xml:space="preserve">της </w:t>
      </w:r>
      <w:r w:rsidR="006B0B80" w:rsidRPr="00D256E2">
        <w:rPr>
          <w:rFonts w:ascii="Arial" w:eastAsia="Times New Roman" w:hAnsi="Arial" w:cs="Arial"/>
        </w:rPr>
        <w:t xml:space="preserve">συνεχούς </w:t>
      </w:r>
      <w:r w:rsidR="00F93590" w:rsidRPr="00D256E2">
        <w:rPr>
          <w:rFonts w:ascii="Arial" w:eastAsia="Times New Roman" w:hAnsi="Arial" w:cs="Arial"/>
        </w:rPr>
        <w:t xml:space="preserve">ανάπτυξης του </w:t>
      </w:r>
      <w:r w:rsidR="001E0EDE" w:rsidRPr="00D256E2">
        <w:rPr>
          <w:rFonts w:ascii="Arial" w:eastAsia="Times New Roman" w:hAnsi="Arial" w:cs="Arial"/>
        </w:rPr>
        <w:t>δικτύου</w:t>
      </w:r>
      <w:r w:rsidR="001C64D7" w:rsidRPr="00D256E2">
        <w:rPr>
          <w:rFonts w:ascii="Arial" w:eastAsia="Times New Roman" w:hAnsi="Arial" w:cs="Arial"/>
        </w:rPr>
        <w:t xml:space="preserve"> FTTH</w:t>
      </w:r>
      <w:r w:rsidR="00394879" w:rsidRPr="00D256E2">
        <w:rPr>
          <w:rFonts w:ascii="Arial" w:eastAsia="Times New Roman" w:hAnsi="Arial" w:cs="Arial"/>
        </w:rPr>
        <w:t xml:space="preserve"> και της επέκτασης </w:t>
      </w:r>
      <w:r w:rsidR="002C0974">
        <w:rPr>
          <w:rFonts w:ascii="Arial" w:eastAsia="Times New Roman" w:hAnsi="Arial" w:cs="Arial"/>
        </w:rPr>
        <w:t xml:space="preserve">του </w:t>
      </w:r>
      <w:r w:rsidR="00394879" w:rsidRPr="00D256E2">
        <w:rPr>
          <w:rFonts w:ascii="Arial" w:eastAsia="Times New Roman" w:hAnsi="Arial" w:cs="Arial"/>
        </w:rPr>
        <w:t xml:space="preserve"> FWA</w:t>
      </w:r>
      <w:r w:rsidR="001C51D3" w:rsidRPr="00D256E2">
        <w:rPr>
          <w:rFonts w:ascii="Arial" w:eastAsia="Times New Roman" w:hAnsi="Arial" w:cs="Arial"/>
        </w:rPr>
        <w:t>.</w:t>
      </w:r>
      <w:r w:rsidR="001C64D7" w:rsidRPr="00D256E2">
        <w:rPr>
          <w:rFonts w:ascii="Arial" w:eastAsia="Times New Roman" w:hAnsi="Arial" w:cs="Arial"/>
        </w:rPr>
        <w:t xml:space="preserve"> </w:t>
      </w:r>
    </w:p>
    <w:p w14:paraId="09ACD2E7" w14:textId="7F92A769" w:rsidR="00087FCE" w:rsidRPr="006F7957" w:rsidRDefault="00AA23E0" w:rsidP="00087FCE">
      <w:pPr>
        <w:spacing w:before="120" w:line="280" w:lineRule="exact"/>
        <w:jc w:val="both"/>
        <w:rPr>
          <w:rFonts w:ascii="Arial" w:hAnsi="Arial" w:cs="Arial"/>
          <w:color w:val="FF0000"/>
        </w:rPr>
      </w:pPr>
      <w:r w:rsidRPr="009C4233">
        <w:rPr>
          <w:rFonts w:ascii="Arial" w:hAnsi="Arial" w:cs="Arial"/>
          <w:b/>
          <w:bCs/>
        </w:rPr>
        <w:t>Οι</w:t>
      </w:r>
      <w:r w:rsidR="00224417" w:rsidRPr="009C4233">
        <w:rPr>
          <w:rFonts w:ascii="Arial" w:hAnsi="Arial" w:cs="Arial"/>
          <w:b/>
          <w:bCs/>
        </w:rPr>
        <w:t xml:space="preserve"> ελεύθερες ταμειακές ροές μετά από μισθώσεις</w:t>
      </w:r>
      <w:r w:rsidR="00C85D60" w:rsidRPr="009C4233">
        <w:rPr>
          <w:rFonts w:ascii="Arial" w:hAnsi="Arial" w:cs="Arial"/>
        </w:rPr>
        <w:t xml:space="preserve"> </w:t>
      </w:r>
      <w:r w:rsidR="00C17C73" w:rsidRPr="009C4233">
        <w:rPr>
          <w:rFonts w:ascii="Arial" w:hAnsi="Arial" w:cs="Arial"/>
          <w:b/>
          <w:bCs/>
        </w:rPr>
        <w:t>από συνεχιζόμενες λειτουργίες</w:t>
      </w:r>
      <w:r w:rsidR="00C17C73" w:rsidRPr="009C4233">
        <w:rPr>
          <w:rFonts w:ascii="Arial" w:hAnsi="Arial" w:cs="Arial"/>
        </w:rPr>
        <w:t xml:space="preserve"> </w:t>
      </w:r>
      <w:r w:rsidR="00C85D60" w:rsidRPr="009C4233">
        <w:rPr>
          <w:rFonts w:ascii="Arial" w:hAnsi="Arial" w:cs="Arial"/>
        </w:rPr>
        <w:t>διαμορφώθηκαν</w:t>
      </w:r>
      <w:r w:rsidR="00F20096" w:rsidRPr="009C4233">
        <w:rPr>
          <w:rFonts w:ascii="Arial" w:hAnsi="Arial" w:cs="Arial"/>
        </w:rPr>
        <w:t xml:space="preserve"> </w:t>
      </w:r>
      <w:r w:rsidR="00146585" w:rsidRPr="009C4233">
        <w:rPr>
          <w:rFonts w:ascii="Arial" w:hAnsi="Arial" w:cs="Arial"/>
        </w:rPr>
        <w:t xml:space="preserve">σε </w:t>
      </w:r>
      <w:r w:rsidR="00C85D60" w:rsidRPr="009C4233">
        <w:rPr>
          <w:rFonts w:ascii="Arial" w:hAnsi="Arial" w:cs="Arial"/>
        </w:rPr>
        <w:t>€</w:t>
      </w:r>
      <w:r w:rsidR="008F683B" w:rsidRPr="009C4233">
        <w:rPr>
          <w:rFonts w:ascii="Arial" w:hAnsi="Arial" w:cs="Arial"/>
        </w:rPr>
        <w:t>1</w:t>
      </w:r>
      <w:r w:rsidR="009C4233" w:rsidRPr="009C4233">
        <w:rPr>
          <w:rFonts w:ascii="Arial" w:hAnsi="Arial" w:cs="Arial"/>
        </w:rPr>
        <w:t>07,6</w:t>
      </w:r>
      <w:r w:rsidR="00146585" w:rsidRPr="009C4233">
        <w:rPr>
          <w:rFonts w:ascii="Arial" w:hAnsi="Arial" w:cs="Arial"/>
        </w:rPr>
        <w:t xml:space="preserve"> εκατ.</w:t>
      </w:r>
      <w:r w:rsidR="00087FCE" w:rsidRPr="009C4233">
        <w:rPr>
          <w:rFonts w:ascii="Arial" w:hAnsi="Arial" w:cs="Arial"/>
        </w:rPr>
        <w:t xml:space="preserve"> στο </w:t>
      </w:r>
      <w:r w:rsidR="009C4233" w:rsidRPr="009C4233">
        <w:rPr>
          <w:rFonts w:ascii="Arial" w:hAnsi="Arial" w:cs="Arial"/>
        </w:rPr>
        <w:t>Γ</w:t>
      </w:r>
      <w:r w:rsidR="00087FCE" w:rsidRPr="009C4233">
        <w:rPr>
          <w:rFonts w:ascii="Arial" w:hAnsi="Arial" w:cs="Arial"/>
        </w:rPr>
        <w:t xml:space="preserve">’ τρίμηνο </w:t>
      </w:r>
      <w:r w:rsidR="001E0EDE" w:rsidRPr="009C4233">
        <w:rPr>
          <w:rFonts w:ascii="Arial" w:hAnsi="Arial" w:cs="Arial"/>
        </w:rPr>
        <w:t xml:space="preserve">του </w:t>
      </w:r>
      <w:r w:rsidR="00087FCE" w:rsidRPr="009C4233">
        <w:rPr>
          <w:rFonts w:ascii="Arial" w:hAnsi="Arial" w:cs="Arial"/>
        </w:rPr>
        <w:t>2025</w:t>
      </w:r>
      <w:r w:rsidR="00F93590" w:rsidRPr="009C4233">
        <w:rPr>
          <w:rFonts w:ascii="Arial" w:hAnsi="Arial" w:cs="Arial"/>
        </w:rPr>
        <w:t>,</w:t>
      </w:r>
      <w:r w:rsidR="00FB0B6C" w:rsidRPr="009C4233">
        <w:rPr>
          <w:rFonts w:ascii="Arial" w:hAnsi="Arial" w:cs="Arial"/>
        </w:rPr>
        <w:t xml:space="preserve"> σε σύγκριση με €</w:t>
      </w:r>
      <w:r w:rsidR="009C4233" w:rsidRPr="009C4233">
        <w:rPr>
          <w:rFonts w:ascii="Arial" w:hAnsi="Arial" w:cs="Arial"/>
        </w:rPr>
        <w:t>99,9</w:t>
      </w:r>
      <w:r w:rsidR="00FB0B6C" w:rsidRPr="009C4233">
        <w:rPr>
          <w:rFonts w:ascii="Arial" w:hAnsi="Arial" w:cs="Arial"/>
        </w:rPr>
        <w:t xml:space="preserve"> εκατ. το </w:t>
      </w:r>
      <w:r w:rsidR="009C4233" w:rsidRPr="009C4233">
        <w:rPr>
          <w:rFonts w:ascii="Arial" w:hAnsi="Arial" w:cs="Arial"/>
        </w:rPr>
        <w:t>Γ</w:t>
      </w:r>
      <w:r w:rsidR="00FB0B6C" w:rsidRPr="009C4233">
        <w:rPr>
          <w:rFonts w:ascii="Arial" w:hAnsi="Arial" w:cs="Arial"/>
        </w:rPr>
        <w:t>’ τρίμηνο του 2024</w:t>
      </w:r>
      <w:r w:rsidR="009D60E2">
        <w:rPr>
          <w:rFonts w:ascii="Arial" w:hAnsi="Arial" w:cs="Arial"/>
        </w:rPr>
        <w:t>,</w:t>
      </w:r>
      <w:r w:rsidR="00654E8E">
        <w:rPr>
          <w:rFonts w:ascii="Arial" w:hAnsi="Arial" w:cs="Arial"/>
        </w:rPr>
        <w:t xml:space="preserve"> αντανακλώντας κυρίως την αύξηση στο </w:t>
      </w:r>
      <w:r w:rsidR="00654E8E">
        <w:rPr>
          <w:rFonts w:ascii="Arial" w:hAnsi="Arial" w:cs="Arial"/>
          <w:lang w:val="en-US"/>
        </w:rPr>
        <w:t>EBITDA</w:t>
      </w:r>
      <w:r w:rsidR="006F7957" w:rsidRPr="001B0796">
        <w:rPr>
          <w:rFonts w:ascii="Arial" w:hAnsi="Arial" w:cs="Arial"/>
        </w:rPr>
        <w:t>.</w:t>
      </w:r>
      <w:r w:rsidR="006F7957" w:rsidRPr="006F7957">
        <w:rPr>
          <w:rFonts w:ascii="Arial" w:hAnsi="Arial" w:cs="Arial"/>
        </w:rPr>
        <w:t xml:space="preserve"> </w:t>
      </w:r>
      <w:r w:rsidR="006F7957" w:rsidRPr="001B0796">
        <w:rPr>
          <w:rFonts w:ascii="Arial" w:hAnsi="Arial" w:cs="Arial"/>
        </w:rPr>
        <w:t xml:space="preserve">Ο Όμιλος κατέγραψε χαμηλότερες εκροές φόρου εισοδήματος και αυξημένες ανάγκες σε κεφάλαιο κίνησης, </w:t>
      </w:r>
      <w:r w:rsidR="000176FA" w:rsidRPr="001B0796">
        <w:rPr>
          <w:rFonts w:ascii="Arial" w:hAnsi="Arial" w:cs="Arial"/>
        </w:rPr>
        <w:t xml:space="preserve">ως αποτέλεσμα </w:t>
      </w:r>
      <w:r w:rsidR="001B0796" w:rsidRPr="001B0796">
        <w:rPr>
          <w:rFonts w:ascii="Arial" w:hAnsi="Arial" w:cs="Arial"/>
        </w:rPr>
        <w:t>διαφορετικών συμψηφισμών</w:t>
      </w:r>
      <w:r w:rsidR="000176FA" w:rsidRPr="001B0796">
        <w:rPr>
          <w:rFonts w:ascii="Arial" w:hAnsi="Arial" w:cs="Arial"/>
        </w:rPr>
        <w:t xml:space="preserve"> μεταξύ φόρων εισοδήματος και απαιτήσεων ή προκαταβολών που σχετίζονται με τον δημόσιο τομέα (βλ. σημείωση στο Παράρτημα IV – Κατάσταση Ταμειακών Ροών).</w:t>
      </w:r>
    </w:p>
    <w:p w14:paraId="711FFD59" w14:textId="3C756ECA" w:rsidR="00403919" w:rsidRPr="00FD0D6F" w:rsidRDefault="009E285A" w:rsidP="00292629">
      <w:pPr>
        <w:spacing w:before="120" w:line="280" w:lineRule="exact"/>
        <w:jc w:val="both"/>
        <w:rPr>
          <w:rFonts w:ascii="Arial" w:hAnsi="Arial" w:cs="Arial"/>
        </w:rPr>
      </w:pPr>
      <w:r w:rsidRPr="00FD0D6F">
        <w:rPr>
          <w:rFonts w:ascii="Arial" w:hAnsi="Arial" w:cs="Arial"/>
          <w:b/>
          <w:bCs/>
        </w:rPr>
        <w:t>Ο καθαρός δανεισμός του Ομίλου</w:t>
      </w:r>
      <w:r w:rsidRPr="00FD0D6F">
        <w:rPr>
          <w:rFonts w:ascii="Arial" w:hAnsi="Arial" w:cs="Arial"/>
        </w:rPr>
        <w:t xml:space="preserve"> </w:t>
      </w:r>
      <w:r w:rsidR="00755F6C" w:rsidRPr="00FD0D6F">
        <w:rPr>
          <w:rFonts w:ascii="Arial" w:hAnsi="Arial" w:cs="Arial"/>
        </w:rPr>
        <w:t xml:space="preserve">την </w:t>
      </w:r>
      <w:r w:rsidR="00C36CA5" w:rsidRPr="00FD0D6F">
        <w:rPr>
          <w:rFonts w:ascii="Arial" w:hAnsi="Arial" w:cs="Arial"/>
        </w:rPr>
        <w:t>30</w:t>
      </w:r>
      <w:r w:rsidR="00C12599">
        <w:rPr>
          <w:rFonts w:ascii="Arial" w:hAnsi="Arial" w:cs="Arial"/>
        </w:rPr>
        <w:t>ή</w:t>
      </w:r>
      <w:r w:rsidRPr="00FD0D6F">
        <w:rPr>
          <w:rFonts w:ascii="Arial" w:hAnsi="Arial" w:cs="Arial"/>
        </w:rPr>
        <w:t xml:space="preserve"> </w:t>
      </w:r>
      <w:r w:rsidR="00FD0D6F" w:rsidRPr="00FD0D6F">
        <w:rPr>
          <w:rFonts w:ascii="Arial" w:hAnsi="Arial" w:cs="Arial"/>
        </w:rPr>
        <w:t>Σεπτεμβρίου</w:t>
      </w:r>
      <w:r w:rsidR="00C36CA5" w:rsidRPr="00FD0D6F">
        <w:rPr>
          <w:rFonts w:ascii="Arial" w:hAnsi="Arial" w:cs="Arial"/>
        </w:rPr>
        <w:t xml:space="preserve"> </w:t>
      </w:r>
      <w:r w:rsidRPr="00FD0D6F">
        <w:rPr>
          <w:rFonts w:ascii="Arial" w:hAnsi="Arial" w:cs="Arial"/>
        </w:rPr>
        <w:t>202</w:t>
      </w:r>
      <w:r w:rsidR="005B4FE6" w:rsidRPr="00FD0D6F">
        <w:rPr>
          <w:rFonts w:ascii="Arial" w:hAnsi="Arial" w:cs="Arial"/>
        </w:rPr>
        <w:t>5</w:t>
      </w:r>
      <w:r w:rsidRPr="00FD0D6F">
        <w:rPr>
          <w:rFonts w:ascii="Arial" w:hAnsi="Arial" w:cs="Arial"/>
        </w:rPr>
        <w:t xml:space="preserve"> διαμορφώθηκε σε €</w:t>
      </w:r>
      <w:r w:rsidR="00FD0D6F" w:rsidRPr="00FD0D6F">
        <w:rPr>
          <w:rFonts w:ascii="Arial" w:hAnsi="Arial" w:cs="Arial"/>
        </w:rPr>
        <w:t>698,1</w:t>
      </w:r>
      <w:r w:rsidRPr="00FD0D6F">
        <w:rPr>
          <w:rFonts w:ascii="Arial" w:hAnsi="Arial" w:cs="Arial"/>
        </w:rPr>
        <w:t xml:space="preserve"> εκατ. </w:t>
      </w:r>
      <w:r w:rsidR="001B4D66" w:rsidRPr="00FD0D6F">
        <w:rPr>
          <w:rFonts w:ascii="Arial" w:hAnsi="Arial" w:cs="Arial"/>
        </w:rPr>
        <w:t>και</w:t>
      </w:r>
      <w:r w:rsidRPr="00FD0D6F">
        <w:rPr>
          <w:rFonts w:ascii="Arial" w:hAnsi="Arial" w:cs="Arial"/>
        </w:rPr>
        <w:t xml:space="preserve"> αντιστοιχεί σε 0,</w:t>
      </w:r>
      <w:r w:rsidR="00FD0D6F" w:rsidRPr="00FD0D6F">
        <w:rPr>
          <w:rFonts w:ascii="Arial" w:hAnsi="Arial" w:cs="Arial"/>
        </w:rPr>
        <w:t>5</w:t>
      </w:r>
      <w:r w:rsidRPr="00FD0D6F">
        <w:rPr>
          <w:rFonts w:ascii="Arial" w:hAnsi="Arial" w:cs="Arial"/>
        </w:rPr>
        <w:t xml:space="preserve"> φορές</w:t>
      </w:r>
      <w:r w:rsidR="00D0498F" w:rsidRPr="00FD0D6F">
        <w:rPr>
          <w:rFonts w:ascii="Arial" w:hAnsi="Arial" w:cs="Arial"/>
        </w:rPr>
        <w:t xml:space="preserve"> το</w:t>
      </w:r>
      <w:r w:rsidRPr="00FD0D6F">
        <w:rPr>
          <w:rFonts w:ascii="Arial" w:hAnsi="Arial" w:cs="Arial"/>
        </w:rPr>
        <w:t xml:space="preserve"> προσαρμοσμένο ΕΒΙ</w:t>
      </w:r>
      <w:r w:rsidRPr="00FD0D6F">
        <w:rPr>
          <w:rFonts w:ascii="Arial" w:hAnsi="Arial" w:cs="Arial"/>
          <w:lang w:val="en-US"/>
        </w:rPr>
        <w:t>TDA</w:t>
      </w:r>
      <w:r w:rsidRPr="00FD0D6F">
        <w:rPr>
          <w:rFonts w:ascii="Arial" w:hAnsi="Arial" w:cs="Arial"/>
        </w:rPr>
        <w:t xml:space="preserve"> (</w:t>
      </w:r>
      <w:r w:rsidRPr="00FD0D6F">
        <w:rPr>
          <w:rFonts w:ascii="Arial" w:hAnsi="Arial" w:cs="Arial"/>
          <w:lang w:val="en-US"/>
        </w:rPr>
        <w:t>AL</w:t>
      </w:r>
      <w:r w:rsidRPr="00FD0D6F">
        <w:rPr>
          <w:rFonts w:ascii="Arial" w:hAnsi="Arial" w:cs="Arial"/>
        </w:rPr>
        <w:t>)</w:t>
      </w:r>
      <w:r w:rsidR="004B082A" w:rsidRPr="00FD0D6F">
        <w:rPr>
          <w:rFonts w:ascii="Arial" w:hAnsi="Arial" w:cs="Arial"/>
        </w:rPr>
        <w:t xml:space="preserve"> σε δωδεκάμηνη βάση</w:t>
      </w:r>
      <w:r w:rsidRPr="00FD0D6F">
        <w:rPr>
          <w:rFonts w:ascii="Arial" w:hAnsi="Arial" w:cs="Arial"/>
        </w:rPr>
        <w:t>.</w:t>
      </w:r>
      <w:r w:rsidR="00B90F14" w:rsidRPr="00FD0D6F">
        <w:rPr>
          <w:rFonts w:ascii="Arial" w:hAnsi="Arial" w:cs="Arial"/>
        </w:rPr>
        <w:t xml:space="preserve"> </w:t>
      </w:r>
      <w:r w:rsidR="00F52E8A" w:rsidRPr="00FD0D6F">
        <w:rPr>
          <w:rFonts w:ascii="Arial" w:hAnsi="Arial" w:cs="Arial"/>
        </w:rPr>
        <w:t>Η</w:t>
      </w:r>
      <w:r w:rsidRPr="00FD0D6F">
        <w:rPr>
          <w:rFonts w:ascii="Arial" w:hAnsi="Arial" w:cs="Arial"/>
        </w:rPr>
        <w:t xml:space="preserve"> επόμενη </w:t>
      </w:r>
      <w:r w:rsidR="00B22272" w:rsidRPr="00FD0D6F">
        <w:rPr>
          <w:rFonts w:ascii="Arial" w:hAnsi="Arial" w:cs="Arial"/>
        </w:rPr>
        <w:t xml:space="preserve">σημαντική </w:t>
      </w:r>
      <w:r w:rsidRPr="00FD0D6F">
        <w:rPr>
          <w:rFonts w:ascii="Arial" w:hAnsi="Arial" w:cs="Arial"/>
        </w:rPr>
        <w:t xml:space="preserve">αποπληρωμή ομολόγου </w:t>
      </w:r>
      <w:r w:rsidR="00F52E8A" w:rsidRPr="00FD0D6F">
        <w:rPr>
          <w:rFonts w:ascii="Arial" w:hAnsi="Arial" w:cs="Arial"/>
        </w:rPr>
        <w:t xml:space="preserve">για τον Όμιλο </w:t>
      </w:r>
      <w:r w:rsidR="009D60E2">
        <w:rPr>
          <w:rFonts w:ascii="Arial" w:hAnsi="Arial" w:cs="Arial"/>
        </w:rPr>
        <w:t>είναι</w:t>
      </w:r>
      <w:r w:rsidR="009D60E2" w:rsidRPr="00FD0D6F">
        <w:rPr>
          <w:rFonts w:ascii="Arial" w:hAnsi="Arial" w:cs="Arial"/>
        </w:rPr>
        <w:t xml:space="preserve"> </w:t>
      </w:r>
      <w:r w:rsidRPr="00FD0D6F">
        <w:rPr>
          <w:rFonts w:ascii="Arial" w:hAnsi="Arial" w:cs="Arial"/>
        </w:rPr>
        <w:t>τον Σεπτέμβριο του 2026 (</w:t>
      </w:r>
      <w:r w:rsidR="00F52E8A" w:rsidRPr="00FD0D6F">
        <w:rPr>
          <w:rFonts w:ascii="Arial" w:hAnsi="Arial" w:cs="Arial"/>
        </w:rPr>
        <w:t xml:space="preserve">Ομόλογο </w:t>
      </w:r>
      <w:r w:rsidRPr="00FD0D6F">
        <w:rPr>
          <w:rFonts w:ascii="Arial" w:hAnsi="Arial" w:cs="Arial"/>
        </w:rPr>
        <w:t>€500 εκατ.</w:t>
      </w:r>
      <w:r w:rsidR="00F52E8A" w:rsidRPr="00FD0D6F">
        <w:rPr>
          <w:rFonts w:ascii="Arial" w:hAnsi="Arial" w:cs="Arial"/>
        </w:rPr>
        <w:t>,</w:t>
      </w:r>
      <w:r w:rsidRPr="00FD0D6F">
        <w:rPr>
          <w:rFonts w:ascii="Arial" w:hAnsi="Arial" w:cs="Arial"/>
        </w:rPr>
        <w:t xml:space="preserve"> 0</w:t>
      </w:r>
      <w:r w:rsidR="00F52E8A" w:rsidRPr="00FD0D6F">
        <w:rPr>
          <w:rFonts w:ascii="Arial" w:hAnsi="Arial" w:cs="Arial"/>
        </w:rPr>
        <w:t>,</w:t>
      </w:r>
      <w:r w:rsidRPr="00FD0D6F">
        <w:rPr>
          <w:rFonts w:ascii="Arial" w:hAnsi="Arial" w:cs="Arial"/>
        </w:rPr>
        <w:t>875%)</w:t>
      </w:r>
      <w:r w:rsidR="00F52E8A" w:rsidRPr="00FD0D6F">
        <w:rPr>
          <w:rFonts w:ascii="Arial" w:hAnsi="Arial" w:cs="Arial"/>
        </w:rPr>
        <w:t>.</w:t>
      </w:r>
      <w:r w:rsidRPr="00FD0D6F">
        <w:rPr>
          <w:rFonts w:ascii="Arial" w:hAnsi="Arial" w:cs="Arial"/>
        </w:rPr>
        <w:t xml:space="preserve"> </w:t>
      </w:r>
    </w:p>
    <w:p w14:paraId="55C4857F" w14:textId="77777777" w:rsidR="001D7A36" w:rsidRPr="00CE2C10" w:rsidRDefault="001D7A36" w:rsidP="009E285A">
      <w:pPr>
        <w:jc w:val="both"/>
        <w:rPr>
          <w:rFonts w:ascii="Arial" w:hAnsi="Arial" w:cs="Arial"/>
          <w:b/>
          <w:bCs/>
        </w:rPr>
      </w:pPr>
    </w:p>
    <w:p w14:paraId="1CE451EE" w14:textId="5CC58441" w:rsidR="00BE7035" w:rsidRPr="00FB20CB" w:rsidRDefault="00BE7035" w:rsidP="005376F7">
      <w:pPr>
        <w:pStyle w:val="Tittle2"/>
        <w:rPr>
          <w:rFonts w:cs="Arial"/>
          <w:b w:val="0"/>
          <w:szCs w:val="24"/>
          <w:lang w:val="el-GR"/>
        </w:rPr>
      </w:pPr>
      <w:r w:rsidRPr="00FB20CB">
        <w:rPr>
          <w:rFonts w:cs="Arial"/>
          <w:lang w:val="el-GR"/>
        </w:rPr>
        <w:t>ΛΕΙΤΟΥΡΓΙΚΑ ΣΤΟΙΧΕΙΑ</w:t>
      </w:r>
    </w:p>
    <w:p w14:paraId="1EABB0BB" w14:textId="2CAD21C7" w:rsidR="00475EE9" w:rsidRPr="00FB20CB" w:rsidRDefault="00475EE9" w:rsidP="00475EE9">
      <w:pPr>
        <w:pStyle w:val="Caption"/>
        <w:keepNext/>
        <w:rPr>
          <w:rFonts w:cs="Arial"/>
          <w:lang w:val="el-GR"/>
        </w:rPr>
      </w:pPr>
      <w:r w:rsidRPr="00FB20CB">
        <w:rPr>
          <w:rFonts w:cs="Arial"/>
          <w:lang w:val="el-GR"/>
        </w:rPr>
        <w:t xml:space="preserve">Λειτουργικά Στοιχεία Σταθερής </w:t>
      </w:r>
    </w:p>
    <w:tbl>
      <w:tblPr>
        <w:tblStyle w:val="TableGrid"/>
        <w:tblW w:w="105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6"/>
        <w:gridCol w:w="1437"/>
        <w:gridCol w:w="1437"/>
        <w:gridCol w:w="1436"/>
        <w:gridCol w:w="1437"/>
        <w:gridCol w:w="1436"/>
      </w:tblGrid>
      <w:tr w:rsidR="00732467" w:rsidRPr="001745EE" w14:paraId="78EB08C8" w14:textId="77777777" w:rsidTr="006B2DDB">
        <w:trPr>
          <w:trHeight w:val="462"/>
        </w:trPr>
        <w:tc>
          <w:tcPr>
            <w:tcW w:w="3396" w:type="dxa"/>
            <w:tcBorders>
              <w:top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F2F2F2" w:themeFill="background1" w:themeFillShade="F2"/>
            <w:vAlign w:val="center"/>
          </w:tcPr>
          <w:p w14:paraId="6C2ADD39" w14:textId="043C90D4" w:rsidR="00732467" w:rsidRPr="00DB0DFE" w:rsidRDefault="00732467" w:rsidP="00732467">
            <w:pPr>
              <w:pStyle w:val="ColorfulList-Accent11"/>
              <w:tabs>
                <w:tab w:val="left" w:pos="0"/>
                <w:tab w:val="left" w:pos="284"/>
              </w:tabs>
              <w:ind w:left="0" w:right="-90"/>
              <w:rPr>
                <w:rFonts w:ascii="Arial" w:hAnsi="Arial" w:cs="Arial"/>
                <w:i/>
              </w:rPr>
            </w:pPr>
            <w:proofErr w:type="spellStart"/>
            <w:r w:rsidRPr="004B27A4">
              <w:rPr>
                <w:rFonts w:ascii="Arial" w:hAnsi="Arial" w:cs="Arial"/>
                <w:b/>
              </w:rPr>
              <w:t>Λειτουργικά</w:t>
            </w:r>
            <w:proofErr w:type="spellEnd"/>
            <w:r w:rsidRPr="004B27A4">
              <w:rPr>
                <w:rFonts w:ascii="Arial" w:hAnsi="Arial" w:cs="Arial"/>
                <w:b/>
              </w:rPr>
              <w:t xml:space="preserve"> </w:t>
            </w:r>
            <w:proofErr w:type="spellStart"/>
            <w:r w:rsidRPr="004B27A4">
              <w:rPr>
                <w:rFonts w:ascii="Arial" w:hAnsi="Arial" w:cs="Arial"/>
                <w:b/>
              </w:rPr>
              <w:t>Στοιχεί</w:t>
            </w:r>
            <w:proofErr w:type="spellEnd"/>
            <w:r w:rsidRPr="004B27A4">
              <w:rPr>
                <w:rFonts w:ascii="Arial" w:hAnsi="Arial" w:cs="Arial"/>
                <w:b/>
              </w:rPr>
              <w:t xml:space="preserve">α </w:t>
            </w:r>
            <w:proofErr w:type="spellStart"/>
            <w:r w:rsidRPr="004B27A4">
              <w:rPr>
                <w:rFonts w:ascii="Arial" w:hAnsi="Arial" w:cs="Arial"/>
                <w:b/>
              </w:rPr>
              <w:t>Στ</w:t>
            </w:r>
            <w:proofErr w:type="spellEnd"/>
            <w:r w:rsidRPr="004B27A4">
              <w:rPr>
                <w:rFonts w:ascii="Arial" w:hAnsi="Arial" w:cs="Arial"/>
                <w:b/>
              </w:rPr>
              <w:t>αθερής</w:t>
            </w:r>
          </w:p>
        </w:tc>
        <w:tc>
          <w:tcPr>
            <w:tcW w:w="1437" w:type="dxa"/>
            <w:tcBorders>
              <w:top w:val="single" w:sz="2" w:space="0" w:color="BFBFBF" w:themeColor="background1" w:themeShade="BF"/>
              <w:left w:val="single" w:sz="2" w:space="0" w:color="BFBFBF" w:themeColor="background1" w:themeShade="BF"/>
              <w:bottom w:val="single" w:sz="2" w:space="0" w:color="BFBFBF" w:themeColor="background1" w:themeShade="BF"/>
            </w:tcBorders>
            <w:shd w:val="clear" w:color="auto" w:fill="F2F2F2" w:themeFill="background1" w:themeFillShade="F2"/>
            <w:vAlign w:val="center"/>
          </w:tcPr>
          <w:p w14:paraId="4375CFA3" w14:textId="77777777" w:rsidR="00732467" w:rsidRPr="00DB0DFE" w:rsidRDefault="00732467" w:rsidP="00732467">
            <w:pPr>
              <w:pStyle w:val="ColorfulList-Accent11"/>
              <w:tabs>
                <w:tab w:val="left" w:pos="0"/>
                <w:tab w:val="left" w:pos="284"/>
              </w:tabs>
              <w:ind w:left="0" w:right="-90"/>
              <w:jc w:val="center"/>
              <w:rPr>
                <w:rFonts w:ascii="Arial" w:hAnsi="Arial" w:cs="Arial"/>
                <w:i/>
              </w:rPr>
            </w:pPr>
            <w:r w:rsidRPr="00DB0DFE">
              <w:rPr>
                <w:rFonts w:ascii="Arial" w:hAnsi="Arial" w:cs="Arial"/>
                <w:b/>
              </w:rPr>
              <w:t>Q</w:t>
            </w:r>
            <w:r>
              <w:rPr>
                <w:rFonts w:ascii="Arial" w:hAnsi="Arial" w:cs="Arial"/>
                <w:b/>
              </w:rPr>
              <w:t>3</w:t>
            </w:r>
            <w:r w:rsidRPr="00DB0DFE">
              <w:rPr>
                <w:rFonts w:ascii="Arial" w:hAnsi="Arial" w:cs="Arial"/>
                <w:b/>
              </w:rPr>
              <w:t>'2</w:t>
            </w:r>
            <w:r>
              <w:rPr>
                <w:rFonts w:ascii="Arial" w:hAnsi="Arial" w:cs="Arial"/>
                <w:b/>
              </w:rPr>
              <w:t>5</w:t>
            </w:r>
          </w:p>
        </w:tc>
        <w:tc>
          <w:tcPr>
            <w:tcW w:w="1437" w:type="dxa"/>
            <w:tcBorders>
              <w:top w:val="single" w:sz="2" w:space="0" w:color="BFBFBF" w:themeColor="background1" w:themeShade="BF"/>
              <w:bottom w:val="single" w:sz="2" w:space="0" w:color="BFBFBF" w:themeColor="background1" w:themeShade="BF"/>
            </w:tcBorders>
            <w:shd w:val="clear" w:color="auto" w:fill="F2F2F2" w:themeFill="background1" w:themeFillShade="F2"/>
            <w:vAlign w:val="center"/>
          </w:tcPr>
          <w:p w14:paraId="19AB8AD7" w14:textId="77777777" w:rsidR="00732467" w:rsidRPr="00DB0DFE" w:rsidRDefault="00732467" w:rsidP="00732467">
            <w:pPr>
              <w:pStyle w:val="ColorfulList-Accent11"/>
              <w:tabs>
                <w:tab w:val="left" w:pos="0"/>
                <w:tab w:val="left" w:pos="284"/>
              </w:tabs>
              <w:ind w:left="0" w:right="-90"/>
              <w:jc w:val="center"/>
              <w:rPr>
                <w:rFonts w:ascii="Arial" w:hAnsi="Arial" w:cs="Arial"/>
                <w:i/>
              </w:rPr>
            </w:pPr>
            <w:r w:rsidRPr="00DB0DFE">
              <w:rPr>
                <w:rFonts w:ascii="Arial" w:hAnsi="Arial" w:cs="Arial"/>
                <w:b/>
              </w:rPr>
              <w:t>Q</w:t>
            </w:r>
            <w:r>
              <w:rPr>
                <w:rFonts w:ascii="Arial" w:hAnsi="Arial" w:cs="Arial"/>
                <w:b/>
              </w:rPr>
              <w:t>3</w:t>
            </w:r>
            <w:r w:rsidRPr="00DB0DFE">
              <w:rPr>
                <w:rFonts w:ascii="Arial" w:hAnsi="Arial" w:cs="Arial"/>
                <w:b/>
              </w:rPr>
              <w:t>'2</w:t>
            </w:r>
            <w:r>
              <w:rPr>
                <w:rFonts w:ascii="Arial" w:hAnsi="Arial" w:cs="Arial"/>
                <w:b/>
              </w:rPr>
              <w:t>4</w:t>
            </w:r>
          </w:p>
        </w:tc>
        <w:tc>
          <w:tcPr>
            <w:tcW w:w="1436" w:type="dxa"/>
            <w:tcBorders>
              <w:top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F2F2F2" w:themeFill="background1" w:themeFillShade="F2"/>
            <w:vAlign w:val="center"/>
          </w:tcPr>
          <w:p w14:paraId="64FA1FC9" w14:textId="77777777" w:rsidR="00732467" w:rsidRDefault="00732467" w:rsidP="00732467">
            <w:pPr>
              <w:pStyle w:val="ColorfulList-Accent11"/>
              <w:tabs>
                <w:tab w:val="left" w:pos="0"/>
                <w:tab w:val="left" w:pos="284"/>
              </w:tabs>
              <w:ind w:left="0" w:right="-90"/>
              <w:jc w:val="center"/>
              <w:rPr>
                <w:rFonts w:ascii="Arial" w:hAnsi="Arial" w:cs="Arial"/>
                <w:b/>
              </w:rPr>
            </w:pPr>
            <w:r>
              <w:rPr>
                <w:rFonts w:ascii="Arial" w:hAnsi="Arial" w:cs="Arial"/>
                <w:b/>
              </w:rPr>
              <w:t>y-o-y</w:t>
            </w:r>
          </w:p>
        </w:tc>
        <w:tc>
          <w:tcPr>
            <w:tcW w:w="1437" w:type="dxa"/>
            <w:tcBorders>
              <w:top w:val="single" w:sz="2" w:space="0" w:color="BFBFBF" w:themeColor="background1" w:themeShade="BF"/>
              <w:left w:val="single" w:sz="2" w:space="0" w:color="BFBFBF" w:themeColor="background1" w:themeShade="BF"/>
              <w:bottom w:val="single" w:sz="2" w:space="0" w:color="BFBFBF" w:themeColor="background1" w:themeShade="BF"/>
            </w:tcBorders>
            <w:shd w:val="clear" w:color="auto" w:fill="F2F2F2" w:themeFill="background1" w:themeFillShade="F2"/>
            <w:vAlign w:val="center"/>
          </w:tcPr>
          <w:p w14:paraId="6AA25F5F" w14:textId="77777777" w:rsidR="00732467" w:rsidRDefault="00732467" w:rsidP="00732467">
            <w:pPr>
              <w:pStyle w:val="ColorfulList-Accent11"/>
              <w:tabs>
                <w:tab w:val="left" w:pos="0"/>
                <w:tab w:val="left" w:pos="284"/>
              </w:tabs>
              <w:ind w:left="0" w:right="-90"/>
              <w:jc w:val="center"/>
              <w:rPr>
                <w:rFonts w:ascii="Arial" w:hAnsi="Arial" w:cs="Arial"/>
                <w:b/>
              </w:rPr>
            </w:pPr>
            <w:r>
              <w:rPr>
                <w:rFonts w:ascii="Arial" w:hAnsi="Arial" w:cs="Arial"/>
                <w:b/>
              </w:rPr>
              <w:t>y-o-y</w:t>
            </w:r>
          </w:p>
        </w:tc>
        <w:tc>
          <w:tcPr>
            <w:tcW w:w="1436" w:type="dxa"/>
            <w:tcBorders>
              <w:top w:val="single" w:sz="2" w:space="0" w:color="BFBFBF" w:themeColor="background1" w:themeShade="BF"/>
              <w:bottom w:val="single" w:sz="2" w:space="0" w:color="BFBFBF" w:themeColor="background1" w:themeShade="BF"/>
            </w:tcBorders>
            <w:shd w:val="clear" w:color="auto" w:fill="F2F2F2" w:themeFill="background1" w:themeFillShade="F2"/>
            <w:vAlign w:val="center"/>
          </w:tcPr>
          <w:p w14:paraId="7231BB4A" w14:textId="1D04A4F9" w:rsidR="00732467" w:rsidRPr="00CA2B0F" w:rsidRDefault="00CA2B0F" w:rsidP="00732467">
            <w:pPr>
              <w:pStyle w:val="ColorfulList-Accent11"/>
              <w:tabs>
                <w:tab w:val="left" w:pos="0"/>
                <w:tab w:val="left" w:pos="284"/>
              </w:tabs>
              <w:ind w:left="0" w:right="-90"/>
              <w:jc w:val="center"/>
              <w:rPr>
                <w:rFonts w:ascii="Arial" w:hAnsi="Arial" w:cs="Arial"/>
                <w:b/>
                <w:lang w:val="el-GR"/>
              </w:rPr>
            </w:pPr>
            <w:r>
              <w:rPr>
                <w:rFonts w:ascii="Arial" w:hAnsi="Arial" w:cs="Arial"/>
                <w:b/>
                <w:lang w:val="el-GR"/>
              </w:rPr>
              <w:t>Καθαρές προσθήκες</w:t>
            </w:r>
          </w:p>
        </w:tc>
      </w:tr>
      <w:tr w:rsidR="00732467" w:rsidRPr="001745EE" w14:paraId="3568A2E0" w14:textId="77777777" w:rsidTr="006B2DDB">
        <w:trPr>
          <w:trHeight w:val="362"/>
        </w:trPr>
        <w:tc>
          <w:tcPr>
            <w:tcW w:w="3396" w:type="dxa"/>
            <w:tcBorders>
              <w:top w:val="single" w:sz="2" w:space="0" w:color="BFBFBF" w:themeColor="background1" w:themeShade="BF"/>
              <w:right w:val="single" w:sz="2" w:space="0" w:color="BFBFBF" w:themeColor="background1" w:themeShade="BF"/>
            </w:tcBorders>
            <w:shd w:val="clear" w:color="auto" w:fill="FFFFFF" w:themeFill="background1"/>
            <w:vAlign w:val="center"/>
          </w:tcPr>
          <w:p w14:paraId="6BBCC715" w14:textId="5FA4F94E" w:rsidR="00732467" w:rsidRPr="00A42382" w:rsidRDefault="00732467" w:rsidP="00732467">
            <w:pPr>
              <w:pStyle w:val="ColorfulList-Accent11"/>
              <w:tabs>
                <w:tab w:val="left" w:pos="0"/>
                <w:tab w:val="left" w:pos="284"/>
              </w:tabs>
              <w:ind w:left="0" w:right="-90"/>
              <w:rPr>
                <w:rFonts w:ascii="Arial" w:hAnsi="Arial" w:cs="Arial"/>
                <w:b/>
                <w:i/>
              </w:rPr>
            </w:pPr>
            <w:proofErr w:type="spellStart"/>
            <w:r w:rsidRPr="004F331D">
              <w:rPr>
                <w:rFonts w:ascii="Arial" w:hAnsi="Arial" w:cs="Arial"/>
                <w:b/>
              </w:rPr>
              <w:t>Συνδέσεις</w:t>
            </w:r>
            <w:proofErr w:type="spellEnd"/>
            <w:r w:rsidRPr="004F331D">
              <w:rPr>
                <w:rFonts w:ascii="Arial" w:hAnsi="Arial" w:cs="Arial"/>
                <w:b/>
              </w:rPr>
              <w:t xml:space="preserve"> </w:t>
            </w:r>
            <w:proofErr w:type="spellStart"/>
            <w:r w:rsidRPr="004F331D">
              <w:rPr>
                <w:rFonts w:ascii="Arial" w:hAnsi="Arial" w:cs="Arial"/>
                <w:b/>
              </w:rPr>
              <w:t>Στ</w:t>
            </w:r>
            <w:proofErr w:type="spellEnd"/>
            <w:r w:rsidRPr="004F331D">
              <w:rPr>
                <w:rFonts w:ascii="Arial" w:hAnsi="Arial" w:cs="Arial"/>
                <w:b/>
              </w:rPr>
              <w:t>αθερής</w:t>
            </w:r>
          </w:p>
        </w:tc>
        <w:tc>
          <w:tcPr>
            <w:tcW w:w="1437" w:type="dxa"/>
            <w:tcBorders>
              <w:top w:val="single" w:sz="2" w:space="0" w:color="BFBFBF" w:themeColor="background1" w:themeShade="BF"/>
              <w:left w:val="single" w:sz="2" w:space="0" w:color="BFBFBF" w:themeColor="background1" w:themeShade="BF"/>
            </w:tcBorders>
            <w:shd w:val="clear" w:color="auto" w:fill="FFFFFF" w:themeFill="background1"/>
            <w:vAlign w:val="center"/>
          </w:tcPr>
          <w:p w14:paraId="442E5628" w14:textId="6B41189F" w:rsidR="00732467" w:rsidRPr="008F36CA" w:rsidRDefault="00732467" w:rsidP="00732467">
            <w:pPr>
              <w:pStyle w:val="ColorfulList-Accent11"/>
              <w:tabs>
                <w:tab w:val="left" w:pos="0"/>
                <w:tab w:val="left" w:pos="284"/>
              </w:tabs>
              <w:ind w:left="0" w:right="-90"/>
              <w:jc w:val="center"/>
              <w:rPr>
                <w:rFonts w:ascii="Arial" w:hAnsi="Arial" w:cs="Arial"/>
                <w:b/>
                <w:i/>
                <w:color w:val="C00000"/>
              </w:rPr>
            </w:pPr>
            <w:r w:rsidRPr="003D59A0">
              <w:rPr>
                <w:rFonts w:ascii="Arial" w:hAnsi="Arial" w:cs="Arial"/>
                <w:b/>
                <w:color w:val="000000"/>
              </w:rPr>
              <w:t>2</w:t>
            </w:r>
            <w:r w:rsidR="00193A45">
              <w:rPr>
                <w:rFonts w:ascii="Arial" w:hAnsi="Arial" w:cs="Arial"/>
                <w:b/>
                <w:color w:val="000000"/>
              </w:rPr>
              <w:t>.</w:t>
            </w:r>
            <w:r w:rsidRPr="003D59A0">
              <w:rPr>
                <w:rFonts w:ascii="Arial" w:hAnsi="Arial" w:cs="Arial"/>
                <w:b/>
                <w:color w:val="000000"/>
              </w:rPr>
              <w:t>564</w:t>
            </w:r>
            <w:r w:rsidR="00193A45">
              <w:rPr>
                <w:rFonts w:ascii="Arial" w:hAnsi="Arial" w:cs="Arial"/>
                <w:b/>
                <w:color w:val="000000"/>
              </w:rPr>
              <w:t>.</w:t>
            </w:r>
            <w:r w:rsidRPr="003D59A0">
              <w:rPr>
                <w:rFonts w:ascii="Arial" w:hAnsi="Arial" w:cs="Arial"/>
                <w:b/>
                <w:color w:val="000000"/>
              </w:rPr>
              <w:t>138</w:t>
            </w:r>
          </w:p>
        </w:tc>
        <w:tc>
          <w:tcPr>
            <w:tcW w:w="1437" w:type="dxa"/>
            <w:tcBorders>
              <w:top w:val="single" w:sz="2" w:space="0" w:color="BFBFBF" w:themeColor="background1" w:themeShade="BF"/>
            </w:tcBorders>
            <w:shd w:val="clear" w:color="auto" w:fill="FFFFFF" w:themeFill="background1"/>
            <w:vAlign w:val="center"/>
          </w:tcPr>
          <w:p w14:paraId="40AC1B2A" w14:textId="246B1204" w:rsidR="00732467" w:rsidRPr="008F36CA" w:rsidRDefault="00732467" w:rsidP="00732467">
            <w:pPr>
              <w:pStyle w:val="ColorfulList-Accent11"/>
              <w:tabs>
                <w:tab w:val="left" w:pos="0"/>
                <w:tab w:val="left" w:pos="284"/>
              </w:tabs>
              <w:ind w:left="0" w:right="-90"/>
              <w:jc w:val="center"/>
              <w:rPr>
                <w:rFonts w:ascii="Arial" w:hAnsi="Arial" w:cs="Arial"/>
                <w:b/>
                <w:i/>
                <w:color w:val="C00000"/>
              </w:rPr>
            </w:pPr>
            <w:r w:rsidRPr="003D59A0">
              <w:rPr>
                <w:rFonts w:ascii="Arial" w:hAnsi="Arial" w:cs="Arial"/>
                <w:b/>
                <w:color w:val="000000"/>
              </w:rPr>
              <w:t>2</w:t>
            </w:r>
            <w:r w:rsidR="00193A45">
              <w:rPr>
                <w:rFonts w:ascii="Arial" w:hAnsi="Arial" w:cs="Arial"/>
                <w:b/>
                <w:color w:val="000000"/>
              </w:rPr>
              <w:t>.</w:t>
            </w:r>
            <w:r w:rsidRPr="003D59A0">
              <w:rPr>
                <w:rFonts w:ascii="Arial" w:hAnsi="Arial" w:cs="Arial"/>
                <w:b/>
                <w:color w:val="000000"/>
              </w:rPr>
              <w:t>586</w:t>
            </w:r>
            <w:r w:rsidR="00193A45">
              <w:rPr>
                <w:rFonts w:ascii="Arial" w:hAnsi="Arial" w:cs="Arial"/>
                <w:b/>
                <w:color w:val="000000"/>
              </w:rPr>
              <w:t>.</w:t>
            </w:r>
            <w:r w:rsidRPr="003D59A0">
              <w:rPr>
                <w:rFonts w:ascii="Arial" w:hAnsi="Arial" w:cs="Arial"/>
                <w:b/>
                <w:color w:val="000000"/>
              </w:rPr>
              <w:t>651</w:t>
            </w:r>
          </w:p>
        </w:tc>
        <w:tc>
          <w:tcPr>
            <w:tcW w:w="1436" w:type="dxa"/>
            <w:tcBorders>
              <w:top w:val="single" w:sz="2" w:space="0" w:color="BFBFBF" w:themeColor="background1" w:themeShade="BF"/>
              <w:right w:val="single" w:sz="2" w:space="0" w:color="BFBFBF" w:themeColor="background1" w:themeShade="BF"/>
            </w:tcBorders>
            <w:shd w:val="clear" w:color="auto" w:fill="FFFFFF" w:themeFill="background1"/>
            <w:vAlign w:val="center"/>
          </w:tcPr>
          <w:p w14:paraId="259B03E9" w14:textId="6D0FDCF4" w:rsidR="00732467" w:rsidRPr="008F36CA" w:rsidRDefault="00732467" w:rsidP="00732467">
            <w:pPr>
              <w:pStyle w:val="ColorfulList-Accent11"/>
              <w:tabs>
                <w:tab w:val="left" w:pos="0"/>
                <w:tab w:val="left" w:pos="284"/>
              </w:tabs>
              <w:ind w:left="0" w:right="-90"/>
              <w:jc w:val="center"/>
              <w:rPr>
                <w:rFonts w:ascii="Arial" w:hAnsi="Arial" w:cs="Arial"/>
                <w:b/>
                <w:bCs/>
                <w:color w:val="C00000"/>
              </w:rPr>
            </w:pPr>
            <w:r w:rsidRPr="003D59A0">
              <w:rPr>
                <w:rFonts w:ascii="Arial" w:hAnsi="Arial" w:cs="Arial"/>
                <w:b/>
                <w:color w:val="000000"/>
              </w:rPr>
              <w:t>-0</w:t>
            </w:r>
            <w:r w:rsidR="00193A45">
              <w:rPr>
                <w:rFonts w:ascii="Arial" w:hAnsi="Arial" w:cs="Arial"/>
                <w:b/>
                <w:color w:val="000000"/>
              </w:rPr>
              <w:t>,</w:t>
            </w:r>
            <w:r w:rsidRPr="003D59A0">
              <w:rPr>
                <w:rFonts w:ascii="Arial" w:hAnsi="Arial" w:cs="Arial"/>
                <w:b/>
                <w:color w:val="000000"/>
              </w:rPr>
              <w:t>9%</w:t>
            </w:r>
          </w:p>
        </w:tc>
        <w:tc>
          <w:tcPr>
            <w:tcW w:w="1437" w:type="dxa"/>
            <w:tcBorders>
              <w:top w:val="single" w:sz="2" w:space="0" w:color="BFBFBF" w:themeColor="background1" w:themeShade="BF"/>
              <w:left w:val="single" w:sz="2" w:space="0" w:color="BFBFBF" w:themeColor="background1" w:themeShade="BF"/>
            </w:tcBorders>
            <w:shd w:val="clear" w:color="auto" w:fill="FFFFFF" w:themeFill="background1"/>
            <w:vAlign w:val="center"/>
          </w:tcPr>
          <w:p w14:paraId="46F1B977" w14:textId="001A5B6A" w:rsidR="00732467" w:rsidRPr="008F36CA" w:rsidRDefault="00732467" w:rsidP="00732467">
            <w:pPr>
              <w:pStyle w:val="ColorfulList-Accent11"/>
              <w:tabs>
                <w:tab w:val="left" w:pos="0"/>
                <w:tab w:val="left" w:pos="284"/>
              </w:tabs>
              <w:ind w:left="0" w:right="-90"/>
              <w:jc w:val="center"/>
              <w:rPr>
                <w:rFonts w:ascii="Arial" w:hAnsi="Arial" w:cs="Arial"/>
                <w:b/>
                <w:bCs/>
                <w:color w:val="C00000"/>
              </w:rPr>
            </w:pPr>
            <w:r w:rsidRPr="003D59A0">
              <w:rPr>
                <w:rFonts w:ascii="Arial" w:hAnsi="Arial" w:cs="Arial"/>
                <w:b/>
                <w:color w:val="000000"/>
              </w:rPr>
              <w:t>(22</w:t>
            </w:r>
            <w:r w:rsidR="00193A45">
              <w:rPr>
                <w:rFonts w:ascii="Arial" w:hAnsi="Arial" w:cs="Arial"/>
                <w:b/>
                <w:color w:val="000000"/>
              </w:rPr>
              <w:t>.</w:t>
            </w:r>
            <w:r w:rsidRPr="003D59A0">
              <w:rPr>
                <w:rFonts w:ascii="Arial" w:hAnsi="Arial" w:cs="Arial"/>
                <w:b/>
                <w:color w:val="000000"/>
              </w:rPr>
              <w:t>513)</w:t>
            </w:r>
          </w:p>
        </w:tc>
        <w:tc>
          <w:tcPr>
            <w:tcW w:w="1436" w:type="dxa"/>
            <w:tcBorders>
              <w:top w:val="single" w:sz="2" w:space="0" w:color="BFBFBF" w:themeColor="background1" w:themeShade="BF"/>
            </w:tcBorders>
            <w:shd w:val="clear" w:color="auto" w:fill="FFFFFF" w:themeFill="background1"/>
            <w:vAlign w:val="center"/>
          </w:tcPr>
          <w:p w14:paraId="4264F06F" w14:textId="20EF5098" w:rsidR="00732467" w:rsidRPr="008F36CA" w:rsidRDefault="00732467" w:rsidP="00732467">
            <w:pPr>
              <w:pStyle w:val="ColorfulList-Accent11"/>
              <w:tabs>
                <w:tab w:val="left" w:pos="0"/>
                <w:tab w:val="left" w:pos="284"/>
              </w:tabs>
              <w:ind w:left="0" w:right="-90"/>
              <w:jc w:val="center"/>
              <w:rPr>
                <w:rFonts w:ascii="Arial" w:hAnsi="Arial" w:cs="Arial"/>
                <w:b/>
                <w:bCs/>
                <w:i/>
                <w:iCs/>
                <w:color w:val="C00000"/>
              </w:rPr>
            </w:pPr>
            <w:r w:rsidRPr="003D59A0">
              <w:rPr>
                <w:rFonts w:ascii="Arial" w:hAnsi="Arial" w:cs="Arial"/>
                <w:b/>
                <w:i/>
                <w:color w:val="000000"/>
              </w:rPr>
              <w:t>(5</w:t>
            </w:r>
            <w:r w:rsidR="00193A45">
              <w:rPr>
                <w:rFonts w:ascii="Arial" w:hAnsi="Arial" w:cs="Arial"/>
                <w:b/>
                <w:i/>
                <w:color w:val="000000"/>
              </w:rPr>
              <w:t>.</w:t>
            </w:r>
            <w:r w:rsidRPr="003D59A0">
              <w:rPr>
                <w:rFonts w:ascii="Arial" w:hAnsi="Arial" w:cs="Arial"/>
                <w:b/>
                <w:i/>
                <w:color w:val="000000"/>
              </w:rPr>
              <w:t>497)</w:t>
            </w:r>
          </w:p>
        </w:tc>
      </w:tr>
      <w:tr w:rsidR="00732467" w:rsidRPr="001745EE" w14:paraId="6A55EA46" w14:textId="77777777" w:rsidTr="006B2DDB">
        <w:trPr>
          <w:trHeight w:val="362"/>
        </w:trPr>
        <w:tc>
          <w:tcPr>
            <w:tcW w:w="3396" w:type="dxa"/>
            <w:tcBorders>
              <w:right w:val="single" w:sz="2" w:space="0" w:color="BFBFBF" w:themeColor="background1" w:themeShade="BF"/>
            </w:tcBorders>
            <w:shd w:val="clear" w:color="auto" w:fill="FFFFFF" w:themeFill="background1"/>
            <w:vAlign w:val="center"/>
          </w:tcPr>
          <w:p w14:paraId="0A3D28F8" w14:textId="2462FAD3" w:rsidR="00732467" w:rsidRPr="00A42382" w:rsidRDefault="00732467" w:rsidP="001575D2">
            <w:pPr>
              <w:pStyle w:val="ColorfulList-Accent11"/>
              <w:tabs>
                <w:tab w:val="left" w:pos="0"/>
                <w:tab w:val="left" w:pos="284"/>
              </w:tabs>
              <w:ind w:left="0" w:right="-90"/>
              <w:rPr>
                <w:rFonts w:ascii="Arial" w:hAnsi="Arial" w:cs="Arial"/>
                <w:b/>
                <w:i/>
              </w:rPr>
            </w:pPr>
            <w:proofErr w:type="spellStart"/>
            <w:r w:rsidRPr="004F331D">
              <w:rPr>
                <w:rFonts w:ascii="Arial" w:hAnsi="Arial" w:cs="Arial"/>
                <w:b/>
                <w:lang w:val="el-GR"/>
              </w:rPr>
              <w:t>Ευρυζωνικές</w:t>
            </w:r>
            <w:proofErr w:type="spellEnd"/>
            <w:r w:rsidRPr="004F331D">
              <w:rPr>
                <w:rFonts w:ascii="Arial" w:hAnsi="Arial" w:cs="Arial"/>
                <w:b/>
                <w:lang w:val="el-GR"/>
              </w:rPr>
              <w:t xml:space="preserve"> Συνδέσεις</w:t>
            </w:r>
            <w:r w:rsidR="00CE1642">
              <w:rPr>
                <w:rStyle w:val="FootnoteReference"/>
                <w:rFonts w:ascii="Arial" w:hAnsi="Arial" w:cs="Arial"/>
                <w:b/>
                <w:lang w:val="el-GR"/>
              </w:rPr>
              <w:footnoteReference w:id="2"/>
            </w:r>
          </w:p>
        </w:tc>
        <w:tc>
          <w:tcPr>
            <w:tcW w:w="1437" w:type="dxa"/>
            <w:tcBorders>
              <w:left w:val="single" w:sz="2" w:space="0" w:color="BFBFBF" w:themeColor="background1" w:themeShade="BF"/>
            </w:tcBorders>
            <w:shd w:val="clear" w:color="auto" w:fill="FFFFFF" w:themeFill="background1"/>
            <w:vAlign w:val="center"/>
          </w:tcPr>
          <w:p w14:paraId="67597168" w14:textId="6AF88A0F" w:rsidR="00732467" w:rsidRPr="008F36CA" w:rsidRDefault="00732467" w:rsidP="001575D2">
            <w:pPr>
              <w:pStyle w:val="ColorfulList-Accent11"/>
              <w:tabs>
                <w:tab w:val="left" w:pos="0"/>
                <w:tab w:val="left" w:pos="284"/>
              </w:tabs>
              <w:ind w:left="0" w:right="-90"/>
              <w:jc w:val="center"/>
              <w:rPr>
                <w:rFonts w:ascii="Arial" w:hAnsi="Arial" w:cs="Arial"/>
                <w:b/>
                <w:i/>
                <w:color w:val="C00000"/>
              </w:rPr>
            </w:pPr>
            <w:r w:rsidRPr="003D59A0">
              <w:rPr>
                <w:rFonts w:ascii="Arial" w:hAnsi="Arial" w:cs="Arial"/>
                <w:b/>
                <w:color w:val="000000"/>
              </w:rPr>
              <w:t>2</w:t>
            </w:r>
            <w:r w:rsidR="00193A45">
              <w:rPr>
                <w:rFonts w:ascii="Arial" w:hAnsi="Arial" w:cs="Arial"/>
                <w:b/>
                <w:color w:val="000000"/>
              </w:rPr>
              <w:t>.</w:t>
            </w:r>
            <w:r w:rsidRPr="003D59A0">
              <w:rPr>
                <w:rFonts w:ascii="Arial" w:hAnsi="Arial" w:cs="Arial"/>
                <w:b/>
                <w:color w:val="000000"/>
              </w:rPr>
              <w:t>358</w:t>
            </w:r>
            <w:r w:rsidR="00193A45">
              <w:rPr>
                <w:rFonts w:ascii="Arial" w:hAnsi="Arial" w:cs="Arial"/>
                <w:b/>
                <w:color w:val="000000"/>
              </w:rPr>
              <w:t>.</w:t>
            </w:r>
            <w:r w:rsidRPr="003D59A0">
              <w:rPr>
                <w:rFonts w:ascii="Arial" w:hAnsi="Arial" w:cs="Arial"/>
                <w:b/>
                <w:color w:val="000000"/>
              </w:rPr>
              <w:t>912</w:t>
            </w:r>
          </w:p>
        </w:tc>
        <w:tc>
          <w:tcPr>
            <w:tcW w:w="1437" w:type="dxa"/>
            <w:shd w:val="clear" w:color="auto" w:fill="FFFFFF" w:themeFill="background1"/>
            <w:vAlign w:val="center"/>
          </w:tcPr>
          <w:p w14:paraId="6D608F46" w14:textId="65259DD1" w:rsidR="00732467" w:rsidRPr="008F36CA" w:rsidRDefault="00732467" w:rsidP="001575D2">
            <w:pPr>
              <w:pStyle w:val="ColorfulList-Accent11"/>
              <w:tabs>
                <w:tab w:val="left" w:pos="0"/>
                <w:tab w:val="left" w:pos="284"/>
              </w:tabs>
              <w:ind w:left="0" w:right="-90"/>
              <w:jc w:val="center"/>
              <w:rPr>
                <w:rFonts w:ascii="Arial" w:hAnsi="Arial" w:cs="Arial"/>
                <w:b/>
                <w:i/>
                <w:color w:val="C00000"/>
              </w:rPr>
            </w:pPr>
            <w:r w:rsidRPr="003D59A0">
              <w:rPr>
                <w:rFonts w:ascii="Arial" w:hAnsi="Arial" w:cs="Arial"/>
                <w:b/>
                <w:color w:val="000000"/>
              </w:rPr>
              <w:t>2</w:t>
            </w:r>
            <w:r w:rsidR="00193A45">
              <w:rPr>
                <w:rFonts w:ascii="Arial" w:hAnsi="Arial" w:cs="Arial"/>
                <w:b/>
                <w:color w:val="000000"/>
              </w:rPr>
              <w:t>.</w:t>
            </w:r>
            <w:r w:rsidRPr="003D59A0">
              <w:rPr>
                <w:rFonts w:ascii="Arial" w:hAnsi="Arial" w:cs="Arial"/>
                <w:b/>
                <w:color w:val="000000"/>
              </w:rPr>
              <w:t>349</w:t>
            </w:r>
            <w:r w:rsidR="00193A45">
              <w:rPr>
                <w:rFonts w:ascii="Arial" w:hAnsi="Arial" w:cs="Arial"/>
                <w:b/>
                <w:color w:val="000000"/>
              </w:rPr>
              <w:t>.</w:t>
            </w:r>
            <w:r w:rsidRPr="003D59A0">
              <w:rPr>
                <w:rFonts w:ascii="Arial" w:hAnsi="Arial" w:cs="Arial"/>
                <w:b/>
                <w:color w:val="000000"/>
              </w:rPr>
              <w:t>583</w:t>
            </w:r>
          </w:p>
        </w:tc>
        <w:tc>
          <w:tcPr>
            <w:tcW w:w="1436" w:type="dxa"/>
            <w:tcBorders>
              <w:right w:val="single" w:sz="2" w:space="0" w:color="BFBFBF" w:themeColor="background1" w:themeShade="BF"/>
            </w:tcBorders>
            <w:shd w:val="clear" w:color="auto" w:fill="FFFFFF" w:themeFill="background1"/>
            <w:vAlign w:val="center"/>
          </w:tcPr>
          <w:p w14:paraId="2C65713C" w14:textId="506313C1" w:rsidR="00732467" w:rsidRPr="008F36CA" w:rsidRDefault="00732467" w:rsidP="001575D2">
            <w:pPr>
              <w:pStyle w:val="ColorfulList-Accent11"/>
              <w:tabs>
                <w:tab w:val="left" w:pos="0"/>
                <w:tab w:val="left" w:pos="284"/>
              </w:tabs>
              <w:ind w:left="0" w:right="-90"/>
              <w:jc w:val="center"/>
              <w:rPr>
                <w:rFonts w:ascii="Arial" w:hAnsi="Arial" w:cs="Arial"/>
                <w:b/>
                <w:bCs/>
                <w:color w:val="C00000"/>
              </w:rPr>
            </w:pPr>
            <w:r w:rsidRPr="003D59A0">
              <w:rPr>
                <w:rFonts w:ascii="Arial" w:hAnsi="Arial" w:cs="Arial"/>
                <w:b/>
                <w:color w:val="000000"/>
              </w:rPr>
              <w:t>+0</w:t>
            </w:r>
            <w:r w:rsidR="00193A45">
              <w:rPr>
                <w:rFonts w:ascii="Arial" w:hAnsi="Arial" w:cs="Arial"/>
                <w:b/>
                <w:color w:val="000000"/>
              </w:rPr>
              <w:t>,</w:t>
            </w:r>
            <w:r w:rsidRPr="003D59A0">
              <w:rPr>
                <w:rFonts w:ascii="Arial" w:hAnsi="Arial" w:cs="Arial"/>
                <w:b/>
                <w:color w:val="000000"/>
              </w:rPr>
              <w:t>4%</w:t>
            </w:r>
          </w:p>
        </w:tc>
        <w:tc>
          <w:tcPr>
            <w:tcW w:w="1437" w:type="dxa"/>
            <w:tcBorders>
              <w:left w:val="single" w:sz="2" w:space="0" w:color="BFBFBF" w:themeColor="background1" w:themeShade="BF"/>
            </w:tcBorders>
            <w:shd w:val="clear" w:color="auto" w:fill="FFFFFF" w:themeFill="background1"/>
            <w:vAlign w:val="center"/>
          </w:tcPr>
          <w:p w14:paraId="4AB5C790" w14:textId="5DC95530" w:rsidR="00732467" w:rsidRPr="008F36CA" w:rsidRDefault="00732467" w:rsidP="001575D2">
            <w:pPr>
              <w:pStyle w:val="ColorfulList-Accent11"/>
              <w:tabs>
                <w:tab w:val="left" w:pos="0"/>
                <w:tab w:val="left" w:pos="284"/>
              </w:tabs>
              <w:ind w:left="0" w:right="-90"/>
              <w:jc w:val="center"/>
              <w:rPr>
                <w:rFonts w:ascii="Arial" w:hAnsi="Arial" w:cs="Arial"/>
                <w:b/>
                <w:bCs/>
                <w:color w:val="C00000"/>
              </w:rPr>
            </w:pPr>
            <w:r w:rsidRPr="003D59A0">
              <w:rPr>
                <w:rFonts w:ascii="Arial" w:hAnsi="Arial" w:cs="Arial"/>
                <w:b/>
                <w:color w:val="000000"/>
              </w:rPr>
              <w:t>9</w:t>
            </w:r>
            <w:r w:rsidR="00193A45">
              <w:rPr>
                <w:rFonts w:ascii="Arial" w:hAnsi="Arial" w:cs="Arial"/>
                <w:b/>
                <w:color w:val="000000"/>
              </w:rPr>
              <w:t>.</w:t>
            </w:r>
            <w:r w:rsidRPr="003D59A0">
              <w:rPr>
                <w:rFonts w:ascii="Arial" w:hAnsi="Arial" w:cs="Arial"/>
                <w:b/>
                <w:color w:val="000000"/>
              </w:rPr>
              <w:t>329</w:t>
            </w:r>
          </w:p>
        </w:tc>
        <w:tc>
          <w:tcPr>
            <w:tcW w:w="1436" w:type="dxa"/>
            <w:shd w:val="clear" w:color="auto" w:fill="FFFFFF" w:themeFill="background1"/>
            <w:vAlign w:val="center"/>
          </w:tcPr>
          <w:p w14:paraId="3AB5C511" w14:textId="20B304FB" w:rsidR="00732467" w:rsidRPr="008F36CA" w:rsidRDefault="00732467" w:rsidP="001575D2">
            <w:pPr>
              <w:pStyle w:val="ColorfulList-Accent11"/>
              <w:tabs>
                <w:tab w:val="left" w:pos="0"/>
                <w:tab w:val="left" w:pos="284"/>
              </w:tabs>
              <w:ind w:left="0" w:right="-90"/>
              <w:jc w:val="center"/>
              <w:rPr>
                <w:rFonts w:ascii="Arial" w:hAnsi="Arial" w:cs="Arial"/>
                <w:b/>
                <w:bCs/>
                <w:i/>
                <w:iCs/>
                <w:color w:val="C00000"/>
              </w:rPr>
            </w:pPr>
            <w:r w:rsidRPr="003D59A0">
              <w:rPr>
                <w:rFonts w:ascii="Arial" w:hAnsi="Arial" w:cs="Arial"/>
                <w:b/>
                <w:i/>
                <w:color w:val="000000"/>
              </w:rPr>
              <w:t>1</w:t>
            </w:r>
            <w:r w:rsidR="00193A45">
              <w:rPr>
                <w:rFonts w:ascii="Arial" w:hAnsi="Arial" w:cs="Arial"/>
                <w:b/>
                <w:i/>
                <w:color w:val="000000"/>
              </w:rPr>
              <w:t>.</w:t>
            </w:r>
            <w:r w:rsidRPr="003D59A0">
              <w:rPr>
                <w:rFonts w:ascii="Arial" w:hAnsi="Arial" w:cs="Arial"/>
                <w:b/>
                <w:i/>
                <w:color w:val="000000"/>
              </w:rPr>
              <w:t>776</w:t>
            </w:r>
          </w:p>
        </w:tc>
      </w:tr>
      <w:tr w:rsidR="002B72B8" w:rsidRPr="001745EE" w14:paraId="71BBFF60" w14:textId="77777777" w:rsidTr="006B2DDB">
        <w:trPr>
          <w:trHeight w:val="362"/>
        </w:trPr>
        <w:tc>
          <w:tcPr>
            <w:tcW w:w="3396" w:type="dxa"/>
            <w:tcBorders>
              <w:right w:val="single" w:sz="2" w:space="0" w:color="BFBFBF" w:themeColor="background1" w:themeShade="BF"/>
            </w:tcBorders>
            <w:shd w:val="clear" w:color="auto" w:fill="FFFFFF" w:themeFill="background1"/>
            <w:vAlign w:val="center"/>
          </w:tcPr>
          <w:p w14:paraId="7D097C1B" w14:textId="2AC36872" w:rsidR="002B72B8" w:rsidRPr="002B72B8" w:rsidRDefault="002B72B8" w:rsidP="001A6B6D">
            <w:pPr>
              <w:pStyle w:val="ColorfulList-Accent11"/>
              <w:tabs>
                <w:tab w:val="left" w:pos="0"/>
                <w:tab w:val="left" w:pos="284"/>
              </w:tabs>
              <w:ind w:left="0" w:right="-90"/>
              <w:jc w:val="right"/>
              <w:rPr>
                <w:rFonts w:ascii="Arial" w:hAnsi="Arial" w:cs="Arial"/>
                <w:bCs/>
                <w:i/>
                <w:lang w:val="el-GR"/>
              </w:rPr>
            </w:pPr>
            <w:r>
              <w:rPr>
                <w:rFonts w:ascii="Arial" w:hAnsi="Arial" w:cs="Arial"/>
                <w:bCs/>
                <w:i/>
                <w:lang w:val="el-GR"/>
              </w:rPr>
              <w:t xml:space="preserve">εκ των οποίων </w:t>
            </w:r>
            <w:r w:rsidR="00662EDF">
              <w:rPr>
                <w:rFonts w:ascii="Arial" w:hAnsi="Arial" w:cs="Arial"/>
                <w:bCs/>
                <w:i/>
                <w:lang w:val="el-GR"/>
              </w:rPr>
              <w:t>ταχύτητες</w:t>
            </w:r>
            <w:r>
              <w:rPr>
                <w:rFonts w:ascii="Arial" w:hAnsi="Arial" w:cs="Arial"/>
                <w:bCs/>
                <w:i/>
                <w:lang w:val="el-GR"/>
              </w:rPr>
              <w:t xml:space="preserve"> </w:t>
            </w:r>
            <w:r w:rsidRPr="0041319F">
              <w:rPr>
                <w:rFonts w:ascii="Arial" w:hAnsi="Arial" w:cs="Arial"/>
                <w:i/>
                <w:iCs/>
                <w:lang w:val="el-GR"/>
              </w:rPr>
              <w:t>οπτικών ινών</w:t>
            </w:r>
            <w:r w:rsidR="00CE1642">
              <w:rPr>
                <w:rStyle w:val="FootnoteReference"/>
                <w:rFonts w:ascii="Arial" w:hAnsi="Arial" w:cs="Arial"/>
                <w:i/>
                <w:iCs/>
                <w:lang w:val="el-GR"/>
              </w:rPr>
              <w:footnoteReference w:id="3"/>
            </w:r>
            <w:r w:rsidRPr="0041319F">
              <w:rPr>
                <w:rFonts w:ascii="Arial" w:hAnsi="Arial" w:cs="Arial"/>
                <w:i/>
                <w:iCs/>
                <w:lang w:val="el-GR"/>
              </w:rPr>
              <w:t xml:space="preserve"> </w:t>
            </w:r>
          </w:p>
        </w:tc>
        <w:tc>
          <w:tcPr>
            <w:tcW w:w="1437" w:type="dxa"/>
            <w:tcBorders>
              <w:left w:val="single" w:sz="2" w:space="0" w:color="BFBFBF" w:themeColor="background1" w:themeShade="BF"/>
            </w:tcBorders>
            <w:shd w:val="clear" w:color="auto" w:fill="FFFFFF" w:themeFill="background1"/>
            <w:vAlign w:val="center"/>
          </w:tcPr>
          <w:p w14:paraId="6FEB2199" w14:textId="0897BE8E" w:rsidR="002B72B8" w:rsidRPr="008F36CA" w:rsidRDefault="002B72B8" w:rsidP="002B72B8">
            <w:pPr>
              <w:pStyle w:val="ColorfulList-Accent11"/>
              <w:tabs>
                <w:tab w:val="left" w:pos="0"/>
                <w:tab w:val="left" w:pos="284"/>
              </w:tabs>
              <w:ind w:left="0" w:right="-90"/>
              <w:jc w:val="center"/>
              <w:rPr>
                <w:rFonts w:ascii="Arial" w:hAnsi="Arial" w:cs="Arial"/>
                <w:i/>
                <w:color w:val="C00000"/>
              </w:rPr>
            </w:pPr>
            <w:r w:rsidRPr="003D59A0">
              <w:rPr>
                <w:rFonts w:ascii="Arial" w:hAnsi="Arial" w:cs="Arial"/>
                <w:i/>
                <w:color w:val="000000"/>
              </w:rPr>
              <w:t>1</w:t>
            </w:r>
            <w:r w:rsidR="00193A45">
              <w:rPr>
                <w:rFonts w:ascii="Arial" w:hAnsi="Arial" w:cs="Arial"/>
                <w:i/>
                <w:color w:val="000000"/>
              </w:rPr>
              <w:t>.</w:t>
            </w:r>
            <w:r w:rsidRPr="003D59A0">
              <w:rPr>
                <w:rFonts w:ascii="Arial" w:hAnsi="Arial" w:cs="Arial"/>
                <w:i/>
                <w:color w:val="000000"/>
              </w:rPr>
              <w:t>677</w:t>
            </w:r>
            <w:r w:rsidR="00193A45">
              <w:rPr>
                <w:rFonts w:ascii="Arial" w:hAnsi="Arial" w:cs="Arial"/>
                <w:i/>
                <w:color w:val="000000"/>
              </w:rPr>
              <w:t>.</w:t>
            </w:r>
            <w:r w:rsidRPr="003D59A0">
              <w:rPr>
                <w:rFonts w:ascii="Arial" w:hAnsi="Arial" w:cs="Arial"/>
                <w:i/>
                <w:color w:val="000000"/>
              </w:rPr>
              <w:t>973</w:t>
            </w:r>
          </w:p>
        </w:tc>
        <w:tc>
          <w:tcPr>
            <w:tcW w:w="1437" w:type="dxa"/>
            <w:shd w:val="clear" w:color="auto" w:fill="FFFFFF" w:themeFill="background1"/>
            <w:vAlign w:val="center"/>
          </w:tcPr>
          <w:p w14:paraId="2A74EC49" w14:textId="48849EE3" w:rsidR="002B72B8" w:rsidRPr="008F36CA" w:rsidRDefault="002B72B8" w:rsidP="002B72B8">
            <w:pPr>
              <w:pStyle w:val="ColorfulList-Accent11"/>
              <w:tabs>
                <w:tab w:val="left" w:pos="0"/>
                <w:tab w:val="left" w:pos="284"/>
              </w:tabs>
              <w:ind w:left="0" w:right="-90"/>
              <w:jc w:val="center"/>
              <w:rPr>
                <w:rFonts w:ascii="Arial" w:hAnsi="Arial" w:cs="Arial"/>
                <w:i/>
                <w:color w:val="C00000"/>
              </w:rPr>
            </w:pPr>
            <w:r w:rsidRPr="003D59A0">
              <w:rPr>
                <w:rFonts w:ascii="Arial" w:hAnsi="Arial" w:cs="Arial"/>
                <w:i/>
                <w:color w:val="000000"/>
              </w:rPr>
              <w:t>1</w:t>
            </w:r>
            <w:r w:rsidR="00193A45">
              <w:rPr>
                <w:rFonts w:ascii="Arial" w:hAnsi="Arial" w:cs="Arial"/>
                <w:i/>
                <w:color w:val="000000"/>
              </w:rPr>
              <w:t>.</w:t>
            </w:r>
            <w:r w:rsidRPr="003D59A0">
              <w:rPr>
                <w:rFonts w:ascii="Arial" w:hAnsi="Arial" w:cs="Arial"/>
                <w:i/>
                <w:color w:val="000000"/>
              </w:rPr>
              <w:t>592</w:t>
            </w:r>
            <w:r w:rsidR="00193A45">
              <w:rPr>
                <w:rFonts w:ascii="Arial" w:hAnsi="Arial" w:cs="Arial"/>
                <w:i/>
                <w:color w:val="000000"/>
              </w:rPr>
              <w:t>.</w:t>
            </w:r>
            <w:r w:rsidRPr="003D59A0">
              <w:rPr>
                <w:rFonts w:ascii="Arial" w:hAnsi="Arial" w:cs="Arial"/>
                <w:i/>
                <w:color w:val="000000"/>
              </w:rPr>
              <w:t>199</w:t>
            </w:r>
          </w:p>
        </w:tc>
        <w:tc>
          <w:tcPr>
            <w:tcW w:w="1436" w:type="dxa"/>
            <w:tcBorders>
              <w:right w:val="single" w:sz="2" w:space="0" w:color="BFBFBF" w:themeColor="background1" w:themeShade="BF"/>
            </w:tcBorders>
            <w:shd w:val="clear" w:color="auto" w:fill="FFFFFF" w:themeFill="background1"/>
            <w:vAlign w:val="center"/>
          </w:tcPr>
          <w:p w14:paraId="6299702E" w14:textId="1AD1D0CF" w:rsidR="002B72B8" w:rsidRPr="008F36CA" w:rsidRDefault="002B72B8" w:rsidP="002B72B8">
            <w:pPr>
              <w:pStyle w:val="ColorfulList-Accent11"/>
              <w:tabs>
                <w:tab w:val="left" w:pos="0"/>
                <w:tab w:val="left" w:pos="284"/>
              </w:tabs>
              <w:ind w:left="0" w:right="-90"/>
              <w:jc w:val="center"/>
              <w:rPr>
                <w:rFonts w:ascii="Arial" w:hAnsi="Arial" w:cs="Arial"/>
                <w:i/>
                <w:iCs/>
                <w:color w:val="C00000"/>
              </w:rPr>
            </w:pPr>
            <w:r w:rsidRPr="003D59A0">
              <w:rPr>
                <w:rFonts w:ascii="Arial" w:hAnsi="Arial" w:cs="Arial"/>
                <w:i/>
                <w:color w:val="000000"/>
              </w:rPr>
              <w:t>+5</w:t>
            </w:r>
            <w:r w:rsidR="00193A45">
              <w:rPr>
                <w:rFonts w:ascii="Arial" w:hAnsi="Arial" w:cs="Arial"/>
                <w:i/>
                <w:color w:val="000000"/>
              </w:rPr>
              <w:t>,</w:t>
            </w:r>
            <w:r w:rsidRPr="003D59A0">
              <w:rPr>
                <w:rFonts w:ascii="Arial" w:hAnsi="Arial" w:cs="Arial"/>
                <w:i/>
                <w:color w:val="000000"/>
              </w:rPr>
              <w:t>4%</w:t>
            </w:r>
          </w:p>
        </w:tc>
        <w:tc>
          <w:tcPr>
            <w:tcW w:w="1437" w:type="dxa"/>
            <w:tcBorders>
              <w:left w:val="single" w:sz="2" w:space="0" w:color="BFBFBF" w:themeColor="background1" w:themeShade="BF"/>
            </w:tcBorders>
            <w:shd w:val="clear" w:color="auto" w:fill="FFFFFF" w:themeFill="background1"/>
            <w:vAlign w:val="center"/>
          </w:tcPr>
          <w:p w14:paraId="33716F60" w14:textId="284413C1" w:rsidR="002B72B8" w:rsidRPr="008F36CA" w:rsidRDefault="002B72B8" w:rsidP="002B72B8">
            <w:pPr>
              <w:pStyle w:val="ColorfulList-Accent11"/>
              <w:tabs>
                <w:tab w:val="left" w:pos="0"/>
                <w:tab w:val="left" w:pos="284"/>
              </w:tabs>
              <w:ind w:left="0" w:right="-90"/>
              <w:jc w:val="center"/>
              <w:rPr>
                <w:rFonts w:ascii="Arial" w:hAnsi="Arial" w:cs="Arial"/>
                <w:i/>
                <w:iCs/>
                <w:color w:val="C00000"/>
              </w:rPr>
            </w:pPr>
            <w:r w:rsidRPr="003D59A0">
              <w:rPr>
                <w:rFonts w:ascii="Arial" w:hAnsi="Arial" w:cs="Arial"/>
                <w:i/>
                <w:color w:val="000000"/>
              </w:rPr>
              <w:t>85</w:t>
            </w:r>
            <w:r w:rsidR="00193A45">
              <w:rPr>
                <w:rFonts w:ascii="Arial" w:hAnsi="Arial" w:cs="Arial"/>
                <w:i/>
                <w:color w:val="000000"/>
              </w:rPr>
              <w:t>.</w:t>
            </w:r>
            <w:r w:rsidRPr="003D59A0">
              <w:rPr>
                <w:rFonts w:ascii="Arial" w:hAnsi="Arial" w:cs="Arial"/>
                <w:i/>
                <w:color w:val="000000"/>
              </w:rPr>
              <w:t>774</w:t>
            </w:r>
          </w:p>
        </w:tc>
        <w:tc>
          <w:tcPr>
            <w:tcW w:w="1436" w:type="dxa"/>
            <w:shd w:val="clear" w:color="auto" w:fill="FFFFFF" w:themeFill="background1"/>
            <w:vAlign w:val="center"/>
          </w:tcPr>
          <w:p w14:paraId="21CA8779" w14:textId="3755727D" w:rsidR="002B72B8" w:rsidRPr="008F36CA" w:rsidRDefault="002B72B8" w:rsidP="002B72B8">
            <w:pPr>
              <w:pStyle w:val="ColorfulList-Accent11"/>
              <w:tabs>
                <w:tab w:val="left" w:pos="0"/>
                <w:tab w:val="left" w:pos="284"/>
              </w:tabs>
              <w:ind w:left="0" w:right="-90"/>
              <w:jc w:val="center"/>
              <w:rPr>
                <w:rFonts w:ascii="Arial" w:hAnsi="Arial" w:cs="Arial"/>
                <w:i/>
                <w:iCs/>
                <w:color w:val="C00000"/>
              </w:rPr>
            </w:pPr>
            <w:r w:rsidRPr="003D59A0">
              <w:rPr>
                <w:rFonts w:ascii="Arial" w:hAnsi="Arial" w:cs="Arial"/>
                <w:i/>
                <w:color w:val="000000"/>
              </w:rPr>
              <w:t>28</w:t>
            </w:r>
            <w:r w:rsidR="00193A45">
              <w:rPr>
                <w:rFonts w:ascii="Arial" w:hAnsi="Arial" w:cs="Arial"/>
                <w:i/>
                <w:color w:val="000000"/>
              </w:rPr>
              <w:t>.</w:t>
            </w:r>
            <w:r w:rsidRPr="003D59A0">
              <w:rPr>
                <w:rFonts w:ascii="Arial" w:hAnsi="Arial" w:cs="Arial"/>
                <w:i/>
                <w:color w:val="000000"/>
              </w:rPr>
              <w:t>776</w:t>
            </w:r>
          </w:p>
        </w:tc>
      </w:tr>
      <w:tr w:rsidR="002B72B8" w:rsidRPr="001745EE" w14:paraId="07CC13AA" w14:textId="77777777" w:rsidTr="006B2DDB">
        <w:trPr>
          <w:trHeight w:val="197"/>
        </w:trPr>
        <w:tc>
          <w:tcPr>
            <w:tcW w:w="3396" w:type="dxa"/>
            <w:tcBorders>
              <w:right w:val="single" w:sz="2" w:space="0" w:color="BFBFBF" w:themeColor="background1" w:themeShade="BF"/>
            </w:tcBorders>
            <w:shd w:val="clear" w:color="auto" w:fill="FFFFFF" w:themeFill="background1"/>
            <w:vAlign w:val="center"/>
          </w:tcPr>
          <w:p w14:paraId="5440FE95" w14:textId="03718AF9" w:rsidR="002B72B8" w:rsidRPr="002B72B8" w:rsidRDefault="002B72B8" w:rsidP="001A6B6D">
            <w:pPr>
              <w:pStyle w:val="ColorfulList-Accent11"/>
              <w:tabs>
                <w:tab w:val="left" w:pos="0"/>
                <w:tab w:val="left" w:pos="284"/>
              </w:tabs>
              <w:ind w:left="0" w:right="-90"/>
              <w:jc w:val="right"/>
              <w:rPr>
                <w:rFonts w:ascii="Arial" w:hAnsi="Arial" w:cs="Arial"/>
                <w:bCs/>
                <w:i/>
                <w:lang w:val="el-GR"/>
              </w:rPr>
            </w:pPr>
            <w:r>
              <w:rPr>
                <w:rFonts w:ascii="Arial" w:hAnsi="Arial" w:cs="Arial"/>
                <w:bCs/>
                <w:i/>
                <w:lang w:val="el-GR"/>
              </w:rPr>
              <w:t xml:space="preserve">εκ των οποίων </w:t>
            </w:r>
            <w:r w:rsidRPr="000067B8">
              <w:rPr>
                <w:rFonts w:ascii="Arial" w:hAnsi="Arial" w:cs="Arial"/>
                <w:bCs/>
                <w:i/>
              </w:rPr>
              <w:t>FTTH</w:t>
            </w:r>
            <w:r w:rsidRPr="004F331D">
              <w:rPr>
                <w:rFonts w:ascii="Arial" w:hAnsi="Arial" w:cs="Arial"/>
                <w:bCs/>
                <w:i/>
                <w:lang w:val="el-GR"/>
              </w:rPr>
              <w:t xml:space="preserve"> </w:t>
            </w:r>
          </w:p>
        </w:tc>
        <w:tc>
          <w:tcPr>
            <w:tcW w:w="1437" w:type="dxa"/>
            <w:tcBorders>
              <w:left w:val="single" w:sz="2" w:space="0" w:color="BFBFBF" w:themeColor="background1" w:themeShade="BF"/>
            </w:tcBorders>
            <w:shd w:val="clear" w:color="auto" w:fill="FFFFFF" w:themeFill="background1"/>
            <w:vAlign w:val="center"/>
          </w:tcPr>
          <w:p w14:paraId="5C738BF2" w14:textId="39785CBC" w:rsidR="002B72B8" w:rsidRPr="008F36CA" w:rsidRDefault="002B72B8" w:rsidP="002B72B8">
            <w:pPr>
              <w:pStyle w:val="ColorfulList-Accent11"/>
              <w:tabs>
                <w:tab w:val="left" w:pos="0"/>
                <w:tab w:val="left" w:pos="284"/>
              </w:tabs>
              <w:ind w:left="0" w:right="-90"/>
              <w:jc w:val="center"/>
              <w:rPr>
                <w:rFonts w:ascii="Arial" w:hAnsi="Arial" w:cs="Arial"/>
                <w:bCs/>
                <w:i/>
                <w:color w:val="C00000"/>
              </w:rPr>
            </w:pPr>
            <w:r w:rsidRPr="003D59A0">
              <w:rPr>
                <w:rFonts w:ascii="Arial" w:hAnsi="Arial" w:cs="Arial"/>
                <w:i/>
                <w:color w:val="000000"/>
              </w:rPr>
              <w:t>508</w:t>
            </w:r>
            <w:r w:rsidR="00193A45">
              <w:rPr>
                <w:rFonts w:ascii="Arial" w:hAnsi="Arial" w:cs="Arial"/>
                <w:i/>
                <w:color w:val="000000"/>
              </w:rPr>
              <w:t>.</w:t>
            </w:r>
            <w:r w:rsidRPr="003D59A0">
              <w:rPr>
                <w:rFonts w:ascii="Arial" w:hAnsi="Arial" w:cs="Arial"/>
                <w:i/>
                <w:color w:val="000000"/>
              </w:rPr>
              <w:t>843</w:t>
            </w:r>
          </w:p>
        </w:tc>
        <w:tc>
          <w:tcPr>
            <w:tcW w:w="1437" w:type="dxa"/>
            <w:shd w:val="clear" w:color="auto" w:fill="FFFFFF" w:themeFill="background1"/>
            <w:vAlign w:val="center"/>
          </w:tcPr>
          <w:p w14:paraId="57CC9961" w14:textId="2F047D7E" w:rsidR="002B72B8" w:rsidRPr="008F36CA" w:rsidRDefault="002B72B8" w:rsidP="002B72B8">
            <w:pPr>
              <w:pStyle w:val="ColorfulList-Accent11"/>
              <w:tabs>
                <w:tab w:val="left" w:pos="0"/>
                <w:tab w:val="left" w:pos="284"/>
              </w:tabs>
              <w:ind w:left="0" w:right="-90"/>
              <w:jc w:val="center"/>
              <w:rPr>
                <w:rFonts w:ascii="Arial" w:hAnsi="Arial" w:cs="Arial"/>
                <w:bCs/>
                <w:i/>
                <w:color w:val="C00000"/>
              </w:rPr>
            </w:pPr>
            <w:r w:rsidRPr="003D59A0">
              <w:rPr>
                <w:rFonts w:ascii="Arial" w:hAnsi="Arial" w:cs="Arial"/>
                <w:i/>
                <w:color w:val="000000"/>
              </w:rPr>
              <w:t>355</w:t>
            </w:r>
            <w:r w:rsidR="00193A45">
              <w:rPr>
                <w:rFonts w:ascii="Arial" w:hAnsi="Arial" w:cs="Arial"/>
                <w:i/>
                <w:color w:val="000000"/>
              </w:rPr>
              <w:t>.</w:t>
            </w:r>
            <w:r w:rsidRPr="003D59A0">
              <w:rPr>
                <w:rFonts w:ascii="Arial" w:hAnsi="Arial" w:cs="Arial"/>
                <w:i/>
                <w:color w:val="000000"/>
              </w:rPr>
              <w:t>054</w:t>
            </w:r>
          </w:p>
        </w:tc>
        <w:tc>
          <w:tcPr>
            <w:tcW w:w="1436" w:type="dxa"/>
            <w:tcBorders>
              <w:right w:val="single" w:sz="2" w:space="0" w:color="BFBFBF" w:themeColor="background1" w:themeShade="BF"/>
            </w:tcBorders>
            <w:shd w:val="clear" w:color="auto" w:fill="FFFFFF" w:themeFill="background1"/>
            <w:vAlign w:val="center"/>
          </w:tcPr>
          <w:p w14:paraId="5F250F9A" w14:textId="1EA76F5F" w:rsidR="002B72B8" w:rsidRPr="008F36CA" w:rsidRDefault="002B72B8" w:rsidP="002B72B8">
            <w:pPr>
              <w:pStyle w:val="ColorfulList-Accent11"/>
              <w:tabs>
                <w:tab w:val="left" w:pos="0"/>
                <w:tab w:val="left" w:pos="284"/>
              </w:tabs>
              <w:ind w:left="0" w:right="-90"/>
              <w:jc w:val="center"/>
              <w:rPr>
                <w:rFonts w:ascii="Arial" w:hAnsi="Arial" w:cs="Arial"/>
                <w:i/>
                <w:iCs/>
                <w:color w:val="C00000"/>
              </w:rPr>
            </w:pPr>
            <w:r w:rsidRPr="003D59A0">
              <w:rPr>
                <w:rFonts w:ascii="Arial" w:hAnsi="Arial" w:cs="Arial"/>
                <w:i/>
                <w:color w:val="000000"/>
              </w:rPr>
              <w:t>+43</w:t>
            </w:r>
            <w:r w:rsidR="00193A45">
              <w:rPr>
                <w:rFonts w:ascii="Arial" w:hAnsi="Arial" w:cs="Arial"/>
                <w:i/>
                <w:color w:val="000000"/>
              </w:rPr>
              <w:t>,</w:t>
            </w:r>
            <w:r w:rsidRPr="003D59A0">
              <w:rPr>
                <w:rFonts w:ascii="Arial" w:hAnsi="Arial" w:cs="Arial"/>
                <w:i/>
                <w:color w:val="000000"/>
              </w:rPr>
              <w:t>3%</w:t>
            </w:r>
          </w:p>
        </w:tc>
        <w:tc>
          <w:tcPr>
            <w:tcW w:w="1437" w:type="dxa"/>
            <w:tcBorders>
              <w:left w:val="single" w:sz="2" w:space="0" w:color="BFBFBF" w:themeColor="background1" w:themeShade="BF"/>
            </w:tcBorders>
            <w:shd w:val="clear" w:color="auto" w:fill="FFFFFF" w:themeFill="background1"/>
            <w:vAlign w:val="center"/>
          </w:tcPr>
          <w:p w14:paraId="2BD48055" w14:textId="26BE496B" w:rsidR="002B72B8" w:rsidRPr="008F36CA" w:rsidRDefault="002B72B8" w:rsidP="002B72B8">
            <w:pPr>
              <w:pStyle w:val="ColorfulList-Accent11"/>
              <w:tabs>
                <w:tab w:val="left" w:pos="0"/>
                <w:tab w:val="left" w:pos="284"/>
              </w:tabs>
              <w:ind w:left="0" w:right="-90"/>
              <w:jc w:val="center"/>
              <w:rPr>
                <w:rFonts w:ascii="Arial" w:hAnsi="Arial" w:cs="Arial"/>
                <w:i/>
                <w:iCs/>
                <w:color w:val="C00000"/>
              </w:rPr>
            </w:pPr>
            <w:r w:rsidRPr="003D59A0">
              <w:rPr>
                <w:rFonts w:ascii="Arial" w:hAnsi="Arial" w:cs="Arial"/>
                <w:i/>
                <w:color w:val="000000"/>
              </w:rPr>
              <w:t>153</w:t>
            </w:r>
            <w:r w:rsidR="00193A45">
              <w:rPr>
                <w:rFonts w:ascii="Arial" w:hAnsi="Arial" w:cs="Arial"/>
                <w:i/>
                <w:color w:val="000000"/>
              </w:rPr>
              <w:t>.</w:t>
            </w:r>
            <w:r w:rsidRPr="003D59A0">
              <w:rPr>
                <w:rFonts w:ascii="Arial" w:hAnsi="Arial" w:cs="Arial"/>
                <w:i/>
                <w:color w:val="000000"/>
              </w:rPr>
              <w:t>789</w:t>
            </w:r>
          </w:p>
        </w:tc>
        <w:tc>
          <w:tcPr>
            <w:tcW w:w="1436" w:type="dxa"/>
            <w:shd w:val="clear" w:color="auto" w:fill="FFFFFF" w:themeFill="background1"/>
            <w:vAlign w:val="center"/>
          </w:tcPr>
          <w:p w14:paraId="124BFA40" w14:textId="1B8D0DA8" w:rsidR="002B72B8" w:rsidRPr="008F36CA" w:rsidRDefault="002B72B8" w:rsidP="002B72B8">
            <w:pPr>
              <w:pStyle w:val="ColorfulList-Accent11"/>
              <w:tabs>
                <w:tab w:val="left" w:pos="0"/>
                <w:tab w:val="left" w:pos="284"/>
              </w:tabs>
              <w:ind w:left="0" w:right="-90"/>
              <w:jc w:val="center"/>
              <w:rPr>
                <w:rFonts w:ascii="Arial" w:hAnsi="Arial" w:cs="Arial"/>
                <w:i/>
                <w:iCs/>
                <w:color w:val="C00000"/>
              </w:rPr>
            </w:pPr>
            <w:r w:rsidRPr="003D59A0">
              <w:rPr>
                <w:rFonts w:ascii="Arial" w:hAnsi="Arial" w:cs="Arial"/>
                <w:i/>
                <w:color w:val="000000"/>
              </w:rPr>
              <w:t>38</w:t>
            </w:r>
            <w:r w:rsidR="00193A45">
              <w:rPr>
                <w:rFonts w:ascii="Arial" w:hAnsi="Arial" w:cs="Arial"/>
                <w:i/>
                <w:color w:val="000000"/>
              </w:rPr>
              <w:t>.</w:t>
            </w:r>
            <w:r w:rsidRPr="003D59A0">
              <w:rPr>
                <w:rFonts w:ascii="Arial" w:hAnsi="Arial" w:cs="Arial"/>
                <w:i/>
                <w:color w:val="000000"/>
              </w:rPr>
              <w:t>475</w:t>
            </w:r>
          </w:p>
        </w:tc>
      </w:tr>
      <w:tr w:rsidR="00732467" w:rsidRPr="001745EE" w14:paraId="272332F9" w14:textId="77777777" w:rsidTr="006B2DDB">
        <w:trPr>
          <w:trHeight w:val="362"/>
        </w:trPr>
        <w:tc>
          <w:tcPr>
            <w:tcW w:w="3396" w:type="dxa"/>
            <w:tcBorders>
              <w:bottom w:val="single" w:sz="2" w:space="0" w:color="BFBFBF" w:themeColor="background1" w:themeShade="BF"/>
              <w:right w:val="single" w:sz="2" w:space="0" w:color="BFBFBF" w:themeColor="background1" w:themeShade="BF"/>
            </w:tcBorders>
            <w:shd w:val="clear" w:color="auto" w:fill="FFFFFF" w:themeFill="background1"/>
            <w:vAlign w:val="center"/>
          </w:tcPr>
          <w:p w14:paraId="3B1B0CE4" w14:textId="22588668" w:rsidR="00732467" w:rsidRPr="002B72B8" w:rsidRDefault="002B72B8" w:rsidP="001575D2">
            <w:pPr>
              <w:pStyle w:val="ColorfulList-Accent11"/>
              <w:tabs>
                <w:tab w:val="left" w:pos="0"/>
                <w:tab w:val="left" w:pos="284"/>
              </w:tabs>
              <w:ind w:left="0" w:right="-90"/>
              <w:rPr>
                <w:rFonts w:ascii="Arial" w:hAnsi="Arial" w:cs="Arial"/>
                <w:b/>
                <w:iCs/>
                <w:lang w:val="el-GR"/>
              </w:rPr>
            </w:pPr>
            <w:r w:rsidRPr="002B72B8">
              <w:rPr>
                <w:rFonts w:ascii="Arial" w:hAnsi="Arial" w:cs="Arial"/>
                <w:b/>
                <w:iCs/>
                <w:lang w:val="el-GR"/>
              </w:rPr>
              <w:t>Συνδρομητές τηλεόρασης</w:t>
            </w:r>
          </w:p>
        </w:tc>
        <w:tc>
          <w:tcPr>
            <w:tcW w:w="1437" w:type="dxa"/>
            <w:tcBorders>
              <w:left w:val="single" w:sz="2" w:space="0" w:color="BFBFBF" w:themeColor="background1" w:themeShade="BF"/>
              <w:bottom w:val="single" w:sz="2" w:space="0" w:color="BFBFBF" w:themeColor="background1" w:themeShade="BF"/>
            </w:tcBorders>
            <w:shd w:val="clear" w:color="auto" w:fill="FFFFFF" w:themeFill="background1"/>
            <w:vAlign w:val="center"/>
          </w:tcPr>
          <w:p w14:paraId="17CA6025" w14:textId="0E91E0DE" w:rsidR="00732467" w:rsidRPr="008F36CA" w:rsidRDefault="00732467" w:rsidP="001575D2">
            <w:pPr>
              <w:pStyle w:val="ColorfulList-Accent11"/>
              <w:tabs>
                <w:tab w:val="left" w:pos="0"/>
                <w:tab w:val="left" w:pos="284"/>
              </w:tabs>
              <w:ind w:left="0" w:right="-90"/>
              <w:jc w:val="center"/>
              <w:rPr>
                <w:rFonts w:ascii="Arial" w:hAnsi="Arial" w:cs="Arial"/>
                <w:b/>
                <w:i/>
                <w:color w:val="C00000"/>
              </w:rPr>
            </w:pPr>
            <w:r w:rsidRPr="003D59A0">
              <w:rPr>
                <w:rFonts w:ascii="Arial" w:hAnsi="Arial" w:cs="Arial"/>
                <w:b/>
                <w:color w:val="000000"/>
              </w:rPr>
              <w:t>758</w:t>
            </w:r>
            <w:r w:rsidR="00193A45">
              <w:rPr>
                <w:rFonts w:ascii="Arial" w:hAnsi="Arial" w:cs="Arial"/>
                <w:b/>
                <w:color w:val="000000"/>
              </w:rPr>
              <w:t>.</w:t>
            </w:r>
            <w:r w:rsidRPr="003D59A0">
              <w:rPr>
                <w:rFonts w:ascii="Arial" w:hAnsi="Arial" w:cs="Arial"/>
                <w:b/>
                <w:color w:val="000000"/>
              </w:rPr>
              <w:t>034</w:t>
            </w:r>
          </w:p>
        </w:tc>
        <w:tc>
          <w:tcPr>
            <w:tcW w:w="1437" w:type="dxa"/>
            <w:tcBorders>
              <w:bottom w:val="single" w:sz="2" w:space="0" w:color="BFBFBF" w:themeColor="background1" w:themeShade="BF"/>
            </w:tcBorders>
            <w:shd w:val="clear" w:color="auto" w:fill="FFFFFF" w:themeFill="background1"/>
            <w:vAlign w:val="center"/>
          </w:tcPr>
          <w:p w14:paraId="49D732B3" w14:textId="113B4CC4" w:rsidR="00732467" w:rsidRPr="008F36CA" w:rsidRDefault="00732467" w:rsidP="001575D2">
            <w:pPr>
              <w:pStyle w:val="ColorfulList-Accent11"/>
              <w:tabs>
                <w:tab w:val="left" w:pos="0"/>
                <w:tab w:val="left" w:pos="284"/>
              </w:tabs>
              <w:ind w:left="0" w:right="-90"/>
              <w:jc w:val="center"/>
              <w:rPr>
                <w:rFonts w:ascii="Arial" w:hAnsi="Arial" w:cs="Arial"/>
                <w:b/>
                <w:i/>
                <w:color w:val="C00000"/>
              </w:rPr>
            </w:pPr>
            <w:r w:rsidRPr="003D59A0">
              <w:rPr>
                <w:rFonts w:ascii="Arial" w:hAnsi="Arial" w:cs="Arial"/>
                <w:b/>
                <w:color w:val="000000"/>
              </w:rPr>
              <w:t>710</w:t>
            </w:r>
            <w:r w:rsidR="00193A45">
              <w:rPr>
                <w:rFonts w:ascii="Arial" w:hAnsi="Arial" w:cs="Arial"/>
                <w:b/>
                <w:color w:val="000000"/>
              </w:rPr>
              <w:t>.</w:t>
            </w:r>
            <w:r w:rsidRPr="003D59A0">
              <w:rPr>
                <w:rFonts w:ascii="Arial" w:hAnsi="Arial" w:cs="Arial"/>
                <w:b/>
                <w:color w:val="000000"/>
              </w:rPr>
              <w:t>189</w:t>
            </w:r>
          </w:p>
        </w:tc>
        <w:tc>
          <w:tcPr>
            <w:tcW w:w="1436" w:type="dxa"/>
            <w:tcBorders>
              <w:bottom w:val="single" w:sz="2" w:space="0" w:color="BFBFBF" w:themeColor="background1" w:themeShade="BF"/>
              <w:right w:val="single" w:sz="2" w:space="0" w:color="BFBFBF" w:themeColor="background1" w:themeShade="BF"/>
            </w:tcBorders>
            <w:shd w:val="clear" w:color="auto" w:fill="FFFFFF" w:themeFill="background1"/>
            <w:vAlign w:val="center"/>
          </w:tcPr>
          <w:p w14:paraId="5FC0CCE6" w14:textId="773FC324" w:rsidR="00732467" w:rsidRPr="008F36CA" w:rsidRDefault="00732467" w:rsidP="001575D2">
            <w:pPr>
              <w:pStyle w:val="ColorfulList-Accent11"/>
              <w:tabs>
                <w:tab w:val="left" w:pos="0"/>
                <w:tab w:val="left" w:pos="284"/>
              </w:tabs>
              <w:ind w:left="0" w:right="-90"/>
              <w:jc w:val="center"/>
              <w:rPr>
                <w:rFonts w:ascii="Arial" w:hAnsi="Arial" w:cs="Arial"/>
                <w:b/>
                <w:bCs/>
                <w:color w:val="C00000"/>
              </w:rPr>
            </w:pPr>
            <w:r w:rsidRPr="003D59A0">
              <w:rPr>
                <w:rFonts w:ascii="Arial" w:hAnsi="Arial" w:cs="Arial"/>
                <w:b/>
                <w:color w:val="000000"/>
              </w:rPr>
              <w:t>+6</w:t>
            </w:r>
            <w:r w:rsidR="00193A45">
              <w:rPr>
                <w:rFonts w:ascii="Arial" w:hAnsi="Arial" w:cs="Arial"/>
                <w:b/>
                <w:color w:val="000000"/>
              </w:rPr>
              <w:t>,</w:t>
            </w:r>
            <w:r w:rsidRPr="003D59A0">
              <w:rPr>
                <w:rFonts w:ascii="Arial" w:hAnsi="Arial" w:cs="Arial"/>
                <w:b/>
                <w:color w:val="000000"/>
              </w:rPr>
              <w:t>7%</w:t>
            </w:r>
          </w:p>
        </w:tc>
        <w:tc>
          <w:tcPr>
            <w:tcW w:w="1437" w:type="dxa"/>
            <w:tcBorders>
              <w:left w:val="single" w:sz="2" w:space="0" w:color="BFBFBF" w:themeColor="background1" w:themeShade="BF"/>
              <w:bottom w:val="single" w:sz="2" w:space="0" w:color="BFBFBF" w:themeColor="background1" w:themeShade="BF"/>
            </w:tcBorders>
            <w:shd w:val="clear" w:color="auto" w:fill="FFFFFF" w:themeFill="background1"/>
            <w:vAlign w:val="center"/>
          </w:tcPr>
          <w:p w14:paraId="02818586" w14:textId="3A30A19C" w:rsidR="00732467" w:rsidRPr="008F36CA" w:rsidRDefault="00732467" w:rsidP="001575D2">
            <w:pPr>
              <w:pStyle w:val="ColorfulList-Accent11"/>
              <w:tabs>
                <w:tab w:val="left" w:pos="0"/>
                <w:tab w:val="left" w:pos="284"/>
              </w:tabs>
              <w:ind w:left="0" w:right="-90"/>
              <w:jc w:val="center"/>
              <w:rPr>
                <w:rFonts w:ascii="Arial" w:hAnsi="Arial" w:cs="Arial"/>
                <w:b/>
                <w:bCs/>
                <w:color w:val="C00000"/>
              </w:rPr>
            </w:pPr>
            <w:r w:rsidRPr="003D59A0">
              <w:rPr>
                <w:rFonts w:ascii="Arial" w:hAnsi="Arial" w:cs="Arial"/>
                <w:b/>
                <w:color w:val="000000"/>
              </w:rPr>
              <w:t>47</w:t>
            </w:r>
            <w:r w:rsidR="00193A45">
              <w:rPr>
                <w:rFonts w:ascii="Arial" w:hAnsi="Arial" w:cs="Arial"/>
                <w:b/>
                <w:color w:val="000000"/>
              </w:rPr>
              <w:t>.</w:t>
            </w:r>
            <w:r w:rsidRPr="003D59A0">
              <w:rPr>
                <w:rFonts w:ascii="Arial" w:hAnsi="Arial" w:cs="Arial"/>
                <w:b/>
                <w:color w:val="000000"/>
              </w:rPr>
              <w:t>845</w:t>
            </w:r>
          </w:p>
        </w:tc>
        <w:tc>
          <w:tcPr>
            <w:tcW w:w="1436" w:type="dxa"/>
            <w:tcBorders>
              <w:bottom w:val="single" w:sz="2" w:space="0" w:color="BFBFBF" w:themeColor="background1" w:themeShade="BF"/>
            </w:tcBorders>
            <w:shd w:val="clear" w:color="auto" w:fill="FFFFFF" w:themeFill="background1"/>
            <w:vAlign w:val="center"/>
          </w:tcPr>
          <w:p w14:paraId="3DEC23B9" w14:textId="0B7E4A75" w:rsidR="00732467" w:rsidRPr="008F36CA" w:rsidRDefault="00732467" w:rsidP="001575D2">
            <w:pPr>
              <w:pStyle w:val="ColorfulList-Accent11"/>
              <w:tabs>
                <w:tab w:val="left" w:pos="0"/>
                <w:tab w:val="left" w:pos="284"/>
              </w:tabs>
              <w:ind w:left="0" w:right="-90"/>
              <w:jc w:val="center"/>
              <w:rPr>
                <w:rFonts w:ascii="Arial" w:hAnsi="Arial" w:cs="Arial"/>
                <w:b/>
                <w:bCs/>
                <w:i/>
                <w:iCs/>
                <w:color w:val="C00000"/>
              </w:rPr>
            </w:pPr>
            <w:r w:rsidRPr="003D59A0">
              <w:rPr>
                <w:rFonts w:ascii="Arial" w:hAnsi="Arial" w:cs="Arial"/>
                <w:b/>
                <w:i/>
                <w:color w:val="000000"/>
              </w:rPr>
              <w:t>23</w:t>
            </w:r>
            <w:r w:rsidR="00193A45">
              <w:rPr>
                <w:rFonts w:ascii="Arial" w:hAnsi="Arial" w:cs="Arial"/>
                <w:b/>
                <w:i/>
                <w:color w:val="000000"/>
              </w:rPr>
              <w:t>.</w:t>
            </w:r>
            <w:r w:rsidRPr="003D59A0">
              <w:rPr>
                <w:rFonts w:ascii="Arial" w:hAnsi="Arial" w:cs="Arial"/>
                <w:b/>
                <w:i/>
                <w:color w:val="000000"/>
              </w:rPr>
              <w:t>002</w:t>
            </w:r>
          </w:p>
        </w:tc>
      </w:tr>
    </w:tbl>
    <w:p w14:paraId="422DA54A" w14:textId="77777777" w:rsidR="00732467" w:rsidRPr="00FB20CB" w:rsidRDefault="00732467" w:rsidP="003367AD">
      <w:pPr>
        <w:rPr>
          <w:rFonts w:ascii="Arial" w:hAnsi="Arial" w:cs="Arial"/>
          <w:i/>
          <w:sz w:val="16"/>
          <w:szCs w:val="16"/>
        </w:rPr>
      </w:pPr>
    </w:p>
    <w:p w14:paraId="0FB5B994" w14:textId="77777777" w:rsidR="00AC3A33" w:rsidRPr="00FB20CB" w:rsidRDefault="00AC3A33" w:rsidP="003367AD">
      <w:pPr>
        <w:rPr>
          <w:rFonts w:ascii="Arial" w:hAnsi="Arial" w:cs="Arial"/>
          <w:i/>
          <w:sz w:val="16"/>
          <w:szCs w:val="16"/>
        </w:rPr>
      </w:pPr>
    </w:p>
    <w:p w14:paraId="6B4819EB" w14:textId="00AC755D" w:rsidR="00475EE9" w:rsidRPr="00FB20CB" w:rsidRDefault="00475EE9" w:rsidP="00475EE9">
      <w:pPr>
        <w:pStyle w:val="Caption"/>
        <w:keepNext/>
        <w:rPr>
          <w:rFonts w:cs="Arial"/>
        </w:rPr>
      </w:pPr>
      <w:proofErr w:type="spellStart"/>
      <w:r w:rsidRPr="00FB20CB">
        <w:rPr>
          <w:rFonts w:cs="Arial"/>
        </w:rPr>
        <w:t>Λειτουργικά</w:t>
      </w:r>
      <w:proofErr w:type="spellEnd"/>
      <w:r w:rsidRPr="00FB20CB">
        <w:rPr>
          <w:rFonts w:cs="Arial"/>
        </w:rPr>
        <w:t xml:space="preserve"> </w:t>
      </w:r>
      <w:proofErr w:type="spellStart"/>
      <w:r w:rsidRPr="00FB20CB">
        <w:rPr>
          <w:rFonts w:cs="Arial"/>
        </w:rPr>
        <w:t>Στοιχεί</w:t>
      </w:r>
      <w:proofErr w:type="spellEnd"/>
      <w:r w:rsidRPr="00FB20CB">
        <w:rPr>
          <w:rFonts w:cs="Arial"/>
        </w:rPr>
        <w:t xml:space="preserve">α </w:t>
      </w:r>
      <w:proofErr w:type="spellStart"/>
      <w:r w:rsidRPr="00FB20CB">
        <w:rPr>
          <w:rFonts w:cs="Arial"/>
        </w:rPr>
        <w:t>Κινητής</w:t>
      </w:r>
      <w:proofErr w:type="spellEnd"/>
      <w:r w:rsidRPr="00FB20CB">
        <w:rPr>
          <w:rFonts w:cs="Arial"/>
        </w:rPr>
        <w:t xml:space="preserve"> </w:t>
      </w:r>
    </w:p>
    <w:tbl>
      <w:tblPr>
        <w:tblStyle w:val="TableGrid"/>
        <w:tblW w:w="10490" w:type="dxa"/>
        <w:tblBorders>
          <w:top w:val="single" w:sz="2" w:space="0" w:color="BFBFBF" w:themeColor="background1" w:themeShade="BF"/>
          <w:left w:val="none" w:sz="0" w:space="0" w:color="auto"/>
          <w:bottom w:val="single" w:sz="2" w:space="0" w:color="BFBFBF" w:themeColor="background1" w:themeShade="BF"/>
          <w:right w:val="none" w:sz="0" w:space="0" w:color="auto"/>
          <w:insideH w:val="none" w:sz="0" w:space="0" w:color="auto"/>
          <w:insideV w:val="none" w:sz="0" w:space="0" w:color="auto"/>
        </w:tblBorders>
        <w:tblLook w:val="04A0" w:firstRow="1" w:lastRow="0" w:firstColumn="1" w:lastColumn="0" w:noHBand="0" w:noVBand="1"/>
      </w:tblPr>
      <w:tblGrid>
        <w:gridCol w:w="3393"/>
        <w:gridCol w:w="1518"/>
        <w:gridCol w:w="1314"/>
        <w:gridCol w:w="1517"/>
        <w:gridCol w:w="1455"/>
        <w:gridCol w:w="1293"/>
      </w:tblGrid>
      <w:tr w:rsidR="00AC3A33" w:rsidRPr="001745EE" w14:paraId="57B01D5E" w14:textId="77777777" w:rsidTr="006B2DDB">
        <w:trPr>
          <w:trHeight w:val="463"/>
        </w:trPr>
        <w:tc>
          <w:tcPr>
            <w:tcW w:w="3402" w:type="dxa"/>
            <w:tcBorders>
              <w:top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F2F2F2" w:themeFill="background1" w:themeFillShade="F2"/>
            <w:vAlign w:val="center"/>
          </w:tcPr>
          <w:p w14:paraId="4526D40D" w14:textId="0C1F5F6B" w:rsidR="00AC3A33" w:rsidRPr="00576929" w:rsidRDefault="00AC3A33" w:rsidP="001575D2">
            <w:pPr>
              <w:pStyle w:val="ColorfulList-Accent11"/>
              <w:tabs>
                <w:tab w:val="left" w:pos="0"/>
                <w:tab w:val="left" w:pos="284"/>
              </w:tabs>
              <w:ind w:left="0" w:right="-90"/>
              <w:rPr>
                <w:rFonts w:ascii="Arial" w:hAnsi="Arial" w:cs="Arial"/>
                <w:b/>
                <w:bCs/>
                <w:i/>
                <w:lang w:val="el-GR"/>
              </w:rPr>
            </w:pPr>
            <w:proofErr w:type="spellStart"/>
            <w:r w:rsidRPr="004B27A4">
              <w:rPr>
                <w:rFonts w:ascii="Arial" w:hAnsi="Arial" w:cs="Arial"/>
                <w:b/>
              </w:rPr>
              <w:t>Λειτουργικά</w:t>
            </w:r>
            <w:proofErr w:type="spellEnd"/>
            <w:r w:rsidRPr="004B27A4">
              <w:rPr>
                <w:rFonts w:ascii="Arial" w:hAnsi="Arial" w:cs="Arial"/>
                <w:b/>
              </w:rPr>
              <w:t xml:space="preserve"> </w:t>
            </w:r>
            <w:proofErr w:type="spellStart"/>
            <w:r w:rsidRPr="004B27A4">
              <w:rPr>
                <w:rFonts w:ascii="Arial" w:hAnsi="Arial" w:cs="Arial"/>
                <w:b/>
              </w:rPr>
              <w:t>Στοιχεί</w:t>
            </w:r>
            <w:proofErr w:type="spellEnd"/>
            <w:r w:rsidRPr="004B27A4">
              <w:rPr>
                <w:rFonts w:ascii="Arial" w:hAnsi="Arial" w:cs="Arial"/>
                <w:b/>
              </w:rPr>
              <w:t xml:space="preserve">α </w:t>
            </w:r>
            <w:proofErr w:type="spellStart"/>
            <w:r w:rsidRPr="004B27A4">
              <w:rPr>
                <w:rFonts w:ascii="Arial" w:hAnsi="Arial" w:cs="Arial"/>
                <w:b/>
              </w:rPr>
              <w:t>Κινητής</w:t>
            </w:r>
            <w:proofErr w:type="spellEnd"/>
          </w:p>
        </w:tc>
        <w:tc>
          <w:tcPr>
            <w:tcW w:w="1520" w:type="dxa"/>
            <w:tcBorders>
              <w:top w:val="single" w:sz="2" w:space="0" w:color="BFBFBF" w:themeColor="background1" w:themeShade="BF"/>
              <w:left w:val="single" w:sz="2" w:space="0" w:color="BFBFBF" w:themeColor="background1" w:themeShade="BF"/>
              <w:bottom w:val="single" w:sz="2" w:space="0" w:color="BFBFBF" w:themeColor="background1" w:themeShade="BF"/>
            </w:tcBorders>
            <w:shd w:val="clear" w:color="auto" w:fill="F2F2F2" w:themeFill="background1" w:themeFillShade="F2"/>
            <w:vAlign w:val="center"/>
          </w:tcPr>
          <w:p w14:paraId="7DA1D248" w14:textId="77777777" w:rsidR="00AC3A33" w:rsidRPr="00576929" w:rsidRDefault="00AC3A33" w:rsidP="001575D2">
            <w:pPr>
              <w:pStyle w:val="ColorfulList-Accent11"/>
              <w:tabs>
                <w:tab w:val="left" w:pos="0"/>
                <w:tab w:val="left" w:pos="284"/>
              </w:tabs>
              <w:ind w:left="0" w:right="-90"/>
              <w:jc w:val="center"/>
              <w:rPr>
                <w:rFonts w:ascii="Arial" w:hAnsi="Arial" w:cs="Arial"/>
                <w:b/>
                <w:bCs/>
                <w:i/>
              </w:rPr>
            </w:pPr>
            <w:r w:rsidRPr="00576929">
              <w:rPr>
                <w:rFonts w:ascii="Arial" w:hAnsi="Arial" w:cs="Arial"/>
                <w:b/>
                <w:bCs/>
              </w:rPr>
              <w:t>Q3'25</w:t>
            </w:r>
          </w:p>
        </w:tc>
        <w:tc>
          <w:tcPr>
            <w:tcW w:w="1315" w:type="dxa"/>
            <w:tcBorders>
              <w:top w:val="single" w:sz="2" w:space="0" w:color="BFBFBF" w:themeColor="background1" w:themeShade="BF"/>
              <w:bottom w:val="single" w:sz="2" w:space="0" w:color="BFBFBF" w:themeColor="background1" w:themeShade="BF"/>
            </w:tcBorders>
            <w:shd w:val="clear" w:color="auto" w:fill="F2F2F2" w:themeFill="background1" w:themeFillShade="F2"/>
            <w:vAlign w:val="center"/>
          </w:tcPr>
          <w:p w14:paraId="440D1303" w14:textId="77777777" w:rsidR="00AC3A33" w:rsidRPr="00576929" w:rsidRDefault="00AC3A33" w:rsidP="001575D2">
            <w:pPr>
              <w:pStyle w:val="ColorfulList-Accent11"/>
              <w:tabs>
                <w:tab w:val="left" w:pos="0"/>
                <w:tab w:val="left" w:pos="284"/>
              </w:tabs>
              <w:ind w:left="0" w:right="-90"/>
              <w:jc w:val="center"/>
              <w:rPr>
                <w:rFonts w:ascii="Arial" w:hAnsi="Arial" w:cs="Arial"/>
                <w:b/>
                <w:bCs/>
                <w:i/>
              </w:rPr>
            </w:pPr>
            <w:r w:rsidRPr="00576929">
              <w:rPr>
                <w:rFonts w:ascii="Arial" w:hAnsi="Arial" w:cs="Arial"/>
                <w:b/>
                <w:bCs/>
              </w:rPr>
              <w:t>Q3'24</w:t>
            </w:r>
          </w:p>
        </w:tc>
        <w:tc>
          <w:tcPr>
            <w:tcW w:w="1520" w:type="dxa"/>
            <w:tcBorders>
              <w:top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F2F2F2" w:themeFill="background1" w:themeFillShade="F2"/>
            <w:vAlign w:val="center"/>
          </w:tcPr>
          <w:p w14:paraId="449F217F" w14:textId="77777777" w:rsidR="00AC3A33" w:rsidRPr="00576929" w:rsidRDefault="00AC3A33" w:rsidP="001575D2">
            <w:pPr>
              <w:pStyle w:val="ColorfulList-Accent11"/>
              <w:tabs>
                <w:tab w:val="left" w:pos="0"/>
                <w:tab w:val="left" w:pos="284"/>
              </w:tabs>
              <w:ind w:left="0" w:right="-90"/>
              <w:jc w:val="center"/>
              <w:rPr>
                <w:rFonts w:ascii="Arial" w:hAnsi="Arial" w:cs="Arial"/>
                <w:b/>
                <w:bCs/>
              </w:rPr>
            </w:pPr>
            <w:r w:rsidRPr="00576929">
              <w:rPr>
                <w:rFonts w:ascii="Arial" w:hAnsi="Arial" w:cs="Arial"/>
                <w:b/>
                <w:bCs/>
              </w:rPr>
              <w:t>y-o-y</w:t>
            </w:r>
          </w:p>
        </w:tc>
        <w:tc>
          <w:tcPr>
            <w:tcW w:w="1457" w:type="dxa"/>
            <w:tcBorders>
              <w:top w:val="single" w:sz="2" w:space="0" w:color="BFBFBF" w:themeColor="background1" w:themeShade="BF"/>
              <w:left w:val="single" w:sz="2" w:space="0" w:color="BFBFBF" w:themeColor="background1" w:themeShade="BF"/>
              <w:bottom w:val="single" w:sz="2" w:space="0" w:color="BFBFBF" w:themeColor="background1" w:themeShade="BF"/>
            </w:tcBorders>
            <w:shd w:val="clear" w:color="auto" w:fill="F2F2F2" w:themeFill="background1" w:themeFillShade="F2"/>
            <w:vAlign w:val="center"/>
          </w:tcPr>
          <w:p w14:paraId="27D4E2F3" w14:textId="77777777" w:rsidR="00AC3A33" w:rsidRPr="00576929" w:rsidRDefault="00AC3A33" w:rsidP="001575D2">
            <w:pPr>
              <w:pStyle w:val="ColorfulList-Accent11"/>
              <w:tabs>
                <w:tab w:val="left" w:pos="0"/>
                <w:tab w:val="left" w:pos="284"/>
              </w:tabs>
              <w:ind w:left="0" w:right="-90"/>
              <w:jc w:val="center"/>
              <w:rPr>
                <w:rFonts w:ascii="Arial" w:hAnsi="Arial" w:cs="Arial"/>
                <w:b/>
                <w:bCs/>
              </w:rPr>
            </w:pPr>
            <w:r w:rsidRPr="00576929">
              <w:rPr>
                <w:rFonts w:ascii="Arial" w:hAnsi="Arial" w:cs="Arial"/>
                <w:b/>
                <w:bCs/>
              </w:rPr>
              <w:t>y-o-y</w:t>
            </w:r>
          </w:p>
        </w:tc>
        <w:tc>
          <w:tcPr>
            <w:tcW w:w="1276" w:type="dxa"/>
            <w:tcBorders>
              <w:top w:val="single" w:sz="2" w:space="0" w:color="BFBFBF" w:themeColor="background1" w:themeShade="BF"/>
              <w:bottom w:val="single" w:sz="2" w:space="0" w:color="BFBFBF" w:themeColor="background1" w:themeShade="BF"/>
            </w:tcBorders>
            <w:shd w:val="clear" w:color="auto" w:fill="F2F2F2" w:themeFill="background1" w:themeFillShade="F2"/>
            <w:vAlign w:val="center"/>
          </w:tcPr>
          <w:p w14:paraId="2D1347A4" w14:textId="035EE090" w:rsidR="00AC3A33" w:rsidRPr="00DB0DFE" w:rsidRDefault="00CA2B0F" w:rsidP="001575D2">
            <w:pPr>
              <w:pStyle w:val="ColorfulList-Accent11"/>
              <w:tabs>
                <w:tab w:val="left" w:pos="0"/>
                <w:tab w:val="left" w:pos="284"/>
              </w:tabs>
              <w:ind w:left="0" w:right="-90"/>
              <w:jc w:val="center"/>
              <w:rPr>
                <w:rFonts w:ascii="Arial" w:hAnsi="Arial" w:cs="Arial"/>
                <w:b/>
              </w:rPr>
            </w:pPr>
            <w:r>
              <w:rPr>
                <w:rFonts w:ascii="Arial" w:hAnsi="Arial" w:cs="Arial"/>
                <w:b/>
                <w:lang w:val="el-GR"/>
              </w:rPr>
              <w:t>Καθαρές προσθήκες</w:t>
            </w:r>
          </w:p>
        </w:tc>
      </w:tr>
      <w:tr w:rsidR="00AC3A33" w:rsidRPr="001745EE" w14:paraId="6F7F4A25" w14:textId="77777777" w:rsidTr="006B2DDB">
        <w:trPr>
          <w:trHeight w:val="362"/>
        </w:trPr>
        <w:tc>
          <w:tcPr>
            <w:tcW w:w="3402" w:type="dxa"/>
            <w:tcBorders>
              <w:top w:val="single" w:sz="2" w:space="0" w:color="BFBFBF" w:themeColor="background1" w:themeShade="BF"/>
              <w:right w:val="single" w:sz="2" w:space="0" w:color="BFBFBF" w:themeColor="background1" w:themeShade="BF"/>
            </w:tcBorders>
            <w:shd w:val="clear" w:color="auto" w:fill="FFFFFF" w:themeFill="background1"/>
            <w:vAlign w:val="center"/>
          </w:tcPr>
          <w:p w14:paraId="1A63813B" w14:textId="02BB832F" w:rsidR="00AC3A33" w:rsidRPr="00AC3A33" w:rsidRDefault="00AC3A33" w:rsidP="001575D2">
            <w:pPr>
              <w:pStyle w:val="ColorfulList-Accent11"/>
              <w:tabs>
                <w:tab w:val="left" w:pos="0"/>
                <w:tab w:val="left" w:pos="284"/>
              </w:tabs>
              <w:ind w:left="0" w:right="-90"/>
              <w:rPr>
                <w:rFonts w:ascii="Arial" w:hAnsi="Arial" w:cs="Arial"/>
                <w:b/>
                <w:i/>
                <w:lang w:val="el-GR"/>
              </w:rPr>
            </w:pPr>
            <w:r>
              <w:rPr>
                <w:rFonts w:ascii="Arial" w:hAnsi="Arial" w:cs="Arial"/>
                <w:b/>
                <w:lang w:val="el-GR"/>
              </w:rPr>
              <w:t>Συνδρομητές Συμβολαίου</w:t>
            </w:r>
          </w:p>
        </w:tc>
        <w:tc>
          <w:tcPr>
            <w:tcW w:w="1520" w:type="dxa"/>
            <w:tcBorders>
              <w:top w:val="single" w:sz="2" w:space="0" w:color="BFBFBF" w:themeColor="background1" w:themeShade="BF"/>
              <w:left w:val="single" w:sz="2" w:space="0" w:color="BFBFBF" w:themeColor="background1" w:themeShade="BF"/>
            </w:tcBorders>
            <w:shd w:val="clear" w:color="auto" w:fill="FFFFFF" w:themeFill="background1"/>
            <w:vAlign w:val="center"/>
          </w:tcPr>
          <w:p w14:paraId="7661855A" w14:textId="7B83F0AA" w:rsidR="00AC3A33" w:rsidRPr="008F36CA" w:rsidRDefault="00AC3A33" w:rsidP="001575D2">
            <w:pPr>
              <w:pStyle w:val="ColorfulList-Accent11"/>
              <w:tabs>
                <w:tab w:val="left" w:pos="0"/>
                <w:tab w:val="left" w:pos="284"/>
              </w:tabs>
              <w:ind w:left="0" w:right="-90"/>
              <w:jc w:val="center"/>
              <w:rPr>
                <w:rFonts w:ascii="Arial" w:hAnsi="Arial" w:cs="Arial"/>
                <w:b/>
                <w:i/>
                <w:color w:val="C00000"/>
              </w:rPr>
            </w:pPr>
            <w:r w:rsidRPr="0068351A">
              <w:rPr>
                <w:rFonts w:ascii="Arial" w:hAnsi="Arial" w:cs="Arial"/>
                <w:b/>
                <w:bCs/>
                <w:i/>
                <w:iCs/>
                <w:color w:val="000000"/>
              </w:rPr>
              <w:t>3</w:t>
            </w:r>
            <w:r w:rsidR="00193A45">
              <w:rPr>
                <w:rFonts w:ascii="Arial" w:hAnsi="Arial" w:cs="Arial"/>
                <w:b/>
                <w:bCs/>
                <w:i/>
                <w:iCs/>
                <w:color w:val="000000"/>
              </w:rPr>
              <w:t>.</w:t>
            </w:r>
            <w:r w:rsidRPr="0068351A">
              <w:rPr>
                <w:rFonts w:ascii="Arial" w:hAnsi="Arial" w:cs="Arial"/>
                <w:b/>
                <w:bCs/>
                <w:i/>
                <w:iCs/>
                <w:color w:val="000000"/>
              </w:rPr>
              <w:t>002</w:t>
            </w:r>
            <w:r w:rsidR="00193A45">
              <w:rPr>
                <w:rFonts w:ascii="Arial" w:hAnsi="Arial" w:cs="Arial"/>
                <w:b/>
                <w:bCs/>
                <w:i/>
                <w:iCs/>
                <w:color w:val="000000"/>
              </w:rPr>
              <w:t>.</w:t>
            </w:r>
            <w:r w:rsidRPr="0068351A">
              <w:rPr>
                <w:rFonts w:ascii="Arial" w:hAnsi="Arial" w:cs="Arial"/>
                <w:b/>
                <w:bCs/>
                <w:i/>
                <w:iCs/>
                <w:color w:val="000000"/>
              </w:rPr>
              <w:t>710</w:t>
            </w:r>
          </w:p>
        </w:tc>
        <w:tc>
          <w:tcPr>
            <w:tcW w:w="1315" w:type="dxa"/>
            <w:tcBorders>
              <w:top w:val="single" w:sz="2" w:space="0" w:color="BFBFBF" w:themeColor="background1" w:themeShade="BF"/>
            </w:tcBorders>
            <w:shd w:val="clear" w:color="auto" w:fill="FFFFFF" w:themeFill="background1"/>
            <w:vAlign w:val="center"/>
          </w:tcPr>
          <w:p w14:paraId="1645D47F" w14:textId="19124C7F" w:rsidR="00AC3A33" w:rsidRPr="008F36CA" w:rsidRDefault="00AC3A33" w:rsidP="001575D2">
            <w:pPr>
              <w:pStyle w:val="ColorfulList-Accent11"/>
              <w:tabs>
                <w:tab w:val="left" w:pos="0"/>
                <w:tab w:val="left" w:pos="284"/>
              </w:tabs>
              <w:ind w:left="0" w:right="-90"/>
              <w:jc w:val="center"/>
              <w:rPr>
                <w:rFonts w:ascii="Arial" w:hAnsi="Arial" w:cs="Arial"/>
                <w:b/>
                <w:i/>
                <w:color w:val="C00000"/>
              </w:rPr>
            </w:pPr>
            <w:r w:rsidRPr="0068351A">
              <w:rPr>
                <w:rFonts w:ascii="Arial" w:hAnsi="Arial" w:cs="Arial"/>
                <w:b/>
                <w:bCs/>
                <w:i/>
                <w:iCs/>
                <w:color w:val="000000"/>
              </w:rPr>
              <w:t>2</w:t>
            </w:r>
            <w:r w:rsidR="00193A45">
              <w:rPr>
                <w:rFonts w:ascii="Arial" w:hAnsi="Arial" w:cs="Arial"/>
                <w:b/>
                <w:bCs/>
                <w:i/>
                <w:iCs/>
                <w:color w:val="000000"/>
              </w:rPr>
              <w:t>.</w:t>
            </w:r>
            <w:r w:rsidRPr="0068351A">
              <w:rPr>
                <w:rFonts w:ascii="Arial" w:hAnsi="Arial" w:cs="Arial"/>
                <w:b/>
                <w:bCs/>
                <w:i/>
                <w:iCs/>
                <w:color w:val="000000"/>
              </w:rPr>
              <w:t>823</w:t>
            </w:r>
            <w:r w:rsidR="00193A45">
              <w:rPr>
                <w:rFonts w:ascii="Arial" w:hAnsi="Arial" w:cs="Arial"/>
                <w:b/>
                <w:bCs/>
                <w:i/>
                <w:iCs/>
                <w:color w:val="000000"/>
              </w:rPr>
              <w:t>.</w:t>
            </w:r>
            <w:r w:rsidRPr="0068351A">
              <w:rPr>
                <w:rFonts w:ascii="Arial" w:hAnsi="Arial" w:cs="Arial"/>
                <w:b/>
                <w:bCs/>
                <w:i/>
                <w:iCs/>
                <w:color w:val="000000"/>
              </w:rPr>
              <w:t>310</w:t>
            </w:r>
          </w:p>
        </w:tc>
        <w:tc>
          <w:tcPr>
            <w:tcW w:w="1520" w:type="dxa"/>
            <w:tcBorders>
              <w:top w:val="single" w:sz="2" w:space="0" w:color="BFBFBF" w:themeColor="background1" w:themeShade="BF"/>
              <w:right w:val="single" w:sz="2" w:space="0" w:color="BFBFBF" w:themeColor="background1" w:themeShade="BF"/>
            </w:tcBorders>
            <w:shd w:val="clear" w:color="auto" w:fill="FFFFFF" w:themeFill="background1"/>
            <w:vAlign w:val="center"/>
          </w:tcPr>
          <w:p w14:paraId="0FF5B6ED" w14:textId="558FFA94" w:rsidR="00AC3A33" w:rsidRPr="008F36CA" w:rsidRDefault="00AC3A33" w:rsidP="001575D2">
            <w:pPr>
              <w:pStyle w:val="ColorfulList-Accent11"/>
              <w:tabs>
                <w:tab w:val="left" w:pos="0"/>
                <w:tab w:val="left" w:pos="284"/>
              </w:tabs>
              <w:ind w:left="0" w:right="-90"/>
              <w:jc w:val="center"/>
              <w:rPr>
                <w:rFonts w:ascii="Arial" w:hAnsi="Arial" w:cs="Arial"/>
                <w:b/>
                <w:bCs/>
                <w:color w:val="C00000"/>
              </w:rPr>
            </w:pPr>
            <w:r w:rsidRPr="0068351A">
              <w:rPr>
                <w:rFonts w:ascii="Arial" w:hAnsi="Arial" w:cs="Arial"/>
                <w:b/>
                <w:bCs/>
                <w:i/>
                <w:iCs/>
                <w:color w:val="000000"/>
              </w:rPr>
              <w:t>+6</w:t>
            </w:r>
            <w:r w:rsidR="00193A45">
              <w:rPr>
                <w:rFonts w:ascii="Arial" w:hAnsi="Arial" w:cs="Arial"/>
                <w:b/>
                <w:bCs/>
                <w:i/>
                <w:iCs/>
                <w:color w:val="000000"/>
              </w:rPr>
              <w:t>,</w:t>
            </w:r>
            <w:r w:rsidRPr="0068351A">
              <w:rPr>
                <w:rFonts w:ascii="Arial" w:hAnsi="Arial" w:cs="Arial"/>
                <w:b/>
                <w:bCs/>
                <w:i/>
                <w:iCs/>
                <w:color w:val="000000"/>
              </w:rPr>
              <w:t>4%</w:t>
            </w:r>
          </w:p>
        </w:tc>
        <w:tc>
          <w:tcPr>
            <w:tcW w:w="1457" w:type="dxa"/>
            <w:tcBorders>
              <w:top w:val="single" w:sz="2" w:space="0" w:color="BFBFBF" w:themeColor="background1" w:themeShade="BF"/>
              <w:left w:val="single" w:sz="2" w:space="0" w:color="BFBFBF" w:themeColor="background1" w:themeShade="BF"/>
            </w:tcBorders>
            <w:shd w:val="clear" w:color="auto" w:fill="FFFFFF" w:themeFill="background1"/>
            <w:vAlign w:val="center"/>
          </w:tcPr>
          <w:p w14:paraId="60774AB5" w14:textId="126B0240" w:rsidR="00AC3A33" w:rsidRPr="008F36CA" w:rsidRDefault="00AC3A33" w:rsidP="001575D2">
            <w:pPr>
              <w:pStyle w:val="ColorfulList-Accent11"/>
              <w:tabs>
                <w:tab w:val="left" w:pos="0"/>
                <w:tab w:val="left" w:pos="284"/>
              </w:tabs>
              <w:ind w:left="0" w:right="-90"/>
              <w:jc w:val="center"/>
              <w:rPr>
                <w:rFonts w:ascii="Arial" w:hAnsi="Arial" w:cs="Arial"/>
                <w:b/>
                <w:bCs/>
                <w:color w:val="C00000"/>
              </w:rPr>
            </w:pPr>
            <w:r w:rsidRPr="0068351A">
              <w:rPr>
                <w:rFonts w:ascii="Arial" w:hAnsi="Arial" w:cs="Arial"/>
                <w:b/>
                <w:bCs/>
                <w:i/>
                <w:iCs/>
                <w:color w:val="000000"/>
              </w:rPr>
              <w:t>179</w:t>
            </w:r>
            <w:r w:rsidR="00193A45">
              <w:rPr>
                <w:rFonts w:ascii="Arial" w:hAnsi="Arial" w:cs="Arial"/>
                <w:b/>
                <w:bCs/>
                <w:i/>
                <w:iCs/>
                <w:color w:val="000000"/>
              </w:rPr>
              <w:t>.</w:t>
            </w:r>
            <w:r w:rsidRPr="0068351A">
              <w:rPr>
                <w:rFonts w:ascii="Arial" w:hAnsi="Arial" w:cs="Arial"/>
                <w:b/>
                <w:bCs/>
                <w:i/>
                <w:iCs/>
                <w:color w:val="000000"/>
              </w:rPr>
              <w:t>400</w:t>
            </w:r>
          </w:p>
        </w:tc>
        <w:tc>
          <w:tcPr>
            <w:tcW w:w="1276" w:type="dxa"/>
            <w:tcBorders>
              <w:top w:val="single" w:sz="2" w:space="0" w:color="BFBFBF" w:themeColor="background1" w:themeShade="BF"/>
            </w:tcBorders>
            <w:shd w:val="clear" w:color="auto" w:fill="FFFFFF" w:themeFill="background1"/>
            <w:vAlign w:val="center"/>
          </w:tcPr>
          <w:p w14:paraId="5B79ECD3" w14:textId="388AC4E9" w:rsidR="00AC3A33" w:rsidRPr="008F36CA" w:rsidRDefault="00AC3A33" w:rsidP="001575D2">
            <w:pPr>
              <w:pStyle w:val="ColorfulList-Accent11"/>
              <w:tabs>
                <w:tab w:val="left" w:pos="0"/>
                <w:tab w:val="left" w:pos="284"/>
              </w:tabs>
              <w:ind w:left="0" w:right="-90"/>
              <w:jc w:val="center"/>
              <w:rPr>
                <w:rFonts w:ascii="Arial" w:hAnsi="Arial" w:cs="Arial"/>
                <w:b/>
                <w:bCs/>
                <w:i/>
                <w:iCs/>
                <w:color w:val="C00000"/>
              </w:rPr>
            </w:pPr>
            <w:r w:rsidRPr="0068351A">
              <w:rPr>
                <w:rFonts w:ascii="Arial" w:hAnsi="Arial" w:cs="Arial"/>
                <w:b/>
                <w:bCs/>
                <w:i/>
                <w:iCs/>
                <w:color w:val="000000"/>
              </w:rPr>
              <w:t>57</w:t>
            </w:r>
            <w:r w:rsidR="00193A45">
              <w:rPr>
                <w:rFonts w:ascii="Arial" w:hAnsi="Arial" w:cs="Arial"/>
                <w:b/>
                <w:bCs/>
                <w:i/>
                <w:iCs/>
                <w:color w:val="000000"/>
              </w:rPr>
              <w:t>.</w:t>
            </w:r>
            <w:r w:rsidRPr="0068351A">
              <w:rPr>
                <w:rFonts w:ascii="Arial" w:hAnsi="Arial" w:cs="Arial"/>
                <w:b/>
                <w:bCs/>
                <w:i/>
                <w:iCs/>
                <w:color w:val="000000"/>
              </w:rPr>
              <w:t>206</w:t>
            </w:r>
          </w:p>
        </w:tc>
      </w:tr>
      <w:tr w:rsidR="00AC3A33" w:rsidRPr="001745EE" w14:paraId="2B46C673" w14:textId="77777777" w:rsidTr="006B2DDB">
        <w:trPr>
          <w:trHeight w:val="362"/>
        </w:trPr>
        <w:tc>
          <w:tcPr>
            <w:tcW w:w="3402" w:type="dxa"/>
            <w:tcBorders>
              <w:right w:val="single" w:sz="2" w:space="0" w:color="BFBFBF" w:themeColor="background1" w:themeShade="BF"/>
            </w:tcBorders>
            <w:shd w:val="clear" w:color="auto" w:fill="FFFFFF" w:themeFill="background1"/>
            <w:vAlign w:val="center"/>
          </w:tcPr>
          <w:p w14:paraId="014C5213" w14:textId="51B1FA69" w:rsidR="00AC3A33" w:rsidRPr="00AC3A33" w:rsidRDefault="00AC3A33" w:rsidP="001575D2">
            <w:pPr>
              <w:pStyle w:val="ColorfulList-Accent11"/>
              <w:tabs>
                <w:tab w:val="left" w:pos="0"/>
                <w:tab w:val="left" w:pos="284"/>
              </w:tabs>
              <w:ind w:left="0" w:right="-90"/>
              <w:rPr>
                <w:rFonts w:ascii="Arial" w:hAnsi="Arial" w:cs="Arial"/>
                <w:b/>
                <w:i/>
                <w:lang w:val="el-GR"/>
              </w:rPr>
            </w:pPr>
            <w:r>
              <w:rPr>
                <w:rFonts w:ascii="Arial" w:hAnsi="Arial" w:cs="Arial"/>
                <w:b/>
                <w:lang w:val="el-GR"/>
              </w:rPr>
              <w:t>Συνδρομητές Καρτοκινητής</w:t>
            </w:r>
          </w:p>
        </w:tc>
        <w:tc>
          <w:tcPr>
            <w:tcW w:w="1520" w:type="dxa"/>
            <w:tcBorders>
              <w:left w:val="single" w:sz="2" w:space="0" w:color="BFBFBF" w:themeColor="background1" w:themeShade="BF"/>
              <w:bottom w:val="single" w:sz="2" w:space="0" w:color="BFBFBF" w:themeColor="background1" w:themeShade="BF"/>
            </w:tcBorders>
            <w:shd w:val="clear" w:color="auto" w:fill="FFFFFF" w:themeFill="background1"/>
            <w:vAlign w:val="center"/>
          </w:tcPr>
          <w:p w14:paraId="67F55447" w14:textId="503C43CF" w:rsidR="00AC3A33" w:rsidRPr="008F36CA" w:rsidRDefault="00AC3A33" w:rsidP="001575D2">
            <w:pPr>
              <w:pStyle w:val="ColorfulList-Accent11"/>
              <w:tabs>
                <w:tab w:val="left" w:pos="0"/>
                <w:tab w:val="left" w:pos="284"/>
              </w:tabs>
              <w:ind w:left="0" w:right="-90"/>
              <w:jc w:val="center"/>
              <w:rPr>
                <w:rFonts w:ascii="Arial" w:hAnsi="Arial" w:cs="Arial"/>
                <w:b/>
                <w:i/>
                <w:color w:val="C00000"/>
              </w:rPr>
            </w:pPr>
            <w:r w:rsidRPr="0068351A">
              <w:rPr>
                <w:rFonts w:ascii="Arial" w:hAnsi="Arial" w:cs="Arial"/>
                <w:b/>
                <w:bCs/>
                <w:i/>
                <w:iCs/>
                <w:color w:val="000000"/>
              </w:rPr>
              <w:t>4</w:t>
            </w:r>
            <w:r w:rsidR="00193A45">
              <w:rPr>
                <w:rFonts w:ascii="Arial" w:hAnsi="Arial" w:cs="Arial"/>
                <w:b/>
                <w:bCs/>
                <w:i/>
                <w:iCs/>
                <w:color w:val="000000"/>
              </w:rPr>
              <w:t>.</w:t>
            </w:r>
            <w:r w:rsidRPr="0068351A">
              <w:rPr>
                <w:rFonts w:ascii="Arial" w:hAnsi="Arial" w:cs="Arial"/>
                <w:b/>
                <w:bCs/>
                <w:i/>
                <w:iCs/>
                <w:color w:val="000000"/>
              </w:rPr>
              <w:t>156</w:t>
            </w:r>
            <w:r w:rsidR="00193A45">
              <w:rPr>
                <w:rFonts w:ascii="Arial" w:hAnsi="Arial" w:cs="Arial"/>
                <w:b/>
                <w:bCs/>
                <w:i/>
                <w:iCs/>
                <w:color w:val="000000"/>
              </w:rPr>
              <w:t>.</w:t>
            </w:r>
            <w:r w:rsidRPr="0068351A">
              <w:rPr>
                <w:rFonts w:ascii="Arial" w:hAnsi="Arial" w:cs="Arial"/>
                <w:b/>
                <w:bCs/>
                <w:i/>
                <w:iCs/>
                <w:color w:val="000000"/>
              </w:rPr>
              <w:t>944</w:t>
            </w:r>
          </w:p>
        </w:tc>
        <w:tc>
          <w:tcPr>
            <w:tcW w:w="1315" w:type="dxa"/>
            <w:tcBorders>
              <w:bottom w:val="single" w:sz="2" w:space="0" w:color="BFBFBF" w:themeColor="background1" w:themeShade="BF"/>
            </w:tcBorders>
            <w:shd w:val="clear" w:color="auto" w:fill="FFFFFF" w:themeFill="background1"/>
            <w:vAlign w:val="center"/>
          </w:tcPr>
          <w:p w14:paraId="49AF1C88" w14:textId="254CC26D" w:rsidR="00AC3A33" w:rsidRPr="008F36CA" w:rsidRDefault="00AC3A33" w:rsidP="001575D2">
            <w:pPr>
              <w:pStyle w:val="ColorfulList-Accent11"/>
              <w:tabs>
                <w:tab w:val="left" w:pos="0"/>
                <w:tab w:val="left" w:pos="284"/>
              </w:tabs>
              <w:ind w:left="0" w:right="-90"/>
              <w:jc w:val="center"/>
              <w:rPr>
                <w:rFonts w:ascii="Arial" w:hAnsi="Arial" w:cs="Arial"/>
                <w:b/>
                <w:i/>
                <w:color w:val="C00000"/>
              </w:rPr>
            </w:pPr>
            <w:r w:rsidRPr="0068351A">
              <w:rPr>
                <w:rFonts w:ascii="Arial" w:hAnsi="Arial" w:cs="Arial"/>
                <w:b/>
                <w:bCs/>
                <w:i/>
                <w:iCs/>
                <w:color w:val="000000"/>
              </w:rPr>
              <w:t>4</w:t>
            </w:r>
            <w:r w:rsidR="00193A45">
              <w:rPr>
                <w:rFonts w:ascii="Arial" w:hAnsi="Arial" w:cs="Arial"/>
                <w:b/>
                <w:bCs/>
                <w:i/>
                <w:iCs/>
                <w:color w:val="000000"/>
              </w:rPr>
              <w:t>.</w:t>
            </w:r>
            <w:r w:rsidRPr="0068351A">
              <w:rPr>
                <w:rFonts w:ascii="Arial" w:hAnsi="Arial" w:cs="Arial"/>
                <w:b/>
                <w:bCs/>
                <w:i/>
                <w:iCs/>
                <w:color w:val="000000"/>
              </w:rPr>
              <w:t>361</w:t>
            </w:r>
            <w:r w:rsidR="00193A45">
              <w:rPr>
                <w:rFonts w:ascii="Arial" w:hAnsi="Arial" w:cs="Arial"/>
                <w:b/>
                <w:bCs/>
                <w:i/>
                <w:iCs/>
                <w:color w:val="000000"/>
              </w:rPr>
              <w:t>.</w:t>
            </w:r>
            <w:r w:rsidRPr="0068351A">
              <w:rPr>
                <w:rFonts w:ascii="Arial" w:hAnsi="Arial" w:cs="Arial"/>
                <w:b/>
                <w:bCs/>
                <w:i/>
                <w:iCs/>
                <w:color w:val="000000"/>
              </w:rPr>
              <w:t>397</w:t>
            </w:r>
          </w:p>
        </w:tc>
        <w:tc>
          <w:tcPr>
            <w:tcW w:w="1520" w:type="dxa"/>
            <w:tcBorders>
              <w:bottom w:val="single" w:sz="2" w:space="0" w:color="BFBFBF" w:themeColor="background1" w:themeShade="BF"/>
              <w:right w:val="single" w:sz="2" w:space="0" w:color="BFBFBF" w:themeColor="background1" w:themeShade="BF"/>
            </w:tcBorders>
            <w:shd w:val="clear" w:color="auto" w:fill="FFFFFF" w:themeFill="background1"/>
            <w:vAlign w:val="center"/>
          </w:tcPr>
          <w:p w14:paraId="5DE6728F" w14:textId="2A8D5516" w:rsidR="00AC3A33" w:rsidRPr="008F36CA" w:rsidRDefault="00AC3A33" w:rsidP="001575D2">
            <w:pPr>
              <w:pStyle w:val="ColorfulList-Accent11"/>
              <w:tabs>
                <w:tab w:val="left" w:pos="0"/>
                <w:tab w:val="left" w:pos="284"/>
              </w:tabs>
              <w:ind w:left="0" w:right="-90"/>
              <w:jc w:val="center"/>
              <w:rPr>
                <w:rFonts w:ascii="Arial" w:hAnsi="Arial" w:cs="Arial"/>
                <w:b/>
                <w:bCs/>
                <w:color w:val="C00000"/>
              </w:rPr>
            </w:pPr>
            <w:r w:rsidRPr="0068351A">
              <w:rPr>
                <w:rFonts w:ascii="Arial" w:hAnsi="Arial" w:cs="Arial"/>
                <w:b/>
                <w:bCs/>
                <w:i/>
                <w:iCs/>
                <w:color w:val="000000"/>
              </w:rPr>
              <w:t>-4</w:t>
            </w:r>
            <w:r w:rsidR="00193A45">
              <w:rPr>
                <w:rFonts w:ascii="Arial" w:hAnsi="Arial" w:cs="Arial"/>
                <w:b/>
                <w:bCs/>
                <w:i/>
                <w:iCs/>
                <w:color w:val="000000"/>
              </w:rPr>
              <w:t>,</w:t>
            </w:r>
            <w:r w:rsidRPr="0068351A">
              <w:rPr>
                <w:rFonts w:ascii="Arial" w:hAnsi="Arial" w:cs="Arial"/>
                <w:b/>
                <w:i/>
                <w:color w:val="000000"/>
              </w:rPr>
              <w:t>7%</w:t>
            </w:r>
          </w:p>
        </w:tc>
        <w:tc>
          <w:tcPr>
            <w:tcW w:w="1457" w:type="dxa"/>
            <w:tcBorders>
              <w:left w:val="single" w:sz="2" w:space="0" w:color="BFBFBF" w:themeColor="background1" w:themeShade="BF"/>
            </w:tcBorders>
            <w:shd w:val="clear" w:color="auto" w:fill="FFFFFF" w:themeFill="background1"/>
            <w:vAlign w:val="center"/>
          </w:tcPr>
          <w:p w14:paraId="6CC5BA07" w14:textId="790E0370" w:rsidR="00AC3A33" w:rsidRPr="00D30350" w:rsidRDefault="00AC3A33" w:rsidP="001575D2">
            <w:pPr>
              <w:pStyle w:val="ColorfulList-Accent11"/>
              <w:tabs>
                <w:tab w:val="left" w:pos="0"/>
                <w:tab w:val="left" w:pos="284"/>
              </w:tabs>
              <w:ind w:left="0" w:right="-90"/>
              <w:jc w:val="center"/>
              <w:rPr>
                <w:rFonts w:ascii="Arial" w:hAnsi="Arial" w:cs="Arial"/>
                <w:b/>
                <w:color w:val="C00000"/>
                <w:lang w:val="el-GR"/>
              </w:rPr>
            </w:pPr>
            <w:r>
              <w:rPr>
                <w:rFonts w:ascii="Arial" w:hAnsi="Arial" w:cs="Arial"/>
                <w:b/>
                <w:bCs/>
                <w:i/>
                <w:iCs/>
                <w:color w:val="000000"/>
                <w:lang w:val="el-GR"/>
              </w:rPr>
              <w:t>(</w:t>
            </w:r>
            <w:r w:rsidRPr="0068351A">
              <w:rPr>
                <w:rFonts w:ascii="Arial" w:hAnsi="Arial" w:cs="Arial"/>
                <w:b/>
                <w:bCs/>
                <w:i/>
                <w:iCs/>
                <w:color w:val="000000"/>
              </w:rPr>
              <w:t>204</w:t>
            </w:r>
            <w:r w:rsidR="00193A45">
              <w:rPr>
                <w:rFonts w:ascii="Arial" w:hAnsi="Arial" w:cs="Arial"/>
                <w:b/>
                <w:bCs/>
                <w:i/>
                <w:iCs/>
                <w:color w:val="000000"/>
              </w:rPr>
              <w:t>.</w:t>
            </w:r>
            <w:r w:rsidRPr="0068351A">
              <w:rPr>
                <w:rFonts w:ascii="Arial" w:hAnsi="Arial" w:cs="Arial"/>
                <w:b/>
                <w:bCs/>
                <w:i/>
                <w:iCs/>
                <w:color w:val="000000"/>
              </w:rPr>
              <w:t>453</w:t>
            </w:r>
            <w:r>
              <w:rPr>
                <w:rFonts w:ascii="Arial" w:hAnsi="Arial" w:cs="Arial"/>
                <w:b/>
                <w:bCs/>
                <w:i/>
                <w:iCs/>
                <w:color w:val="000000"/>
                <w:lang w:val="el-GR"/>
              </w:rPr>
              <w:t>)</w:t>
            </w:r>
          </w:p>
        </w:tc>
        <w:tc>
          <w:tcPr>
            <w:tcW w:w="1276" w:type="dxa"/>
            <w:shd w:val="clear" w:color="auto" w:fill="FFFFFF" w:themeFill="background1"/>
            <w:vAlign w:val="center"/>
          </w:tcPr>
          <w:p w14:paraId="787E95D3" w14:textId="01ABA25F" w:rsidR="00AC3A33" w:rsidRPr="00D30350" w:rsidRDefault="00AC3A33" w:rsidP="001575D2">
            <w:pPr>
              <w:pStyle w:val="ColorfulList-Accent11"/>
              <w:tabs>
                <w:tab w:val="left" w:pos="0"/>
                <w:tab w:val="left" w:pos="284"/>
              </w:tabs>
              <w:ind w:left="0" w:right="-90"/>
              <w:jc w:val="center"/>
              <w:rPr>
                <w:rFonts w:ascii="Arial" w:hAnsi="Arial" w:cs="Arial"/>
                <w:b/>
                <w:i/>
                <w:color w:val="C00000"/>
                <w:lang w:val="el-GR"/>
              </w:rPr>
            </w:pPr>
            <w:r>
              <w:rPr>
                <w:rFonts w:ascii="Arial" w:hAnsi="Arial" w:cs="Arial"/>
                <w:b/>
                <w:bCs/>
                <w:i/>
                <w:iCs/>
                <w:color w:val="000000"/>
                <w:lang w:val="el-GR"/>
              </w:rPr>
              <w:t>(</w:t>
            </w:r>
            <w:r w:rsidRPr="0068351A">
              <w:rPr>
                <w:rFonts w:ascii="Arial" w:hAnsi="Arial" w:cs="Arial"/>
                <w:b/>
                <w:bCs/>
                <w:i/>
                <w:iCs/>
                <w:color w:val="000000"/>
              </w:rPr>
              <w:t>52</w:t>
            </w:r>
            <w:r w:rsidR="00193A45">
              <w:rPr>
                <w:rFonts w:ascii="Arial" w:hAnsi="Arial" w:cs="Arial"/>
                <w:b/>
                <w:bCs/>
                <w:i/>
                <w:iCs/>
                <w:color w:val="000000"/>
              </w:rPr>
              <w:t>.</w:t>
            </w:r>
            <w:r w:rsidRPr="0068351A">
              <w:rPr>
                <w:rFonts w:ascii="Arial" w:hAnsi="Arial" w:cs="Arial"/>
                <w:b/>
                <w:bCs/>
                <w:i/>
                <w:iCs/>
                <w:color w:val="000000"/>
              </w:rPr>
              <w:t>366</w:t>
            </w:r>
            <w:r>
              <w:rPr>
                <w:rFonts w:ascii="Arial" w:hAnsi="Arial" w:cs="Arial"/>
                <w:b/>
                <w:bCs/>
                <w:i/>
                <w:iCs/>
                <w:color w:val="000000"/>
                <w:lang w:val="el-GR"/>
              </w:rPr>
              <w:t>)</w:t>
            </w:r>
          </w:p>
        </w:tc>
      </w:tr>
    </w:tbl>
    <w:p w14:paraId="2B8A8D44" w14:textId="77777777" w:rsidR="00AC3A33" w:rsidRPr="00FB20CB" w:rsidRDefault="00AC3A33" w:rsidP="003367AD">
      <w:pPr>
        <w:rPr>
          <w:rFonts w:ascii="Arial" w:hAnsi="Arial" w:cs="Arial"/>
          <w:i/>
          <w:sz w:val="16"/>
          <w:szCs w:val="16"/>
        </w:rPr>
      </w:pPr>
    </w:p>
    <w:p w14:paraId="74342A8E" w14:textId="4F44C7D6" w:rsidR="008C2B12" w:rsidRDefault="00E13CCE" w:rsidP="008C2B12">
      <w:pPr>
        <w:pStyle w:val="NormalWeb"/>
        <w:jc w:val="both"/>
        <w:rPr>
          <w:rFonts w:ascii="Arial" w:eastAsiaTheme="minorHAnsi" w:hAnsi="Arial" w:cs="Arial"/>
          <w:sz w:val="22"/>
          <w:szCs w:val="22"/>
          <w:lang w:eastAsia="en-US"/>
        </w:rPr>
      </w:pPr>
      <w:r w:rsidRPr="00B12467">
        <w:rPr>
          <w:rFonts w:ascii="Arial" w:hAnsi="Arial" w:cs="Arial"/>
          <w:b/>
          <w:bCs/>
          <w:sz w:val="22"/>
          <w:szCs w:val="22"/>
        </w:rPr>
        <w:t>FTTH:</w:t>
      </w:r>
      <w:r w:rsidRPr="00B12467">
        <w:rPr>
          <w:rFonts w:ascii="Arial" w:hAnsi="Arial" w:cs="Arial"/>
          <w:sz w:val="22"/>
          <w:szCs w:val="22"/>
        </w:rPr>
        <w:t xml:space="preserve"> </w:t>
      </w:r>
      <w:r w:rsidR="00C10CDB" w:rsidRPr="00B12467">
        <w:rPr>
          <w:rFonts w:ascii="Arial" w:hAnsi="Arial" w:cs="Arial"/>
          <w:sz w:val="22"/>
          <w:szCs w:val="22"/>
        </w:rPr>
        <w:t>Ο ΟΤΕ συνέχισε να</w:t>
      </w:r>
      <w:r w:rsidR="00ED351B" w:rsidRPr="00B12467">
        <w:rPr>
          <w:rFonts w:ascii="Arial" w:hAnsi="Arial" w:cs="Arial"/>
          <w:sz w:val="22"/>
          <w:szCs w:val="22"/>
        </w:rPr>
        <w:t xml:space="preserve"> </w:t>
      </w:r>
      <w:r w:rsidR="001356BE">
        <w:rPr>
          <w:rFonts w:ascii="Arial" w:hAnsi="Arial" w:cs="Arial"/>
          <w:sz w:val="22"/>
          <w:szCs w:val="22"/>
        </w:rPr>
        <w:t xml:space="preserve">ενισχύει </w:t>
      </w:r>
      <w:r w:rsidR="00ED351B" w:rsidRPr="00B12467">
        <w:rPr>
          <w:rFonts w:ascii="Arial" w:hAnsi="Arial" w:cs="Arial"/>
          <w:sz w:val="22"/>
          <w:szCs w:val="22"/>
        </w:rPr>
        <w:t xml:space="preserve">την </w:t>
      </w:r>
      <w:r w:rsidR="00C10CDB" w:rsidRPr="00B12467">
        <w:rPr>
          <w:rFonts w:ascii="Arial" w:hAnsi="Arial" w:cs="Arial"/>
          <w:sz w:val="22"/>
          <w:szCs w:val="22"/>
        </w:rPr>
        <w:t>πελατειακή βάση του FTTH καταγράφοντας</w:t>
      </w:r>
      <w:r w:rsidR="00B250CA" w:rsidRPr="00B12467">
        <w:rPr>
          <w:rFonts w:ascii="Arial" w:hAnsi="Arial" w:cs="Arial"/>
          <w:sz w:val="22"/>
          <w:szCs w:val="22"/>
        </w:rPr>
        <w:t xml:space="preserve"> </w:t>
      </w:r>
      <w:r w:rsidR="00273102" w:rsidRPr="00273102">
        <w:rPr>
          <w:rFonts w:ascii="Arial" w:hAnsi="Arial" w:cs="Arial"/>
          <w:sz w:val="22"/>
          <w:szCs w:val="22"/>
        </w:rPr>
        <w:t>ισχυρές</w:t>
      </w:r>
      <w:r w:rsidR="005D549F" w:rsidRPr="00B12467">
        <w:rPr>
          <w:rFonts w:ascii="Arial" w:hAnsi="Arial" w:cs="Arial"/>
          <w:sz w:val="22"/>
          <w:szCs w:val="22"/>
        </w:rPr>
        <w:t xml:space="preserve"> καθαρές νέες συνδέσεις</w:t>
      </w:r>
      <w:r w:rsidR="00B250CA" w:rsidRPr="00B12467">
        <w:rPr>
          <w:rFonts w:ascii="Arial" w:hAnsi="Arial" w:cs="Arial"/>
          <w:sz w:val="22"/>
          <w:szCs w:val="22"/>
        </w:rPr>
        <w:t xml:space="preserve"> </w:t>
      </w:r>
      <w:r w:rsidR="00F93590" w:rsidRPr="00B12467">
        <w:rPr>
          <w:rFonts w:ascii="Arial" w:hAnsi="Arial" w:cs="Arial"/>
          <w:sz w:val="22"/>
          <w:szCs w:val="22"/>
        </w:rPr>
        <w:t>στο τρίμηνο</w:t>
      </w:r>
      <w:r w:rsidR="00273102" w:rsidRPr="00273102">
        <w:rPr>
          <w:rFonts w:ascii="Arial" w:hAnsi="Arial" w:cs="Arial"/>
          <w:sz w:val="22"/>
          <w:szCs w:val="22"/>
        </w:rPr>
        <w:t>, στις 38 χιλιάδες</w:t>
      </w:r>
      <w:r w:rsidR="00A636DD" w:rsidRPr="00273102">
        <w:rPr>
          <w:rFonts w:ascii="Arial" w:hAnsi="Arial" w:cs="Arial"/>
          <w:sz w:val="22"/>
          <w:szCs w:val="22"/>
        </w:rPr>
        <w:t>.</w:t>
      </w:r>
      <w:r w:rsidR="00A636DD" w:rsidRPr="00B12467">
        <w:rPr>
          <w:rFonts w:ascii="Arial" w:hAnsi="Arial" w:cs="Arial"/>
          <w:sz w:val="22"/>
          <w:szCs w:val="22"/>
        </w:rPr>
        <w:t xml:space="preserve"> </w:t>
      </w:r>
      <w:r w:rsidR="005F4129" w:rsidRPr="00B12467">
        <w:rPr>
          <w:rFonts w:ascii="Arial" w:hAnsi="Arial" w:cs="Arial"/>
          <w:sz w:val="22"/>
          <w:szCs w:val="22"/>
        </w:rPr>
        <w:t xml:space="preserve">Οι συνδρομητές FTTH ανέρχονται σε </w:t>
      </w:r>
      <w:r w:rsidR="007D758B" w:rsidRPr="00B12467">
        <w:rPr>
          <w:rFonts w:ascii="Arial" w:hAnsi="Arial" w:cs="Arial"/>
          <w:sz w:val="22"/>
          <w:szCs w:val="22"/>
        </w:rPr>
        <w:t>509</w:t>
      </w:r>
      <w:r w:rsidR="005F4129" w:rsidRPr="00B12467">
        <w:rPr>
          <w:rFonts w:ascii="Arial" w:hAnsi="Arial" w:cs="Arial"/>
          <w:sz w:val="22"/>
          <w:szCs w:val="22"/>
        </w:rPr>
        <w:t xml:space="preserve"> χιλιάδες, αντιπροσωπεύοντας το </w:t>
      </w:r>
      <w:r w:rsidR="00AD6595" w:rsidRPr="00B12467">
        <w:rPr>
          <w:rFonts w:ascii="Arial" w:hAnsi="Arial" w:cs="Arial"/>
          <w:sz w:val="22"/>
          <w:szCs w:val="22"/>
        </w:rPr>
        <w:t>2</w:t>
      </w:r>
      <w:r w:rsidR="007D758B" w:rsidRPr="00B12467">
        <w:rPr>
          <w:rFonts w:ascii="Arial" w:hAnsi="Arial" w:cs="Arial"/>
          <w:sz w:val="22"/>
          <w:szCs w:val="22"/>
        </w:rPr>
        <w:t>2</w:t>
      </w:r>
      <w:r w:rsidR="005F4129" w:rsidRPr="00B12467">
        <w:rPr>
          <w:rFonts w:ascii="Arial" w:hAnsi="Arial" w:cs="Arial"/>
          <w:sz w:val="22"/>
          <w:szCs w:val="22"/>
        </w:rPr>
        <w:t xml:space="preserve">% των </w:t>
      </w:r>
      <w:r w:rsidR="005F4129" w:rsidRPr="00E75D66">
        <w:rPr>
          <w:rFonts w:ascii="Arial" w:hAnsi="Arial" w:cs="Arial"/>
          <w:sz w:val="22"/>
          <w:szCs w:val="22"/>
        </w:rPr>
        <w:t xml:space="preserve">συνολικών </w:t>
      </w:r>
      <w:proofErr w:type="spellStart"/>
      <w:r w:rsidR="005F4129" w:rsidRPr="00E75D66">
        <w:rPr>
          <w:rFonts w:ascii="Arial" w:hAnsi="Arial" w:cs="Arial"/>
          <w:sz w:val="22"/>
          <w:szCs w:val="22"/>
        </w:rPr>
        <w:t>ευρυζωνικών</w:t>
      </w:r>
      <w:proofErr w:type="spellEnd"/>
      <w:r w:rsidR="005F4129" w:rsidRPr="00E75D66">
        <w:rPr>
          <w:rFonts w:ascii="Arial" w:hAnsi="Arial" w:cs="Arial"/>
          <w:sz w:val="22"/>
          <w:szCs w:val="22"/>
        </w:rPr>
        <w:t xml:space="preserve"> συνδέσεων</w:t>
      </w:r>
      <w:r w:rsidR="004807F5">
        <w:rPr>
          <w:rFonts w:ascii="Arial" w:hAnsi="Arial" w:cs="Arial"/>
          <w:sz w:val="22"/>
          <w:szCs w:val="22"/>
        </w:rPr>
        <w:t xml:space="preserve">, </w:t>
      </w:r>
      <w:r w:rsidR="004807F5" w:rsidRPr="00273102">
        <w:rPr>
          <w:rFonts w:ascii="Arial" w:hAnsi="Arial" w:cs="Arial"/>
          <w:sz w:val="22"/>
          <w:szCs w:val="22"/>
        </w:rPr>
        <w:t>ενώ</w:t>
      </w:r>
      <w:r w:rsidR="005F4129" w:rsidRPr="00273102">
        <w:rPr>
          <w:rFonts w:ascii="Arial" w:hAnsi="Arial" w:cs="Arial"/>
          <w:sz w:val="22"/>
          <w:szCs w:val="22"/>
        </w:rPr>
        <w:t xml:space="preserve"> </w:t>
      </w:r>
      <w:r w:rsidR="004807F5" w:rsidRPr="00273102">
        <w:rPr>
          <w:rFonts w:ascii="Arial" w:hAnsi="Arial" w:cs="Arial"/>
          <w:sz w:val="22"/>
          <w:szCs w:val="22"/>
        </w:rPr>
        <w:t>το</w:t>
      </w:r>
      <w:r w:rsidR="005F4129" w:rsidRPr="00273102">
        <w:rPr>
          <w:rFonts w:ascii="Arial" w:hAnsi="Arial" w:cs="Arial"/>
          <w:sz w:val="22"/>
          <w:szCs w:val="22"/>
        </w:rPr>
        <w:t xml:space="preserve"> ποσοστό διείσδυσης </w:t>
      </w:r>
      <w:r w:rsidR="00F93590" w:rsidRPr="00273102">
        <w:rPr>
          <w:rFonts w:ascii="Arial" w:eastAsiaTheme="minorHAnsi" w:hAnsi="Arial" w:cs="Arial"/>
          <w:sz w:val="22"/>
          <w:szCs w:val="22"/>
          <w:lang w:eastAsia="en-US"/>
        </w:rPr>
        <w:t xml:space="preserve">στους </w:t>
      </w:r>
      <w:r w:rsidR="005F4129" w:rsidRPr="00273102">
        <w:rPr>
          <w:rFonts w:ascii="Arial" w:eastAsiaTheme="minorHAnsi" w:hAnsi="Arial" w:cs="Arial"/>
          <w:sz w:val="22"/>
          <w:szCs w:val="22"/>
          <w:lang w:eastAsia="en-US"/>
        </w:rPr>
        <w:t>πελ</w:t>
      </w:r>
      <w:r w:rsidR="00F93590" w:rsidRPr="00273102">
        <w:rPr>
          <w:rFonts w:ascii="Arial" w:eastAsiaTheme="minorHAnsi" w:hAnsi="Arial" w:cs="Arial"/>
          <w:sz w:val="22"/>
          <w:szCs w:val="22"/>
          <w:lang w:eastAsia="en-US"/>
        </w:rPr>
        <w:t>άτες</w:t>
      </w:r>
      <w:r w:rsidR="005F4129" w:rsidRPr="00273102">
        <w:rPr>
          <w:rFonts w:ascii="Arial" w:eastAsiaTheme="minorHAnsi" w:hAnsi="Arial" w:cs="Arial"/>
          <w:sz w:val="22"/>
          <w:szCs w:val="22"/>
          <w:lang w:eastAsia="en-US"/>
        </w:rPr>
        <w:t xml:space="preserve"> ΟΤΕ που έχουν πρόσβαση στην υποδομή FTTH</w:t>
      </w:r>
      <w:r w:rsidR="008242BD" w:rsidRPr="00273102">
        <w:rPr>
          <w:rFonts w:ascii="Arial" w:eastAsiaTheme="minorHAnsi" w:hAnsi="Arial" w:cs="Arial"/>
          <w:sz w:val="22"/>
          <w:szCs w:val="22"/>
          <w:lang w:eastAsia="en-US"/>
        </w:rPr>
        <w:t xml:space="preserve"> </w:t>
      </w:r>
      <w:r w:rsidR="00273102" w:rsidRPr="00273102">
        <w:rPr>
          <w:rFonts w:ascii="Arial" w:eastAsiaTheme="minorHAnsi" w:hAnsi="Arial" w:cs="Arial"/>
          <w:sz w:val="22"/>
          <w:szCs w:val="22"/>
          <w:lang w:eastAsia="en-US"/>
        </w:rPr>
        <w:t>ΟΤΕ</w:t>
      </w:r>
      <w:r w:rsidR="008242BD" w:rsidRPr="00273102">
        <w:rPr>
          <w:rFonts w:ascii="Arial" w:eastAsiaTheme="minorHAnsi" w:hAnsi="Arial" w:cs="Arial"/>
          <w:sz w:val="22"/>
          <w:szCs w:val="22"/>
          <w:lang w:eastAsia="en-US"/>
        </w:rPr>
        <w:t xml:space="preserve"> </w:t>
      </w:r>
      <w:r w:rsidR="005F4129" w:rsidRPr="00273102">
        <w:rPr>
          <w:rFonts w:ascii="Arial" w:eastAsiaTheme="minorHAnsi" w:hAnsi="Arial" w:cs="Arial"/>
          <w:sz w:val="22"/>
          <w:szCs w:val="22"/>
          <w:lang w:eastAsia="en-US"/>
        </w:rPr>
        <w:t xml:space="preserve">έχει ήδη </w:t>
      </w:r>
      <w:r w:rsidR="00B67127" w:rsidRPr="00273102">
        <w:rPr>
          <w:rFonts w:ascii="Arial" w:eastAsiaTheme="minorHAnsi" w:hAnsi="Arial" w:cs="Arial"/>
          <w:sz w:val="22"/>
          <w:szCs w:val="22"/>
          <w:lang w:eastAsia="en-US"/>
        </w:rPr>
        <w:t xml:space="preserve">φτάσει </w:t>
      </w:r>
      <w:r w:rsidR="005F4129" w:rsidRPr="00273102">
        <w:rPr>
          <w:rFonts w:ascii="Arial" w:eastAsiaTheme="minorHAnsi" w:hAnsi="Arial" w:cs="Arial"/>
          <w:sz w:val="22"/>
          <w:szCs w:val="22"/>
          <w:lang w:eastAsia="en-US"/>
        </w:rPr>
        <w:t>το 4</w:t>
      </w:r>
      <w:r w:rsidR="00B1353C" w:rsidRPr="00273102">
        <w:rPr>
          <w:rFonts w:ascii="Arial" w:eastAsiaTheme="minorHAnsi" w:hAnsi="Arial" w:cs="Arial"/>
          <w:sz w:val="22"/>
          <w:szCs w:val="22"/>
          <w:lang w:eastAsia="en-US"/>
        </w:rPr>
        <w:t>7</w:t>
      </w:r>
      <w:r w:rsidR="005F4129" w:rsidRPr="00273102">
        <w:rPr>
          <w:rFonts w:ascii="Arial" w:eastAsiaTheme="minorHAnsi" w:hAnsi="Arial" w:cs="Arial"/>
          <w:sz w:val="22"/>
          <w:szCs w:val="22"/>
          <w:lang w:eastAsia="en-US"/>
        </w:rPr>
        <w:t xml:space="preserve">%, </w:t>
      </w:r>
      <w:r w:rsidR="005F4129" w:rsidRPr="00E75D66">
        <w:rPr>
          <w:rFonts w:ascii="Arial" w:eastAsiaTheme="minorHAnsi" w:hAnsi="Arial" w:cs="Arial"/>
          <w:sz w:val="22"/>
          <w:szCs w:val="22"/>
          <w:lang w:eastAsia="en-US"/>
        </w:rPr>
        <w:t xml:space="preserve">επιβεβαιώνοντας </w:t>
      </w:r>
      <w:r w:rsidR="004807F5">
        <w:rPr>
          <w:rFonts w:ascii="Arial" w:eastAsiaTheme="minorHAnsi" w:hAnsi="Arial" w:cs="Arial"/>
          <w:sz w:val="22"/>
          <w:szCs w:val="22"/>
          <w:lang w:eastAsia="en-US"/>
        </w:rPr>
        <w:t xml:space="preserve">την αποτελεσματικότητα της στρατηγικής του ΟΤΕ και </w:t>
      </w:r>
      <w:r w:rsidR="005F4129" w:rsidRPr="00E75D66">
        <w:rPr>
          <w:rFonts w:ascii="Arial" w:eastAsiaTheme="minorHAnsi" w:hAnsi="Arial" w:cs="Arial"/>
          <w:sz w:val="22"/>
          <w:szCs w:val="22"/>
          <w:lang w:eastAsia="en-US"/>
        </w:rPr>
        <w:t>τη ζήτηση για υπηρεσίες συνδεσιμότητας υψηλής ποιότητας.</w:t>
      </w:r>
      <w:r w:rsidR="00D377D5" w:rsidRPr="00E75D66">
        <w:rPr>
          <w:rFonts w:ascii="Arial" w:eastAsiaTheme="minorHAnsi" w:hAnsi="Arial" w:cs="Arial"/>
          <w:sz w:val="22"/>
          <w:szCs w:val="22"/>
          <w:lang w:eastAsia="en-US"/>
        </w:rPr>
        <w:t xml:space="preserve"> </w:t>
      </w:r>
      <w:r w:rsidR="00205612" w:rsidRPr="00E75D66">
        <w:rPr>
          <w:rFonts w:ascii="Arial" w:eastAsiaTheme="minorHAnsi" w:hAnsi="Arial" w:cs="Arial"/>
          <w:sz w:val="22"/>
          <w:szCs w:val="22"/>
          <w:lang w:eastAsia="en-US"/>
        </w:rPr>
        <w:t xml:space="preserve">Η συνεχής αύξηση των συνδέσεων FTTH αντικατοπτρίζει τη σταθερή ζήτηση για </w:t>
      </w:r>
      <w:proofErr w:type="spellStart"/>
      <w:r w:rsidR="00205612" w:rsidRPr="00E75D66">
        <w:rPr>
          <w:rFonts w:ascii="Arial" w:eastAsiaTheme="minorHAnsi" w:hAnsi="Arial" w:cs="Arial"/>
          <w:sz w:val="22"/>
          <w:szCs w:val="22"/>
          <w:lang w:eastAsia="en-US"/>
        </w:rPr>
        <w:t>υπερυψηλές</w:t>
      </w:r>
      <w:proofErr w:type="spellEnd"/>
      <w:r w:rsidR="00205612" w:rsidRPr="00E75D66">
        <w:rPr>
          <w:rFonts w:ascii="Arial" w:eastAsiaTheme="minorHAnsi" w:hAnsi="Arial" w:cs="Arial"/>
          <w:sz w:val="22"/>
          <w:szCs w:val="22"/>
          <w:lang w:eastAsia="en-US"/>
        </w:rPr>
        <w:t xml:space="preserve"> και αξιόπιστες ταχύτητες σύνδεσης, τη θετική επίδραση των</w:t>
      </w:r>
      <w:r w:rsidR="00205612" w:rsidRPr="00B12467">
        <w:rPr>
          <w:rFonts w:ascii="Arial" w:eastAsiaTheme="minorHAnsi" w:hAnsi="Arial" w:cs="Arial"/>
          <w:sz w:val="22"/>
          <w:szCs w:val="22"/>
          <w:lang w:eastAsia="en-US"/>
        </w:rPr>
        <w:t xml:space="preserve"> προγραμμάτων επιδότησης και τη συνεχιζόμενη επέκταση των υποδομών FTTH του ΟΤΕ.</w:t>
      </w:r>
    </w:p>
    <w:p w14:paraId="36E90AC9" w14:textId="5AF1746A" w:rsidR="00205612" w:rsidRPr="008C2B12" w:rsidRDefault="00205612" w:rsidP="008C2B12">
      <w:pPr>
        <w:pStyle w:val="NormalWeb"/>
        <w:jc w:val="both"/>
        <w:rPr>
          <w:rFonts w:ascii="Arial" w:eastAsiaTheme="minorHAnsi" w:hAnsi="Arial" w:cs="Arial"/>
          <w:sz w:val="22"/>
          <w:szCs w:val="22"/>
          <w:lang w:eastAsia="en-US"/>
        </w:rPr>
      </w:pPr>
      <w:r w:rsidRPr="008C2B12">
        <w:rPr>
          <w:rFonts w:ascii="Arial" w:hAnsi="Arial" w:cs="Arial"/>
          <w:sz w:val="22"/>
          <w:szCs w:val="22"/>
        </w:rPr>
        <w:t xml:space="preserve">Η </w:t>
      </w:r>
      <w:r w:rsidR="008271B6">
        <w:rPr>
          <w:rFonts w:ascii="Arial" w:hAnsi="Arial" w:cs="Arial"/>
          <w:sz w:val="22"/>
          <w:szCs w:val="22"/>
        </w:rPr>
        <w:t>αξιοποίηση των κουπονιών</w:t>
      </w:r>
      <w:r w:rsidRPr="008C2B12">
        <w:rPr>
          <w:rFonts w:ascii="Arial" w:hAnsi="Arial" w:cs="Arial"/>
          <w:sz w:val="22"/>
          <w:szCs w:val="22"/>
        </w:rPr>
        <w:t xml:space="preserve"> επιδότησης FTTH συνεχίζει να αυξάνεται σταθερά</w:t>
      </w:r>
      <w:r w:rsidR="00BB3B48" w:rsidRPr="00BB3B48">
        <w:rPr>
          <w:rFonts w:ascii="Arial" w:hAnsi="Arial" w:cs="Arial"/>
          <w:sz w:val="22"/>
          <w:szCs w:val="22"/>
        </w:rPr>
        <w:t>.</w:t>
      </w:r>
      <w:r w:rsidRPr="008C2B12">
        <w:rPr>
          <w:rFonts w:ascii="Arial" w:hAnsi="Arial" w:cs="Arial"/>
          <w:sz w:val="22"/>
          <w:szCs w:val="22"/>
        </w:rPr>
        <w:t xml:space="preserve"> Η αυξανόμενη </w:t>
      </w:r>
      <w:r w:rsidR="00305360" w:rsidRPr="008C2B12">
        <w:rPr>
          <w:rFonts w:ascii="Arial" w:hAnsi="Arial" w:cs="Arial"/>
          <w:sz w:val="22"/>
          <w:szCs w:val="22"/>
        </w:rPr>
        <w:t>διείσδυση</w:t>
      </w:r>
      <w:r w:rsidRPr="008C2B12">
        <w:rPr>
          <w:rFonts w:ascii="Arial" w:hAnsi="Arial" w:cs="Arial"/>
          <w:sz w:val="22"/>
          <w:szCs w:val="22"/>
        </w:rPr>
        <w:t xml:space="preserve"> του FTTH οδηγεί σε βελτιωμένη εμπειρία πελάτη, μικρότερη απώλεια συνδρομητών, καθώς και σε χαμηλότερο λειτουργικό κόστος, </w:t>
      </w:r>
      <w:r w:rsidR="007E50F5">
        <w:rPr>
          <w:rFonts w:ascii="Arial" w:hAnsi="Arial" w:cs="Arial"/>
          <w:sz w:val="22"/>
          <w:szCs w:val="22"/>
        </w:rPr>
        <w:t xml:space="preserve">στοιχεία που διασφαλίζουν </w:t>
      </w:r>
      <w:r w:rsidRPr="008C2B12">
        <w:rPr>
          <w:rFonts w:ascii="Arial" w:hAnsi="Arial" w:cs="Arial"/>
          <w:sz w:val="22"/>
          <w:szCs w:val="22"/>
        </w:rPr>
        <w:t xml:space="preserve">μακροπρόθεσμη ανάπτυξη. </w:t>
      </w:r>
    </w:p>
    <w:p w14:paraId="482404AF" w14:textId="015CE85C" w:rsidR="00151AF1" w:rsidRPr="008C2B12" w:rsidRDefault="00D53B4D" w:rsidP="00D66702">
      <w:pPr>
        <w:spacing w:line="280" w:lineRule="exact"/>
        <w:jc w:val="both"/>
        <w:rPr>
          <w:rFonts w:ascii="Arial" w:hAnsi="Arial" w:cs="Arial"/>
        </w:rPr>
      </w:pPr>
      <w:r>
        <w:rPr>
          <w:rFonts w:ascii="Arial" w:hAnsi="Arial" w:cs="Arial"/>
        </w:rPr>
        <w:t xml:space="preserve">Επεκτείνοντας </w:t>
      </w:r>
      <w:r w:rsidR="00DA0577">
        <w:rPr>
          <w:rFonts w:ascii="Arial" w:hAnsi="Arial" w:cs="Arial"/>
        </w:rPr>
        <w:t>δυναμικά την υποδομή οπτικής ίνας, ο ΟΤΕ ισχυροποιεί</w:t>
      </w:r>
      <w:r w:rsidR="00D377D5" w:rsidRPr="008C2B12">
        <w:rPr>
          <w:rFonts w:ascii="Arial" w:hAnsi="Arial" w:cs="Arial"/>
        </w:rPr>
        <w:t xml:space="preserve"> την ηγετική του θέση στην αγορά</w:t>
      </w:r>
      <w:r w:rsidR="00DA0577">
        <w:rPr>
          <w:rFonts w:ascii="Arial" w:hAnsi="Arial" w:cs="Arial"/>
        </w:rPr>
        <w:t xml:space="preserve">. </w:t>
      </w:r>
      <w:r w:rsidR="000C3A5F" w:rsidRPr="008C2B12">
        <w:rPr>
          <w:rFonts w:ascii="Arial" w:hAnsi="Arial" w:cs="Arial"/>
        </w:rPr>
        <w:t xml:space="preserve">Στο τέλος </w:t>
      </w:r>
      <w:r w:rsidR="00DC733A" w:rsidRPr="008C2B12">
        <w:rPr>
          <w:rFonts w:ascii="Arial" w:hAnsi="Arial" w:cs="Arial"/>
        </w:rPr>
        <w:t>Σεπτεμβρίου</w:t>
      </w:r>
      <w:r w:rsidR="0049056A" w:rsidRPr="008C2B12">
        <w:rPr>
          <w:rFonts w:ascii="Arial" w:hAnsi="Arial" w:cs="Arial"/>
        </w:rPr>
        <w:t xml:space="preserve"> 202</w:t>
      </w:r>
      <w:r w:rsidR="00274441" w:rsidRPr="008C2B12">
        <w:rPr>
          <w:rFonts w:ascii="Arial" w:hAnsi="Arial" w:cs="Arial"/>
        </w:rPr>
        <w:t>5</w:t>
      </w:r>
      <w:r w:rsidR="004048C8" w:rsidRPr="008C2B12">
        <w:rPr>
          <w:rFonts w:ascii="Arial" w:hAnsi="Arial" w:cs="Arial"/>
        </w:rPr>
        <w:t>,</w:t>
      </w:r>
      <w:r w:rsidR="00D94FE4" w:rsidRPr="008C2B12">
        <w:rPr>
          <w:rFonts w:ascii="Arial" w:hAnsi="Arial" w:cs="Arial"/>
        </w:rPr>
        <w:t xml:space="preserve"> </w:t>
      </w:r>
      <w:r w:rsidR="00AD6595" w:rsidRPr="008C2B12">
        <w:rPr>
          <w:rFonts w:ascii="Arial" w:hAnsi="Arial" w:cs="Arial"/>
        </w:rPr>
        <w:t xml:space="preserve">περίπου </w:t>
      </w:r>
      <w:r w:rsidR="00DC733A" w:rsidRPr="008C2B12">
        <w:rPr>
          <w:rFonts w:ascii="Arial" w:hAnsi="Arial" w:cs="Arial"/>
        </w:rPr>
        <w:t>2</w:t>
      </w:r>
      <w:r w:rsidR="00A433F9" w:rsidRPr="008C2B12">
        <w:rPr>
          <w:rFonts w:ascii="Arial" w:hAnsi="Arial" w:cs="Arial"/>
        </w:rPr>
        <w:t xml:space="preserve"> εκατ. σπίτια και επιχειρήσεις</w:t>
      </w:r>
      <w:r w:rsidR="007E54F6" w:rsidRPr="008C2B12">
        <w:rPr>
          <w:rFonts w:ascii="Arial" w:hAnsi="Arial" w:cs="Arial"/>
        </w:rPr>
        <w:t xml:space="preserve"> </w:t>
      </w:r>
      <w:r w:rsidR="000C3A5F" w:rsidRPr="008C2B12">
        <w:rPr>
          <w:rFonts w:ascii="Arial" w:hAnsi="Arial" w:cs="Arial"/>
        </w:rPr>
        <w:t xml:space="preserve">είχαν πρόσβαση στο </w:t>
      </w:r>
      <w:r w:rsidR="004845C4" w:rsidRPr="008C2B12">
        <w:rPr>
          <w:rFonts w:ascii="Arial" w:hAnsi="Arial" w:cs="Arial"/>
        </w:rPr>
        <w:t>δίκτυο</w:t>
      </w:r>
      <w:r w:rsidR="000C3A5F" w:rsidRPr="008C2B12">
        <w:rPr>
          <w:rFonts w:ascii="Arial" w:hAnsi="Arial" w:cs="Arial"/>
        </w:rPr>
        <w:t xml:space="preserve"> FTTH</w:t>
      </w:r>
      <w:r w:rsidR="009165B7" w:rsidRPr="008C2B12">
        <w:rPr>
          <w:rFonts w:ascii="Arial" w:hAnsi="Arial" w:cs="Arial"/>
        </w:rPr>
        <w:t xml:space="preserve"> του ΟΤΕ</w:t>
      </w:r>
      <w:r w:rsidR="002B74B6">
        <w:rPr>
          <w:rFonts w:ascii="Arial" w:hAnsi="Arial" w:cs="Arial"/>
        </w:rPr>
        <w:t xml:space="preserve">, με στόχο </w:t>
      </w:r>
      <w:r w:rsidR="00151AF1" w:rsidRPr="008C2B12">
        <w:rPr>
          <w:rFonts w:ascii="Arial" w:hAnsi="Arial" w:cs="Arial"/>
        </w:rPr>
        <w:t>περίπου 2,1 εκατ. νοικοκυριά και επιχειρήσεις μέχρι το τέλος του 2025</w:t>
      </w:r>
      <w:r w:rsidR="00644865" w:rsidRPr="008C2B12" w:rsidDel="004E0F4F">
        <w:rPr>
          <w:rFonts w:ascii="Arial" w:hAnsi="Arial" w:cs="Arial"/>
        </w:rPr>
        <w:t xml:space="preserve">, </w:t>
      </w:r>
      <w:r w:rsidR="00F93590" w:rsidRPr="008C2B12" w:rsidDel="004E0F4F">
        <w:rPr>
          <w:rFonts w:ascii="Arial" w:hAnsi="Arial" w:cs="Arial"/>
        </w:rPr>
        <w:t xml:space="preserve">με στόχο να καλύψει την αυξανόμενη </w:t>
      </w:r>
      <w:r w:rsidR="00644865" w:rsidRPr="008C2B12" w:rsidDel="004E0F4F">
        <w:rPr>
          <w:rFonts w:ascii="Arial" w:hAnsi="Arial" w:cs="Arial"/>
        </w:rPr>
        <w:t>ζήτηση</w:t>
      </w:r>
      <w:r w:rsidR="00A235B0" w:rsidRPr="008C2B12" w:rsidDel="004E0F4F">
        <w:rPr>
          <w:rFonts w:ascii="Arial" w:hAnsi="Arial" w:cs="Arial"/>
        </w:rPr>
        <w:t>,</w:t>
      </w:r>
      <w:r w:rsidR="00644865" w:rsidRPr="008C2B12" w:rsidDel="004E0F4F">
        <w:rPr>
          <w:rFonts w:ascii="Arial" w:hAnsi="Arial" w:cs="Arial"/>
        </w:rPr>
        <w:t xml:space="preserve"> </w:t>
      </w:r>
      <w:r w:rsidR="00F93590" w:rsidRPr="008C2B12" w:rsidDel="004E0F4F">
        <w:rPr>
          <w:rFonts w:ascii="Arial" w:hAnsi="Arial" w:cs="Arial"/>
        </w:rPr>
        <w:t xml:space="preserve">αλλά </w:t>
      </w:r>
      <w:r w:rsidR="00644865" w:rsidRPr="008C2B12" w:rsidDel="004E0F4F">
        <w:rPr>
          <w:rFonts w:ascii="Arial" w:hAnsi="Arial" w:cs="Arial"/>
        </w:rPr>
        <w:t>και</w:t>
      </w:r>
      <w:r w:rsidR="00A95A5B" w:rsidRPr="008C2B12" w:rsidDel="004E0F4F">
        <w:rPr>
          <w:rFonts w:ascii="Arial" w:hAnsi="Arial" w:cs="Arial"/>
        </w:rPr>
        <w:t xml:space="preserve"> να υποστηρίξει</w:t>
      </w:r>
      <w:r w:rsidR="00644865" w:rsidRPr="008C2B12" w:rsidDel="004E0F4F">
        <w:rPr>
          <w:rFonts w:ascii="Arial" w:hAnsi="Arial" w:cs="Arial"/>
        </w:rPr>
        <w:t xml:space="preserve"> τα</w:t>
      </w:r>
      <w:r w:rsidR="005E2973" w:rsidRPr="008C2B12" w:rsidDel="004E0F4F">
        <w:rPr>
          <w:rFonts w:ascii="Arial" w:hAnsi="Arial" w:cs="Arial"/>
        </w:rPr>
        <w:t xml:space="preserve"> αναπτυξιακά του</w:t>
      </w:r>
      <w:r w:rsidR="00644865" w:rsidRPr="008C2B12" w:rsidDel="004E0F4F">
        <w:rPr>
          <w:rFonts w:ascii="Arial" w:hAnsi="Arial" w:cs="Arial"/>
        </w:rPr>
        <w:t xml:space="preserve"> πλάνα</w:t>
      </w:r>
      <w:r w:rsidR="005E2973" w:rsidRPr="008C2B12">
        <w:rPr>
          <w:rFonts w:ascii="Arial" w:hAnsi="Arial" w:cs="Arial"/>
        </w:rPr>
        <w:t>.</w:t>
      </w:r>
    </w:p>
    <w:p w14:paraId="3A1E98E5" w14:textId="1FEADA56" w:rsidR="006A386F" w:rsidRPr="0049066B" w:rsidRDefault="004E4F79" w:rsidP="00D66702">
      <w:pPr>
        <w:spacing w:line="280" w:lineRule="exact"/>
        <w:jc w:val="both"/>
        <w:rPr>
          <w:rFonts w:ascii="Arial" w:hAnsi="Arial" w:cs="Arial"/>
        </w:rPr>
      </w:pPr>
      <w:r w:rsidRPr="00C7005D">
        <w:rPr>
          <w:rFonts w:ascii="Arial" w:hAnsi="Arial" w:cs="Arial"/>
        </w:rPr>
        <w:t xml:space="preserve">Στο τέλος </w:t>
      </w:r>
      <w:r w:rsidR="00C957B1">
        <w:rPr>
          <w:rFonts w:ascii="Arial" w:hAnsi="Arial" w:cs="Arial"/>
        </w:rPr>
        <w:t>Σεπτεμβρίου</w:t>
      </w:r>
      <w:r w:rsidR="004B5F38" w:rsidRPr="00C7005D">
        <w:rPr>
          <w:rFonts w:ascii="Arial" w:hAnsi="Arial" w:cs="Arial"/>
        </w:rPr>
        <w:t xml:space="preserve"> </w:t>
      </w:r>
      <w:r w:rsidRPr="00C7005D">
        <w:rPr>
          <w:rFonts w:ascii="Arial" w:hAnsi="Arial" w:cs="Arial"/>
        </w:rPr>
        <w:t>202</w:t>
      </w:r>
      <w:r w:rsidR="004B5F38">
        <w:rPr>
          <w:rFonts w:ascii="Arial" w:hAnsi="Arial" w:cs="Arial"/>
        </w:rPr>
        <w:t>5</w:t>
      </w:r>
      <w:r w:rsidRPr="00C7005D">
        <w:rPr>
          <w:rFonts w:ascii="Arial" w:hAnsi="Arial" w:cs="Arial"/>
        </w:rPr>
        <w:t xml:space="preserve">, η διείσδυση στις υποδομές </w:t>
      </w:r>
      <w:r w:rsidRPr="00D66702">
        <w:rPr>
          <w:rFonts w:ascii="Arial" w:hAnsi="Arial" w:cs="Arial"/>
          <w:lang w:val="en-US"/>
        </w:rPr>
        <w:t>FTTH</w:t>
      </w:r>
      <w:r w:rsidRPr="00C7005D">
        <w:rPr>
          <w:rFonts w:ascii="Arial" w:hAnsi="Arial" w:cs="Arial"/>
        </w:rPr>
        <w:t xml:space="preserve"> του ΟΤΕ (</w:t>
      </w:r>
      <w:r w:rsidR="002032C6" w:rsidRPr="00C7005D">
        <w:rPr>
          <w:rFonts w:ascii="Arial" w:hAnsi="Arial" w:cs="Arial"/>
        </w:rPr>
        <w:t xml:space="preserve">συνολικό </w:t>
      </w:r>
      <w:r w:rsidRPr="00C7005D">
        <w:rPr>
          <w:rFonts w:ascii="Arial" w:hAnsi="Arial" w:cs="Arial"/>
        </w:rPr>
        <w:t xml:space="preserve">ποσοστό </w:t>
      </w:r>
      <w:r w:rsidR="00C7005D">
        <w:rPr>
          <w:rFonts w:ascii="Arial" w:hAnsi="Arial" w:cs="Arial"/>
          <w:lang w:val="en-US"/>
        </w:rPr>
        <w:t>FTTH</w:t>
      </w:r>
      <w:r w:rsidR="00C7005D" w:rsidRPr="00C7005D">
        <w:rPr>
          <w:rFonts w:ascii="Arial" w:hAnsi="Arial" w:cs="Arial"/>
        </w:rPr>
        <w:t xml:space="preserve"> </w:t>
      </w:r>
      <w:r w:rsidRPr="00C7005D">
        <w:rPr>
          <w:rFonts w:ascii="Arial" w:hAnsi="Arial" w:cs="Arial"/>
        </w:rPr>
        <w:t>πελατών</w:t>
      </w:r>
      <w:r w:rsidR="002032C6" w:rsidRPr="00C7005D">
        <w:rPr>
          <w:rFonts w:ascii="Arial" w:hAnsi="Arial" w:cs="Arial"/>
        </w:rPr>
        <w:t xml:space="preserve"> αγοράς</w:t>
      </w:r>
      <w:r w:rsidRPr="00C7005D">
        <w:rPr>
          <w:rFonts w:ascii="Arial" w:hAnsi="Arial" w:cs="Arial"/>
        </w:rPr>
        <w:t xml:space="preserve"> επί των διαθέσιμων γραμμών </w:t>
      </w:r>
      <w:r w:rsidRPr="00D66702">
        <w:rPr>
          <w:rFonts w:ascii="Arial" w:hAnsi="Arial" w:cs="Arial"/>
          <w:lang w:val="en-US"/>
        </w:rPr>
        <w:t>OTE</w:t>
      </w:r>
      <w:r w:rsidRPr="00C7005D">
        <w:rPr>
          <w:rFonts w:ascii="Arial" w:hAnsi="Arial" w:cs="Arial"/>
        </w:rPr>
        <w:t xml:space="preserve">) ανήλθε σε </w:t>
      </w:r>
      <w:r w:rsidR="00757E0B">
        <w:rPr>
          <w:rFonts w:ascii="Arial" w:hAnsi="Arial" w:cs="Arial"/>
        </w:rPr>
        <w:t>3</w:t>
      </w:r>
      <w:r w:rsidR="00C957B1">
        <w:rPr>
          <w:rFonts w:ascii="Arial" w:hAnsi="Arial" w:cs="Arial"/>
        </w:rPr>
        <w:t>3</w:t>
      </w:r>
      <w:r w:rsidRPr="00195221">
        <w:rPr>
          <w:rFonts w:ascii="Arial" w:hAnsi="Arial" w:cs="Arial"/>
        </w:rPr>
        <w:t>%</w:t>
      </w:r>
      <w:r w:rsidRPr="00C7005D">
        <w:rPr>
          <w:rFonts w:ascii="Arial" w:hAnsi="Arial" w:cs="Arial"/>
        </w:rPr>
        <w:t xml:space="preserve">, </w:t>
      </w:r>
      <w:r w:rsidR="00A235B0">
        <w:rPr>
          <w:rFonts w:ascii="Arial" w:hAnsi="Arial" w:cs="Arial"/>
        </w:rPr>
        <w:t xml:space="preserve">από </w:t>
      </w:r>
      <w:r w:rsidR="005C249A">
        <w:rPr>
          <w:rFonts w:ascii="Arial" w:hAnsi="Arial" w:cs="Arial"/>
        </w:rPr>
        <w:t>2</w:t>
      </w:r>
      <w:r w:rsidR="00C957B1">
        <w:rPr>
          <w:rFonts w:ascii="Arial" w:hAnsi="Arial" w:cs="Arial"/>
        </w:rPr>
        <w:t>6</w:t>
      </w:r>
      <w:r w:rsidRPr="00C7005D">
        <w:rPr>
          <w:rFonts w:ascii="Arial" w:hAnsi="Arial" w:cs="Arial"/>
        </w:rPr>
        <w:t xml:space="preserve">% ένα χρόνο πριν. </w:t>
      </w:r>
      <w:r w:rsidR="00580130" w:rsidRPr="00C7005D">
        <w:rPr>
          <w:rFonts w:ascii="Arial" w:hAnsi="Arial" w:cs="Arial"/>
        </w:rPr>
        <w:t xml:space="preserve">Από το σύνολο των </w:t>
      </w:r>
      <w:r w:rsidR="00C957B1">
        <w:rPr>
          <w:rFonts w:ascii="Arial" w:hAnsi="Arial" w:cs="Arial"/>
        </w:rPr>
        <w:t>509</w:t>
      </w:r>
      <w:r w:rsidR="00580130" w:rsidRPr="00C7005D">
        <w:rPr>
          <w:rFonts w:ascii="Arial" w:hAnsi="Arial" w:cs="Arial"/>
        </w:rPr>
        <w:t xml:space="preserve"> χιλιάδων συνδρομητών </w:t>
      </w:r>
      <w:r w:rsidR="00580130" w:rsidRPr="00D66702">
        <w:rPr>
          <w:rFonts w:ascii="Arial" w:hAnsi="Arial" w:cs="Arial"/>
          <w:lang w:val="en-US"/>
        </w:rPr>
        <w:t>FTTH</w:t>
      </w:r>
      <w:r w:rsidR="00580130" w:rsidRPr="00C7005D">
        <w:rPr>
          <w:rFonts w:ascii="Arial" w:hAnsi="Arial" w:cs="Arial"/>
        </w:rPr>
        <w:t xml:space="preserve">, </w:t>
      </w:r>
      <w:r w:rsidR="00353B0F" w:rsidRPr="00C7005D">
        <w:rPr>
          <w:rFonts w:ascii="Arial" w:hAnsi="Arial" w:cs="Arial"/>
        </w:rPr>
        <w:t>το 8</w:t>
      </w:r>
      <w:r w:rsidR="00C957B1">
        <w:rPr>
          <w:rFonts w:ascii="Arial" w:hAnsi="Arial" w:cs="Arial"/>
        </w:rPr>
        <w:t>3</w:t>
      </w:r>
      <w:r w:rsidR="00353B0F" w:rsidRPr="00C7005D">
        <w:rPr>
          <w:rFonts w:ascii="Arial" w:hAnsi="Arial" w:cs="Arial"/>
        </w:rPr>
        <w:t>% χρησιμοποιούν την υποδομή του ΟΤΕ. Επιπλέον, το 4</w:t>
      </w:r>
      <w:r w:rsidR="00C957B1">
        <w:rPr>
          <w:rFonts w:ascii="Arial" w:hAnsi="Arial" w:cs="Arial"/>
        </w:rPr>
        <w:t>7</w:t>
      </w:r>
      <w:r w:rsidR="00353B0F" w:rsidRPr="00C7005D">
        <w:rPr>
          <w:rFonts w:ascii="Arial" w:hAnsi="Arial" w:cs="Arial"/>
        </w:rPr>
        <w:t xml:space="preserve">% των συνδρομητών </w:t>
      </w:r>
      <w:r w:rsidR="00353B0F" w:rsidRPr="00D66702">
        <w:rPr>
          <w:rFonts w:ascii="Arial" w:hAnsi="Arial" w:cs="Arial"/>
          <w:lang w:val="en-US"/>
        </w:rPr>
        <w:t>FTTH</w:t>
      </w:r>
      <w:r w:rsidR="00353B0F" w:rsidRPr="00C7005D">
        <w:rPr>
          <w:rFonts w:ascii="Arial" w:hAnsi="Arial" w:cs="Arial"/>
        </w:rPr>
        <w:t xml:space="preserve"> του ανταγωνισμού βασίζονται στις υποδομές του ΟΤΕ, συγκριτικά με 3</w:t>
      </w:r>
      <w:r w:rsidR="00C957B1">
        <w:rPr>
          <w:rFonts w:ascii="Arial" w:hAnsi="Arial" w:cs="Arial"/>
        </w:rPr>
        <w:t>8</w:t>
      </w:r>
      <w:r w:rsidR="00353B0F" w:rsidRPr="00C7005D">
        <w:rPr>
          <w:rFonts w:ascii="Arial" w:hAnsi="Arial" w:cs="Arial"/>
        </w:rPr>
        <w:t xml:space="preserve">% ένα χρόνο πριν, αύξηση </w:t>
      </w:r>
      <w:r w:rsidR="000E77EB" w:rsidRPr="00C7005D">
        <w:rPr>
          <w:rFonts w:ascii="Arial" w:hAnsi="Arial" w:cs="Arial"/>
        </w:rPr>
        <w:t>που</w:t>
      </w:r>
      <w:r w:rsidR="00353B0F" w:rsidRPr="00C7005D">
        <w:rPr>
          <w:rFonts w:ascii="Arial" w:hAnsi="Arial" w:cs="Arial"/>
        </w:rPr>
        <w:t xml:space="preserve"> οφείλεται </w:t>
      </w:r>
      <w:r w:rsidR="004A299F">
        <w:rPr>
          <w:rFonts w:ascii="Arial" w:hAnsi="Arial" w:cs="Arial"/>
        </w:rPr>
        <w:t>κυρίως</w:t>
      </w:r>
      <w:r w:rsidR="005E2973">
        <w:rPr>
          <w:rFonts w:ascii="Arial" w:hAnsi="Arial" w:cs="Arial"/>
        </w:rPr>
        <w:t xml:space="preserve"> </w:t>
      </w:r>
      <w:r w:rsidR="00290F84">
        <w:rPr>
          <w:rFonts w:ascii="Arial" w:hAnsi="Arial" w:cs="Arial"/>
        </w:rPr>
        <w:t>στις</w:t>
      </w:r>
      <w:r w:rsidR="00353B0F" w:rsidRPr="00C7005D" w:rsidDel="00B967A7">
        <w:rPr>
          <w:rFonts w:ascii="Arial" w:hAnsi="Arial" w:cs="Arial"/>
        </w:rPr>
        <w:t xml:space="preserve"> </w:t>
      </w:r>
      <w:r w:rsidR="00353B0F" w:rsidRPr="00C7005D">
        <w:rPr>
          <w:rFonts w:ascii="Arial" w:hAnsi="Arial" w:cs="Arial"/>
        </w:rPr>
        <w:t xml:space="preserve">συμφωνίες εκπτώσεων όγκου στην αγορά χονδρικής </w:t>
      </w:r>
      <w:r w:rsidR="00353B0F" w:rsidRPr="00D66702">
        <w:rPr>
          <w:rFonts w:ascii="Arial" w:hAnsi="Arial" w:cs="Arial"/>
          <w:lang w:val="en-US"/>
        </w:rPr>
        <w:t>FTTH</w:t>
      </w:r>
      <w:r w:rsidR="00353B0F" w:rsidRPr="00C7005D">
        <w:rPr>
          <w:rFonts w:ascii="Arial" w:hAnsi="Arial" w:cs="Arial"/>
        </w:rPr>
        <w:t xml:space="preserve"> μεταξύ βασικών </w:t>
      </w:r>
      <w:proofErr w:type="spellStart"/>
      <w:r w:rsidR="00353B0F" w:rsidRPr="00C7005D">
        <w:rPr>
          <w:rFonts w:ascii="Arial" w:hAnsi="Arial" w:cs="Arial"/>
        </w:rPr>
        <w:t>παρόχων</w:t>
      </w:r>
      <w:proofErr w:type="spellEnd"/>
      <w:r w:rsidR="00353B0F" w:rsidRPr="00C7005D">
        <w:rPr>
          <w:rFonts w:ascii="Arial" w:hAnsi="Arial" w:cs="Arial"/>
        </w:rPr>
        <w:t xml:space="preserve"> της αγοράς</w:t>
      </w:r>
      <w:r w:rsidR="00B967A7">
        <w:rPr>
          <w:rFonts w:ascii="Arial" w:hAnsi="Arial" w:cs="Arial"/>
        </w:rPr>
        <w:t>.</w:t>
      </w:r>
    </w:p>
    <w:p w14:paraId="6A7DE2E2" w14:textId="24F16D31" w:rsidR="00460194" w:rsidRPr="0088131C" w:rsidRDefault="00382F70" w:rsidP="00164BA2">
      <w:pPr>
        <w:spacing w:line="280" w:lineRule="exact"/>
        <w:jc w:val="both"/>
        <w:rPr>
          <w:rFonts w:ascii="Arial" w:hAnsi="Arial" w:cs="Arial"/>
        </w:rPr>
      </w:pPr>
      <w:r w:rsidRPr="0088131C">
        <w:rPr>
          <w:rFonts w:ascii="Arial" w:hAnsi="Arial" w:cs="Arial"/>
          <w:b/>
          <w:bCs/>
        </w:rPr>
        <w:lastRenderedPageBreak/>
        <w:t xml:space="preserve">Τεχνολογία </w:t>
      </w:r>
      <w:r w:rsidR="00C33660" w:rsidRPr="0088131C">
        <w:rPr>
          <w:rFonts w:ascii="Arial" w:hAnsi="Arial" w:cs="Arial"/>
          <w:b/>
          <w:bCs/>
          <w:lang w:val="en-US"/>
        </w:rPr>
        <w:t>Fixed</w:t>
      </w:r>
      <w:r w:rsidR="00C33660" w:rsidRPr="0088131C">
        <w:rPr>
          <w:rFonts w:ascii="Arial" w:hAnsi="Arial" w:cs="Arial"/>
          <w:b/>
          <w:bCs/>
        </w:rPr>
        <w:t xml:space="preserve"> </w:t>
      </w:r>
      <w:r w:rsidR="00C33660" w:rsidRPr="0088131C">
        <w:rPr>
          <w:rFonts w:ascii="Arial" w:hAnsi="Arial" w:cs="Arial"/>
          <w:b/>
          <w:bCs/>
          <w:lang w:val="en-US"/>
        </w:rPr>
        <w:t>Wireless</w:t>
      </w:r>
      <w:r w:rsidR="00C33660" w:rsidRPr="0088131C">
        <w:rPr>
          <w:rFonts w:ascii="Arial" w:hAnsi="Arial" w:cs="Arial"/>
          <w:b/>
          <w:bCs/>
        </w:rPr>
        <w:t xml:space="preserve"> </w:t>
      </w:r>
      <w:r w:rsidR="00C33660" w:rsidRPr="0088131C">
        <w:rPr>
          <w:rFonts w:ascii="Arial" w:hAnsi="Arial" w:cs="Arial"/>
          <w:b/>
          <w:bCs/>
          <w:lang w:val="en-US"/>
        </w:rPr>
        <w:t>Access</w:t>
      </w:r>
      <w:r w:rsidR="00B72D4E" w:rsidRPr="0088131C">
        <w:rPr>
          <w:rFonts w:ascii="Arial" w:hAnsi="Arial" w:cs="Arial"/>
          <w:b/>
          <w:bCs/>
        </w:rPr>
        <w:t xml:space="preserve"> </w:t>
      </w:r>
      <w:r w:rsidR="00C33660" w:rsidRPr="0088131C">
        <w:rPr>
          <w:rFonts w:ascii="Arial" w:hAnsi="Arial" w:cs="Arial"/>
          <w:b/>
          <w:bCs/>
        </w:rPr>
        <w:t>(</w:t>
      </w:r>
      <w:r w:rsidR="00C33660" w:rsidRPr="0088131C">
        <w:rPr>
          <w:rFonts w:ascii="Arial" w:hAnsi="Arial" w:cs="Arial"/>
          <w:b/>
          <w:bCs/>
          <w:lang w:val="en-US"/>
        </w:rPr>
        <w:t>FWA</w:t>
      </w:r>
      <w:r w:rsidR="00C33660" w:rsidRPr="0088131C">
        <w:rPr>
          <w:rFonts w:ascii="Arial" w:hAnsi="Arial" w:cs="Arial"/>
          <w:b/>
          <w:bCs/>
        </w:rPr>
        <w:t>):</w:t>
      </w:r>
      <w:r w:rsidR="00C33660" w:rsidRPr="0088131C">
        <w:rPr>
          <w:rFonts w:ascii="Arial" w:hAnsi="Arial" w:cs="Arial"/>
        </w:rPr>
        <w:t xml:space="preserve"> </w:t>
      </w:r>
      <w:r w:rsidR="00C414D0" w:rsidRPr="0088131C">
        <w:rPr>
          <w:rFonts w:ascii="Arial" w:hAnsi="Arial" w:cs="Arial"/>
        </w:rPr>
        <w:t xml:space="preserve">Στις αρχές του 2025, </w:t>
      </w:r>
      <w:r w:rsidR="009A1F39" w:rsidRPr="0088131C">
        <w:rPr>
          <w:rFonts w:ascii="Arial" w:hAnsi="Arial" w:cs="Arial"/>
        </w:rPr>
        <w:t>αξιοποιώντας το δίκτυο 5</w:t>
      </w:r>
      <w:r w:rsidR="009A1F39" w:rsidRPr="0088131C">
        <w:rPr>
          <w:rFonts w:ascii="Arial" w:hAnsi="Arial" w:cs="Arial"/>
          <w:lang w:val="en-US"/>
        </w:rPr>
        <w:t>G</w:t>
      </w:r>
      <w:r w:rsidR="009A1F39" w:rsidRPr="0088131C">
        <w:rPr>
          <w:rFonts w:ascii="Arial" w:hAnsi="Arial" w:cs="Arial"/>
        </w:rPr>
        <w:t xml:space="preserve"> και την προηγμένη τεχνολογική δυνατότητα του </w:t>
      </w:r>
      <w:proofErr w:type="spellStart"/>
      <w:r w:rsidR="009A1F39" w:rsidRPr="0088131C">
        <w:rPr>
          <w:rFonts w:ascii="Arial" w:hAnsi="Arial" w:cs="Arial"/>
        </w:rPr>
        <w:t>Network</w:t>
      </w:r>
      <w:proofErr w:type="spellEnd"/>
      <w:r w:rsidR="009A1F39" w:rsidRPr="0088131C">
        <w:rPr>
          <w:rFonts w:ascii="Arial" w:hAnsi="Arial" w:cs="Arial"/>
        </w:rPr>
        <w:t xml:space="preserve"> </w:t>
      </w:r>
      <w:proofErr w:type="spellStart"/>
      <w:r w:rsidR="009A1F39" w:rsidRPr="0088131C">
        <w:rPr>
          <w:rFonts w:ascii="Arial" w:hAnsi="Arial" w:cs="Arial"/>
        </w:rPr>
        <w:t>Slicing</w:t>
      </w:r>
      <w:proofErr w:type="spellEnd"/>
      <w:r w:rsidR="009A1F39" w:rsidRPr="0088131C">
        <w:rPr>
          <w:rFonts w:ascii="Arial" w:hAnsi="Arial" w:cs="Arial"/>
        </w:rPr>
        <w:t xml:space="preserve"> που παρέχει το δίκτυο </w:t>
      </w:r>
      <w:bookmarkStart w:id="3" w:name="_Hlk213856824"/>
      <w:r w:rsidR="009A1F39" w:rsidRPr="0088131C">
        <w:rPr>
          <w:rFonts w:ascii="Arial" w:hAnsi="Arial" w:cs="Arial"/>
        </w:rPr>
        <w:t xml:space="preserve">5G </w:t>
      </w:r>
      <w:proofErr w:type="spellStart"/>
      <w:r w:rsidR="009A1F39" w:rsidRPr="0088131C">
        <w:rPr>
          <w:rFonts w:ascii="Arial" w:hAnsi="Arial" w:cs="Arial"/>
        </w:rPr>
        <w:t>Stand</w:t>
      </w:r>
      <w:proofErr w:type="spellEnd"/>
      <w:r w:rsidR="009A1F39" w:rsidRPr="0088131C">
        <w:rPr>
          <w:rFonts w:ascii="Arial" w:hAnsi="Arial" w:cs="Arial"/>
        </w:rPr>
        <w:t xml:space="preserve"> </w:t>
      </w:r>
      <w:proofErr w:type="spellStart"/>
      <w:r w:rsidR="009A1F39" w:rsidRPr="0088131C">
        <w:rPr>
          <w:rFonts w:ascii="Arial" w:hAnsi="Arial" w:cs="Arial"/>
        </w:rPr>
        <w:t>Alone</w:t>
      </w:r>
      <w:proofErr w:type="spellEnd"/>
      <w:r w:rsidR="009A1F39" w:rsidRPr="0088131C">
        <w:rPr>
          <w:rFonts w:ascii="Arial" w:hAnsi="Arial" w:cs="Arial"/>
        </w:rPr>
        <w:t xml:space="preserve"> (SA)</w:t>
      </w:r>
      <w:bookmarkEnd w:id="3"/>
      <w:r w:rsidR="009A1F39" w:rsidRPr="0088131C">
        <w:rPr>
          <w:rFonts w:ascii="Arial" w:hAnsi="Arial" w:cs="Arial"/>
        </w:rPr>
        <w:t xml:space="preserve">, </w:t>
      </w:r>
      <w:r w:rsidR="00C414D0" w:rsidRPr="0088131C">
        <w:rPr>
          <w:rFonts w:ascii="Arial" w:hAnsi="Arial" w:cs="Arial"/>
        </w:rPr>
        <w:t xml:space="preserve">ο ΟΤΕ λάνσαρε υπηρεσίες </w:t>
      </w:r>
      <w:r w:rsidR="00C414D0" w:rsidRPr="0088131C">
        <w:rPr>
          <w:rFonts w:ascii="Arial" w:hAnsi="Arial" w:cs="Arial"/>
          <w:lang w:val="en-US"/>
        </w:rPr>
        <w:t>FWA</w:t>
      </w:r>
      <w:r w:rsidR="00C414D0" w:rsidRPr="0088131C">
        <w:rPr>
          <w:rFonts w:ascii="Arial" w:hAnsi="Arial" w:cs="Arial"/>
        </w:rPr>
        <w:t xml:space="preserve"> (το </w:t>
      </w:r>
      <w:r w:rsidR="00C414D0" w:rsidRPr="0088131C">
        <w:rPr>
          <w:rFonts w:ascii="Arial" w:hAnsi="Arial" w:cs="Arial"/>
          <w:lang w:val="en-US"/>
        </w:rPr>
        <w:t>COSMOTE</w:t>
      </w:r>
      <w:r w:rsidR="00C414D0" w:rsidRPr="0088131C">
        <w:rPr>
          <w:rFonts w:ascii="Arial" w:hAnsi="Arial" w:cs="Arial"/>
        </w:rPr>
        <w:t xml:space="preserve"> 5</w:t>
      </w:r>
      <w:r w:rsidR="00C414D0" w:rsidRPr="0088131C">
        <w:rPr>
          <w:rFonts w:ascii="Arial" w:hAnsi="Arial" w:cs="Arial"/>
          <w:lang w:val="en-US"/>
        </w:rPr>
        <w:t>G</w:t>
      </w:r>
      <w:r w:rsidR="00C414D0" w:rsidRPr="0088131C">
        <w:rPr>
          <w:rFonts w:ascii="Arial" w:hAnsi="Arial" w:cs="Arial"/>
        </w:rPr>
        <w:t xml:space="preserve"> </w:t>
      </w:r>
      <w:proofErr w:type="spellStart"/>
      <w:r w:rsidR="00C414D0" w:rsidRPr="0088131C">
        <w:rPr>
          <w:rFonts w:ascii="Arial" w:hAnsi="Arial" w:cs="Arial"/>
          <w:lang w:val="en-US"/>
        </w:rPr>
        <w:t>WiFi</w:t>
      </w:r>
      <w:proofErr w:type="spellEnd"/>
      <w:r w:rsidR="00C414D0" w:rsidRPr="0088131C">
        <w:rPr>
          <w:rFonts w:ascii="Arial" w:hAnsi="Arial" w:cs="Arial"/>
        </w:rPr>
        <w:t>)</w:t>
      </w:r>
      <w:r w:rsidR="00465EC7" w:rsidRPr="0088131C">
        <w:rPr>
          <w:rFonts w:ascii="Arial" w:hAnsi="Arial" w:cs="Arial"/>
        </w:rPr>
        <w:t xml:space="preserve">, </w:t>
      </w:r>
      <w:r w:rsidR="009A1F39" w:rsidRPr="0088131C">
        <w:rPr>
          <w:rFonts w:ascii="Arial" w:hAnsi="Arial" w:cs="Arial"/>
        </w:rPr>
        <w:t>μια</w:t>
      </w:r>
      <w:r w:rsidR="00465EC7" w:rsidRPr="0088131C">
        <w:rPr>
          <w:rFonts w:ascii="Arial" w:hAnsi="Arial" w:cs="Arial"/>
        </w:rPr>
        <w:t xml:space="preserve"> αξιόπιστη λύση </w:t>
      </w:r>
      <w:r w:rsidR="009A1F39" w:rsidRPr="0088131C">
        <w:rPr>
          <w:rFonts w:ascii="Arial" w:hAnsi="Arial" w:cs="Arial"/>
        </w:rPr>
        <w:t>σταθερής για</w:t>
      </w:r>
      <w:r w:rsidR="001D0CEE" w:rsidRPr="0088131C">
        <w:rPr>
          <w:rFonts w:ascii="Arial" w:hAnsi="Arial" w:cs="Arial"/>
        </w:rPr>
        <w:t xml:space="preserve"> περιοχές όπου η υποδομή των οπτικών ινών δεν είναι ακόμα διαθέσιμη</w:t>
      </w:r>
      <w:r w:rsidR="00465EC7" w:rsidRPr="0088131C">
        <w:rPr>
          <w:rFonts w:ascii="Arial" w:hAnsi="Arial" w:cs="Arial"/>
        </w:rPr>
        <w:t xml:space="preserve">. </w:t>
      </w:r>
      <w:r w:rsidR="0088131C" w:rsidRPr="0088131C">
        <w:rPr>
          <w:rFonts w:ascii="Arial" w:hAnsi="Arial" w:cs="Arial"/>
        </w:rPr>
        <w:t xml:space="preserve">Με την προσθήκη υπηρεσιών φωνής και την εποχική ζήτηση, η υιοθέτηση των υπηρεσιών FWA έχει σημειώσει σημαντική δυναμική, φτάνοντας τους </w:t>
      </w:r>
      <w:r w:rsidR="0088131C" w:rsidRPr="003F766D">
        <w:rPr>
          <w:rStyle w:val="Strong"/>
          <w:rFonts w:ascii="Arial" w:hAnsi="Arial" w:cs="Arial"/>
          <w:b w:val="0"/>
          <w:bCs/>
        </w:rPr>
        <w:t xml:space="preserve">33 </w:t>
      </w:r>
      <w:r w:rsidR="0088131C" w:rsidRPr="00A174C4">
        <w:rPr>
          <w:rStyle w:val="Strong"/>
          <w:rFonts w:ascii="Arial" w:hAnsi="Arial" w:cs="Arial"/>
          <w:b w:val="0"/>
          <w:bCs/>
        </w:rPr>
        <w:t>χιλιάδες συνδρομητές</w:t>
      </w:r>
      <w:r w:rsidR="0088131C" w:rsidRPr="0088131C">
        <w:rPr>
          <w:rFonts w:ascii="Arial" w:hAnsi="Arial" w:cs="Arial"/>
        </w:rPr>
        <w:t xml:space="preserve"> έως το τέλος του τριμήνου. Η αυξανόμενη υιοθέτηση του </w:t>
      </w:r>
      <w:r w:rsidR="003F766D">
        <w:rPr>
          <w:rFonts w:ascii="Arial" w:hAnsi="Arial" w:cs="Arial"/>
          <w:lang w:val="en-US"/>
        </w:rPr>
        <w:t>FWA</w:t>
      </w:r>
      <w:r w:rsidR="0088131C" w:rsidRPr="0088131C">
        <w:rPr>
          <w:rFonts w:ascii="Arial" w:hAnsi="Arial" w:cs="Arial"/>
        </w:rPr>
        <w:t xml:space="preserve"> συνέβαλε σημαντικά στη</w:t>
      </w:r>
      <w:r w:rsidR="00A41395">
        <w:rPr>
          <w:rFonts w:ascii="Arial" w:hAnsi="Arial" w:cs="Arial"/>
        </w:rPr>
        <w:t>ν αύξηση των</w:t>
      </w:r>
      <w:r w:rsidR="0088131C" w:rsidRPr="0088131C">
        <w:rPr>
          <w:rFonts w:ascii="Arial" w:hAnsi="Arial" w:cs="Arial"/>
        </w:rPr>
        <w:t xml:space="preserve"> καθαρών </w:t>
      </w:r>
      <w:proofErr w:type="spellStart"/>
      <w:r w:rsidR="0088131C" w:rsidRPr="0088131C">
        <w:rPr>
          <w:rFonts w:ascii="Arial" w:hAnsi="Arial" w:cs="Arial"/>
        </w:rPr>
        <w:t>ευρυζωνικών</w:t>
      </w:r>
      <w:proofErr w:type="spellEnd"/>
      <w:r w:rsidR="0088131C" w:rsidRPr="0088131C">
        <w:rPr>
          <w:rFonts w:ascii="Arial" w:hAnsi="Arial" w:cs="Arial"/>
        </w:rPr>
        <w:t xml:space="preserve"> συνδέσεων</w:t>
      </w:r>
      <w:r w:rsidR="00A41395">
        <w:rPr>
          <w:rFonts w:ascii="Arial" w:hAnsi="Arial" w:cs="Arial"/>
        </w:rPr>
        <w:t xml:space="preserve"> (</w:t>
      </w:r>
      <w:r w:rsidR="0088131C" w:rsidRPr="0088131C">
        <w:rPr>
          <w:rFonts w:ascii="Arial" w:hAnsi="Arial" w:cs="Arial"/>
        </w:rPr>
        <w:t>+1,8 χιλιάδες</w:t>
      </w:r>
      <w:r w:rsidR="00A41395">
        <w:rPr>
          <w:rFonts w:ascii="Arial" w:hAnsi="Arial" w:cs="Arial"/>
        </w:rPr>
        <w:t>)</w:t>
      </w:r>
      <w:r w:rsidR="0088131C" w:rsidRPr="0088131C">
        <w:rPr>
          <w:rFonts w:ascii="Arial" w:hAnsi="Arial" w:cs="Arial"/>
        </w:rPr>
        <w:t xml:space="preserve"> σε ένα παραδοσιακά υποτονικό τρίμηνο, αυξάνοντας τη συνολική </w:t>
      </w:r>
      <w:proofErr w:type="spellStart"/>
      <w:r w:rsidR="0088131C" w:rsidRPr="0088131C">
        <w:rPr>
          <w:rFonts w:ascii="Arial" w:hAnsi="Arial" w:cs="Arial"/>
        </w:rPr>
        <w:t>ευρυζωνική</w:t>
      </w:r>
      <w:proofErr w:type="spellEnd"/>
      <w:r w:rsidR="0088131C" w:rsidRPr="0088131C">
        <w:rPr>
          <w:rFonts w:ascii="Arial" w:hAnsi="Arial" w:cs="Arial"/>
        </w:rPr>
        <w:t xml:space="preserve"> συνδρομητική βάση του ΟΤΕ στα 2,4 εκατ. </w:t>
      </w:r>
    </w:p>
    <w:p w14:paraId="3B445077" w14:textId="4A2BEF11" w:rsidR="00713D91" w:rsidRDefault="00265B28" w:rsidP="00225DF7">
      <w:pPr>
        <w:spacing w:line="280" w:lineRule="exact"/>
        <w:jc w:val="both"/>
        <w:rPr>
          <w:rFonts w:ascii="Arial" w:hAnsi="Arial" w:cs="Arial"/>
          <w:color w:val="FF0000"/>
        </w:rPr>
      </w:pPr>
      <w:r w:rsidRPr="00C7005D">
        <w:rPr>
          <w:rFonts w:ascii="Arial" w:hAnsi="Arial" w:cs="Arial"/>
          <w:b/>
          <w:bCs/>
        </w:rPr>
        <w:t>Υπηρεσίες Τηλεόρασης:</w:t>
      </w:r>
      <w:r w:rsidRPr="00C7005D">
        <w:rPr>
          <w:rFonts w:ascii="Arial" w:hAnsi="Arial" w:cs="Arial"/>
        </w:rPr>
        <w:t xml:space="preserve"> </w:t>
      </w:r>
      <w:r w:rsidR="005C52FB" w:rsidRPr="00867610">
        <w:rPr>
          <w:rFonts w:ascii="Arial" w:hAnsi="Arial" w:cs="Arial"/>
        </w:rPr>
        <w:t xml:space="preserve">Η </w:t>
      </w:r>
      <w:r w:rsidR="00131BA2">
        <w:rPr>
          <w:rFonts w:ascii="Arial" w:hAnsi="Arial" w:cs="Arial"/>
        </w:rPr>
        <w:t>Ε</w:t>
      </w:r>
      <w:r w:rsidR="005C52FB" w:rsidRPr="00867610">
        <w:rPr>
          <w:rFonts w:ascii="Arial" w:hAnsi="Arial" w:cs="Arial"/>
        </w:rPr>
        <w:t xml:space="preserve">ταιρεία συνεχίζει να αξιοποιεί τα οφέλη από τη </w:t>
      </w:r>
      <w:r w:rsidR="005C52FB" w:rsidRPr="00C7005D">
        <w:rPr>
          <w:rFonts w:ascii="Arial" w:hAnsi="Arial" w:cs="Arial"/>
        </w:rPr>
        <w:t>συμφωνία αμοιβαίας διάθεσης αθλητικού περιεχομένου ΟΤΕ-ΝΟ</w:t>
      </w:r>
      <w:r w:rsidR="005C52FB" w:rsidRPr="00867610">
        <w:rPr>
          <w:rFonts w:ascii="Arial" w:hAnsi="Arial" w:cs="Arial"/>
        </w:rPr>
        <w:t>V</w:t>
      </w:r>
      <w:r w:rsidR="005C52FB" w:rsidRPr="00C7005D">
        <w:rPr>
          <w:rFonts w:ascii="Arial" w:hAnsi="Arial" w:cs="Arial"/>
        </w:rPr>
        <w:t>Α</w:t>
      </w:r>
      <w:r w:rsidR="000D16E1">
        <w:rPr>
          <w:rFonts w:ascii="Arial" w:hAnsi="Arial" w:cs="Arial"/>
        </w:rPr>
        <w:t>.</w:t>
      </w:r>
      <w:r w:rsidR="009773D6">
        <w:rPr>
          <w:rFonts w:ascii="Arial" w:hAnsi="Arial" w:cs="Arial"/>
        </w:rPr>
        <w:t xml:space="preserve"> </w:t>
      </w:r>
      <w:r w:rsidR="000D16E1" w:rsidRPr="00EB44E1">
        <w:rPr>
          <w:rFonts w:ascii="Arial" w:hAnsi="Arial" w:cs="Arial"/>
        </w:rPr>
        <w:t>Ως</w:t>
      </w:r>
      <w:r w:rsidR="00E3789D">
        <w:rPr>
          <w:rFonts w:ascii="Arial" w:hAnsi="Arial" w:cs="Arial"/>
        </w:rPr>
        <w:t xml:space="preserve"> </w:t>
      </w:r>
      <w:r w:rsidR="000D16E1" w:rsidRPr="00EB44E1">
        <w:rPr>
          <w:rFonts w:ascii="Arial" w:hAnsi="Arial" w:cs="Arial"/>
        </w:rPr>
        <w:t>αποτέλεσμα, ο</w:t>
      </w:r>
      <w:r w:rsidR="000D16E1">
        <w:rPr>
          <w:rFonts w:ascii="Arial" w:hAnsi="Arial" w:cs="Arial"/>
        </w:rPr>
        <w:t>ι υπηρεσίες τηλεόρασης</w:t>
      </w:r>
      <w:r w:rsidR="00E3789D">
        <w:rPr>
          <w:rFonts w:ascii="Arial" w:hAnsi="Arial" w:cs="Arial"/>
        </w:rPr>
        <w:t xml:space="preserve"> </w:t>
      </w:r>
      <w:r w:rsidR="000D16E1" w:rsidRPr="00EB44E1">
        <w:rPr>
          <w:rFonts w:ascii="Arial" w:hAnsi="Arial" w:cs="Arial"/>
        </w:rPr>
        <w:t>συνεχίζ</w:t>
      </w:r>
      <w:r w:rsidR="000D16E1">
        <w:rPr>
          <w:rFonts w:ascii="Arial" w:hAnsi="Arial" w:cs="Arial"/>
        </w:rPr>
        <w:t>ουν</w:t>
      </w:r>
      <w:r w:rsidR="000D16E1" w:rsidRPr="00EB44E1">
        <w:rPr>
          <w:rFonts w:ascii="Arial" w:hAnsi="Arial" w:cs="Arial"/>
        </w:rPr>
        <w:t xml:space="preserve"> να </w:t>
      </w:r>
      <w:r w:rsidR="00E3789D">
        <w:rPr>
          <w:rFonts w:ascii="Arial" w:hAnsi="Arial" w:cs="Arial"/>
        </w:rPr>
        <w:t>αναπτύσσονται</w:t>
      </w:r>
      <w:r w:rsidR="006F116E" w:rsidRPr="006F116E">
        <w:rPr>
          <w:rFonts w:ascii="Arial" w:hAnsi="Arial" w:cs="Arial"/>
        </w:rPr>
        <w:t xml:space="preserve"> </w:t>
      </w:r>
      <w:r w:rsidR="006F116E">
        <w:rPr>
          <w:rFonts w:ascii="Arial" w:hAnsi="Arial" w:cs="Arial"/>
        </w:rPr>
        <w:t>με 23 χιλιάδες καθαρές προσθήκες</w:t>
      </w:r>
      <w:r w:rsidR="000D16E1" w:rsidRPr="00EB44E1">
        <w:rPr>
          <w:rFonts w:ascii="Arial" w:hAnsi="Arial" w:cs="Arial"/>
        </w:rPr>
        <w:t xml:space="preserve">, με την πελατειακή βάση να φτάνει </w:t>
      </w:r>
      <w:r w:rsidR="00970C50">
        <w:rPr>
          <w:rFonts w:ascii="Arial" w:hAnsi="Arial" w:cs="Arial"/>
        </w:rPr>
        <w:t>σ</w:t>
      </w:r>
      <w:r w:rsidR="00970C50" w:rsidRPr="00EB44E1">
        <w:rPr>
          <w:rFonts w:ascii="Arial" w:hAnsi="Arial" w:cs="Arial"/>
        </w:rPr>
        <w:t xml:space="preserve">το τέλος </w:t>
      </w:r>
      <w:r w:rsidR="00FB773A">
        <w:rPr>
          <w:rFonts w:ascii="Arial" w:hAnsi="Arial" w:cs="Arial"/>
        </w:rPr>
        <w:t>Σεπτεμβρίου</w:t>
      </w:r>
      <w:r w:rsidR="00970C50" w:rsidRPr="00EB44E1">
        <w:rPr>
          <w:rFonts w:ascii="Arial" w:hAnsi="Arial" w:cs="Arial"/>
        </w:rPr>
        <w:t xml:space="preserve"> </w:t>
      </w:r>
      <w:r w:rsidR="000D16E1" w:rsidRPr="00EB44E1">
        <w:rPr>
          <w:rFonts w:ascii="Arial" w:hAnsi="Arial" w:cs="Arial"/>
        </w:rPr>
        <w:t>τις 7</w:t>
      </w:r>
      <w:r w:rsidR="009773D6">
        <w:rPr>
          <w:rFonts w:ascii="Arial" w:hAnsi="Arial" w:cs="Arial"/>
        </w:rPr>
        <w:t>5</w:t>
      </w:r>
      <w:r w:rsidR="00FB773A">
        <w:rPr>
          <w:rFonts w:ascii="Arial" w:hAnsi="Arial" w:cs="Arial"/>
        </w:rPr>
        <w:t>8</w:t>
      </w:r>
      <w:r w:rsidR="000D16E1" w:rsidRPr="00EB44E1">
        <w:rPr>
          <w:rFonts w:ascii="Arial" w:hAnsi="Arial" w:cs="Arial"/>
        </w:rPr>
        <w:t xml:space="preserve"> χιλ., σημειώνοντας ετήσια αύξηση </w:t>
      </w:r>
      <w:r w:rsidR="00FB773A">
        <w:rPr>
          <w:rFonts w:ascii="Arial" w:hAnsi="Arial" w:cs="Arial"/>
        </w:rPr>
        <w:t>6,7</w:t>
      </w:r>
      <w:r w:rsidR="000D16E1" w:rsidRPr="00EB44E1">
        <w:rPr>
          <w:rFonts w:ascii="Arial" w:hAnsi="Arial" w:cs="Arial"/>
        </w:rPr>
        <w:t>%</w:t>
      </w:r>
      <w:r w:rsidR="000D16E1">
        <w:rPr>
          <w:rFonts w:ascii="Arial" w:hAnsi="Arial" w:cs="Arial"/>
        </w:rPr>
        <w:t>.</w:t>
      </w:r>
      <w:r w:rsidR="009773D6">
        <w:rPr>
          <w:rFonts w:ascii="Arial" w:hAnsi="Arial" w:cs="Arial"/>
        </w:rPr>
        <w:t xml:space="preserve"> </w:t>
      </w:r>
      <w:r w:rsidR="005F6909">
        <w:rPr>
          <w:rFonts w:ascii="Arial" w:hAnsi="Arial" w:cs="Arial"/>
        </w:rPr>
        <w:t>Κ</w:t>
      </w:r>
      <w:r w:rsidR="005F6909" w:rsidRPr="00EB44E1">
        <w:rPr>
          <w:rFonts w:ascii="Arial" w:hAnsi="Arial" w:cs="Arial"/>
        </w:rPr>
        <w:t>αθώς οι συνδρομητές απολαμβάνουν το πλήρες μενού του συνδυασμένου αθλητικού περιεχομένου</w:t>
      </w:r>
      <w:r w:rsidR="005F6909">
        <w:rPr>
          <w:rFonts w:ascii="Arial" w:hAnsi="Arial" w:cs="Arial"/>
        </w:rPr>
        <w:t>, η</w:t>
      </w:r>
      <w:r w:rsidR="009773D6">
        <w:rPr>
          <w:rFonts w:ascii="Arial" w:hAnsi="Arial" w:cs="Arial"/>
        </w:rPr>
        <w:t xml:space="preserve"> </w:t>
      </w:r>
      <w:r w:rsidR="009773D6" w:rsidRPr="009773D6">
        <w:rPr>
          <w:rFonts w:ascii="Arial" w:hAnsi="Arial" w:cs="Arial"/>
        </w:rPr>
        <w:t xml:space="preserve">εταιρεία συνεχίζει να </w:t>
      </w:r>
      <w:r w:rsidR="008C048E">
        <w:rPr>
          <w:rFonts w:ascii="Arial" w:hAnsi="Arial" w:cs="Arial"/>
        </w:rPr>
        <w:t>προσελκύει νέους πελάτες και να αυξάνει το μέσο έσοδο</w:t>
      </w:r>
      <w:r w:rsidR="000D16E1" w:rsidRPr="009773D6">
        <w:rPr>
          <w:rFonts w:ascii="Arial" w:hAnsi="Arial" w:cs="Arial"/>
        </w:rPr>
        <w:t>.</w:t>
      </w:r>
      <w:r w:rsidR="00E3789D">
        <w:rPr>
          <w:rFonts w:ascii="Arial" w:hAnsi="Arial" w:cs="Arial"/>
        </w:rPr>
        <w:t xml:space="preserve"> </w:t>
      </w:r>
      <w:r w:rsidR="00713D91" w:rsidRPr="005D1B68">
        <w:rPr>
          <w:rFonts w:ascii="Arial" w:hAnsi="Arial" w:cs="Arial"/>
        </w:rPr>
        <w:t>Η έγκριση του νόμου κατά της πειρατείας το 2025 και η προγραμματισμένη κατάργηση του ειδικού φόρου 10% για την συνδρομητική τηλεόραση, με ισχύ από την 1η Ιανουαρίου 2026, θα διευκολύνουν τη μετάβαση σε νόμιμες υπηρεσίες, ενισχύοντας περαιτέρω τη θέση του ΟΤΕ στην αγορά.</w:t>
      </w:r>
      <w:r w:rsidR="00713D91" w:rsidRPr="00713D91">
        <w:rPr>
          <w:rFonts w:ascii="Arial" w:hAnsi="Arial" w:cs="Arial"/>
          <w:color w:val="FF0000"/>
        </w:rPr>
        <w:t xml:space="preserve"> </w:t>
      </w:r>
    </w:p>
    <w:p w14:paraId="66DED29D" w14:textId="2650CFE5" w:rsidR="00131BA2" w:rsidRPr="00131BA2" w:rsidRDefault="00164BA2" w:rsidP="00225DF7">
      <w:pPr>
        <w:spacing w:line="280" w:lineRule="exact"/>
        <w:jc w:val="both"/>
        <w:rPr>
          <w:rFonts w:ascii="Arial" w:hAnsi="Arial" w:cs="Arial"/>
          <w:szCs w:val="20"/>
        </w:rPr>
      </w:pPr>
      <w:r w:rsidRPr="008F3B54">
        <w:rPr>
          <w:rFonts w:ascii="Arial" w:hAnsi="Arial" w:cs="Arial"/>
        </w:rPr>
        <w:t xml:space="preserve">Στην </w:t>
      </w:r>
      <w:r w:rsidRPr="008678DA">
        <w:rPr>
          <w:rFonts w:ascii="Arial" w:hAnsi="Arial" w:cs="Arial"/>
          <w:b/>
        </w:rPr>
        <w:t>κινητή</w:t>
      </w:r>
      <w:r w:rsidRPr="008F3B54">
        <w:rPr>
          <w:rFonts w:ascii="Arial" w:hAnsi="Arial" w:cs="Arial"/>
        </w:rPr>
        <w:t>, ο</w:t>
      </w:r>
      <w:r w:rsidR="00333ED3" w:rsidRPr="008F3B54">
        <w:rPr>
          <w:rFonts w:ascii="Arial" w:hAnsi="Arial" w:cs="Arial"/>
        </w:rPr>
        <w:t xml:space="preserve"> ΟΤΕ πέτυχε ακόμα ένα τρίμηνο αύξησης </w:t>
      </w:r>
      <w:r w:rsidRPr="008F3B54">
        <w:rPr>
          <w:rFonts w:ascii="Arial" w:hAnsi="Arial" w:cs="Arial"/>
        </w:rPr>
        <w:t>των πελατών</w:t>
      </w:r>
      <w:r w:rsidR="00333ED3" w:rsidRPr="008F3B54">
        <w:rPr>
          <w:rFonts w:ascii="Arial" w:hAnsi="Arial" w:cs="Arial"/>
        </w:rPr>
        <w:t xml:space="preserve"> συμβολαί</w:t>
      </w:r>
      <w:r w:rsidRPr="008F3B54">
        <w:rPr>
          <w:rFonts w:ascii="Arial" w:hAnsi="Arial" w:cs="Arial"/>
        </w:rPr>
        <w:t>ου,</w:t>
      </w:r>
      <w:r w:rsidR="00333ED3" w:rsidRPr="008F3B54">
        <w:rPr>
          <w:rFonts w:ascii="Arial" w:hAnsi="Arial" w:cs="Arial"/>
        </w:rPr>
        <w:t xml:space="preserve"> </w:t>
      </w:r>
      <w:r w:rsidR="00DB0DDA" w:rsidRPr="00AD74E4">
        <w:rPr>
          <w:rFonts w:ascii="Arial" w:hAnsi="Arial" w:cs="Arial"/>
        </w:rPr>
        <w:t xml:space="preserve">συνεχίζοντας </w:t>
      </w:r>
      <w:r w:rsidR="009A1F39">
        <w:rPr>
          <w:rFonts w:ascii="Arial" w:hAnsi="Arial" w:cs="Arial"/>
        </w:rPr>
        <w:t>την τάση</w:t>
      </w:r>
      <w:r w:rsidR="00DB0DDA" w:rsidRPr="00AD74E4">
        <w:rPr>
          <w:rFonts w:ascii="Arial" w:hAnsi="Arial" w:cs="Arial"/>
        </w:rPr>
        <w:t xml:space="preserve"> των προηγούμενων τριμήνων.</w:t>
      </w:r>
      <w:r w:rsidR="00AD74E4">
        <w:rPr>
          <w:rFonts w:ascii="Arial" w:hAnsi="Arial" w:cs="Arial"/>
        </w:rPr>
        <w:t xml:space="preserve"> </w:t>
      </w:r>
      <w:r w:rsidR="00C92C10">
        <w:rPr>
          <w:rFonts w:ascii="Arial" w:hAnsi="Arial" w:cs="Arial"/>
        </w:rPr>
        <w:t xml:space="preserve">Η </w:t>
      </w:r>
      <w:proofErr w:type="spellStart"/>
      <w:r w:rsidR="00C92C10" w:rsidRPr="00B92D43">
        <w:rPr>
          <w:rFonts w:ascii="Arial" w:hAnsi="Arial" w:cs="Arial"/>
        </w:rPr>
        <w:t>στοχευμένη</w:t>
      </w:r>
      <w:proofErr w:type="spellEnd"/>
      <w:r w:rsidR="00C92C10" w:rsidRPr="00B92D43">
        <w:rPr>
          <w:rFonts w:ascii="Arial" w:hAnsi="Arial" w:cs="Arial"/>
        </w:rPr>
        <w:t xml:space="preserve"> υλοποίηση της στρατηγικής μετάβασης </w:t>
      </w:r>
      <w:r w:rsidR="00C92C10" w:rsidRPr="001D7A36">
        <w:rPr>
          <w:rFonts w:ascii="Arial" w:hAnsi="Arial" w:cs="Arial"/>
        </w:rPr>
        <w:t>πελατών καρτοκινητής σε υπηρεσίες συμβολαίου</w:t>
      </w:r>
      <w:r w:rsidR="0062226B">
        <w:rPr>
          <w:rFonts w:ascii="Arial" w:hAnsi="Arial" w:cs="Arial"/>
        </w:rPr>
        <w:t xml:space="preserve">, σε </w:t>
      </w:r>
      <w:r w:rsidR="0062226B" w:rsidRPr="0062226B">
        <w:rPr>
          <w:rFonts w:ascii="Arial" w:hAnsi="Arial" w:cs="Arial"/>
        </w:rPr>
        <w:t xml:space="preserve">συνδυασμό με </w:t>
      </w:r>
      <w:r w:rsidR="00107DE2">
        <w:rPr>
          <w:rFonts w:ascii="Arial" w:hAnsi="Arial" w:cs="Arial"/>
        </w:rPr>
        <w:t>τις αναπροσαρμογές στην καρτοκινητή</w:t>
      </w:r>
      <w:r w:rsidR="0062226B" w:rsidRPr="00B92D43">
        <w:rPr>
          <w:rFonts w:ascii="Arial" w:hAnsi="Arial" w:cs="Arial"/>
        </w:rPr>
        <w:t>,</w:t>
      </w:r>
      <w:r w:rsidR="0062226B">
        <w:rPr>
          <w:rFonts w:ascii="Arial" w:hAnsi="Arial" w:cs="Arial"/>
        </w:rPr>
        <w:t xml:space="preserve"> </w:t>
      </w:r>
      <w:r w:rsidR="0062226B" w:rsidRPr="0062226B">
        <w:rPr>
          <w:rFonts w:ascii="Arial" w:hAnsi="Arial" w:cs="Arial"/>
        </w:rPr>
        <w:t>και την αυξανόμενη υιοθέτηση υπηρεσιών υψηλής αξίας και συσκευών 5G, συνεχίζει να αποδίδει καρπούς.</w:t>
      </w:r>
      <w:r w:rsidR="00C92C10" w:rsidRPr="001D7A36">
        <w:rPr>
          <w:rFonts w:ascii="Arial" w:hAnsi="Arial" w:cs="Arial"/>
        </w:rPr>
        <w:t xml:space="preserve"> </w:t>
      </w:r>
      <w:r w:rsidR="00131BA2">
        <w:rPr>
          <w:rFonts w:ascii="Arial" w:hAnsi="Arial" w:cs="Arial"/>
        </w:rPr>
        <w:t xml:space="preserve">Στο τρίμηνο, η εταιρεία προσέλκυσε </w:t>
      </w:r>
      <w:r w:rsidR="0062226B">
        <w:rPr>
          <w:rFonts w:ascii="Arial" w:hAnsi="Arial" w:cs="Arial"/>
        </w:rPr>
        <w:t>57</w:t>
      </w:r>
      <w:r w:rsidR="00131BA2" w:rsidRPr="001D7A36">
        <w:rPr>
          <w:rFonts w:ascii="Arial" w:hAnsi="Arial" w:cs="Arial"/>
        </w:rPr>
        <w:t xml:space="preserve"> χιλιάδες </w:t>
      </w:r>
      <w:r w:rsidR="00131BA2">
        <w:rPr>
          <w:rFonts w:ascii="Arial" w:hAnsi="Arial" w:cs="Arial"/>
        </w:rPr>
        <w:t>πελάτες συμβολαίου</w:t>
      </w:r>
      <w:r w:rsidR="00EA5E20" w:rsidRPr="001D7A36">
        <w:rPr>
          <w:rFonts w:ascii="Arial" w:hAnsi="Arial" w:cs="Arial"/>
        </w:rPr>
        <w:t xml:space="preserve">, αυξάνοντας τη συνδρομητική βάση σε </w:t>
      </w:r>
      <w:r w:rsidR="0062226B">
        <w:rPr>
          <w:rFonts w:ascii="Arial" w:hAnsi="Arial" w:cs="Arial"/>
        </w:rPr>
        <w:t>3</w:t>
      </w:r>
      <w:r w:rsidRPr="001D7A36">
        <w:rPr>
          <w:rFonts w:ascii="Arial" w:hAnsi="Arial" w:cs="Arial"/>
        </w:rPr>
        <w:t xml:space="preserve"> </w:t>
      </w:r>
      <w:r w:rsidR="00EA5E20" w:rsidRPr="001D7A36">
        <w:rPr>
          <w:rFonts w:ascii="Arial" w:hAnsi="Arial" w:cs="Arial"/>
        </w:rPr>
        <w:t xml:space="preserve">εκατ., που αντιστοιχεί σε ετήσια αύξηση </w:t>
      </w:r>
      <w:r w:rsidR="0062226B">
        <w:rPr>
          <w:rFonts w:ascii="Arial" w:hAnsi="Arial" w:cs="Arial"/>
        </w:rPr>
        <w:t>6,4</w:t>
      </w:r>
      <w:r w:rsidR="00EA5E20" w:rsidRPr="001D7A36">
        <w:rPr>
          <w:rFonts w:ascii="Arial" w:hAnsi="Arial" w:cs="Arial"/>
        </w:rPr>
        <w:t xml:space="preserve">%. </w:t>
      </w:r>
      <w:r w:rsidR="00131BA2">
        <w:rPr>
          <w:rFonts w:ascii="Arial" w:hAnsi="Arial" w:cs="Arial"/>
        </w:rPr>
        <w:t xml:space="preserve">Η αύξηση αυτή </w:t>
      </w:r>
      <w:r w:rsidR="00107DE2">
        <w:rPr>
          <w:rFonts w:ascii="Arial" w:hAnsi="Arial" w:cs="Arial"/>
        </w:rPr>
        <w:t>υποστηρίζεται από την υπεροχή του δικτύου</w:t>
      </w:r>
      <w:r w:rsidR="00EA5E20" w:rsidRPr="001D7A36">
        <w:rPr>
          <w:rFonts w:ascii="Arial" w:hAnsi="Arial" w:cs="Arial"/>
        </w:rPr>
        <w:t xml:space="preserve"> και </w:t>
      </w:r>
      <w:r w:rsidR="00107DE2">
        <w:rPr>
          <w:rFonts w:ascii="Arial" w:hAnsi="Arial" w:cs="Arial"/>
        </w:rPr>
        <w:t>τις ελκυστικές</w:t>
      </w:r>
      <w:r w:rsidR="00EA5E20" w:rsidRPr="001D7A36">
        <w:rPr>
          <w:rFonts w:ascii="Arial" w:hAnsi="Arial" w:cs="Arial"/>
        </w:rPr>
        <w:t xml:space="preserve"> υπηρεσίες</w:t>
      </w:r>
      <w:r w:rsidR="00107DE2">
        <w:rPr>
          <w:rFonts w:ascii="Arial" w:hAnsi="Arial" w:cs="Arial"/>
        </w:rPr>
        <w:t>.</w:t>
      </w:r>
      <w:r w:rsidR="00EA5E20" w:rsidRPr="001D7A36">
        <w:rPr>
          <w:rFonts w:ascii="Arial" w:hAnsi="Arial" w:cs="Arial"/>
        </w:rPr>
        <w:t xml:space="preserve"> </w:t>
      </w:r>
      <w:r w:rsidR="00EA5E20" w:rsidRPr="008F3B54">
        <w:rPr>
          <w:rFonts w:ascii="Arial" w:hAnsi="Arial" w:cs="Arial"/>
        </w:rPr>
        <w:t xml:space="preserve">Οι πελάτες καρτοκινητής αντιπροσωπεύουν πλέον το </w:t>
      </w:r>
      <w:r w:rsidR="00015420" w:rsidRPr="008678DA">
        <w:rPr>
          <w:rFonts w:ascii="Arial" w:hAnsi="Arial" w:cs="Arial"/>
        </w:rPr>
        <w:t>5</w:t>
      </w:r>
      <w:r w:rsidR="00D958B4">
        <w:rPr>
          <w:rFonts w:ascii="Arial" w:hAnsi="Arial" w:cs="Arial"/>
        </w:rPr>
        <w:t>8</w:t>
      </w:r>
      <w:r w:rsidR="00EA5E20" w:rsidRPr="008F3B54">
        <w:rPr>
          <w:rFonts w:ascii="Arial" w:hAnsi="Arial" w:cs="Arial"/>
        </w:rPr>
        <w:t xml:space="preserve">% της συνολικής συνδρομητικής βάσης κινητής, </w:t>
      </w:r>
      <w:r w:rsidRPr="008F3B54">
        <w:rPr>
          <w:rFonts w:ascii="Arial" w:hAnsi="Arial" w:cs="Arial"/>
        </w:rPr>
        <w:t>από</w:t>
      </w:r>
      <w:r w:rsidR="00EA5E20" w:rsidRPr="008F3B54">
        <w:rPr>
          <w:rFonts w:ascii="Arial" w:hAnsi="Arial" w:cs="Arial"/>
        </w:rPr>
        <w:t xml:space="preserve"> 6</w:t>
      </w:r>
      <w:r w:rsidR="00B92D43">
        <w:rPr>
          <w:rFonts w:ascii="Arial" w:hAnsi="Arial" w:cs="Arial"/>
        </w:rPr>
        <w:t>1</w:t>
      </w:r>
      <w:r w:rsidR="00EA5E20" w:rsidRPr="008F3B54">
        <w:rPr>
          <w:rFonts w:ascii="Arial" w:hAnsi="Arial" w:cs="Arial"/>
        </w:rPr>
        <w:t>% ένα χρόνο πριν</w:t>
      </w:r>
      <w:r w:rsidR="008F3B54" w:rsidRPr="008F3B54">
        <w:rPr>
          <w:rFonts w:ascii="Arial" w:hAnsi="Arial" w:cs="Arial"/>
        </w:rPr>
        <w:t>,</w:t>
      </w:r>
      <w:r w:rsidR="008F3B54">
        <w:rPr>
          <w:rFonts w:ascii="Arial" w:hAnsi="Arial" w:cs="Arial"/>
        </w:rPr>
        <w:t xml:space="preserve"> </w:t>
      </w:r>
      <w:r w:rsidR="00225DF7">
        <w:rPr>
          <w:rFonts w:ascii="Arial" w:hAnsi="Arial" w:cs="Arial"/>
        </w:rPr>
        <w:t xml:space="preserve">γεγονός που καταδεικνύει ότι υπάρχει περιθώριο </w:t>
      </w:r>
      <w:r w:rsidR="008F3B54">
        <w:rPr>
          <w:rFonts w:ascii="Arial" w:hAnsi="Arial" w:cs="Arial"/>
        </w:rPr>
        <w:t>για περ</w:t>
      </w:r>
      <w:r w:rsidR="00225DF7">
        <w:rPr>
          <w:rFonts w:ascii="Arial" w:hAnsi="Arial" w:cs="Arial"/>
        </w:rPr>
        <w:t>αιτέ</w:t>
      </w:r>
      <w:r w:rsidR="008F3B54">
        <w:rPr>
          <w:rFonts w:ascii="Arial" w:hAnsi="Arial" w:cs="Arial"/>
        </w:rPr>
        <w:t>ρω αναβαθμίσεις</w:t>
      </w:r>
      <w:r w:rsidR="00225DF7">
        <w:rPr>
          <w:rFonts w:ascii="Arial" w:hAnsi="Arial" w:cs="Arial"/>
        </w:rPr>
        <w:t xml:space="preserve"> σε συμβόλαια</w:t>
      </w:r>
      <w:r w:rsidR="008F3B54">
        <w:rPr>
          <w:rFonts w:ascii="Arial" w:hAnsi="Arial" w:cs="Arial"/>
        </w:rPr>
        <w:t>.</w:t>
      </w:r>
      <w:r w:rsidR="00225DF7">
        <w:rPr>
          <w:rFonts w:ascii="Arial" w:hAnsi="Arial" w:cs="Arial"/>
          <w:szCs w:val="20"/>
        </w:rPr>
        <w:t xml:space="preserve"> </w:t>
      </w:r>
    </w:p>
    <w:p w14:paraId="513A016E" w14:textId="7B8E5861" w:rsidR="00496DE3" w:rsidRPr="00496DE3" w:rsidRDefault="00496DE3" w:rsidP="00496DE3">
      <w:pPr>
        <w:spacing w:line="280" w:lineRule="exact"/>
        <w:jc w:val="both"/>
        <w:rPr>
          <w:rFonts w:ascii="Arial" w:hAnsi="Arial" w:cs="Arial"/>
          <w:szCs w:val="20"/>
        </w:rPr>
      </w:pPr>
      <w:r w:rsidRPr="00496DE3">
        <w:rPr>
          <w:rFonts w:ascii="Arial" w:hAnsi="Arial" w:cs="Arial"/>
        </w:rPr>
        <w:t>Συνεπής με την δέσμευσ</w:t>
      </w:r>
      <w:r w:rsidR="00050990">
        <w:rPr>
          <w:rFonts w:ascii="Arial" w:hAnsi="Arial" w:cs="Arial"/>
        </w:rPr>
        <w:t>ή</w:t>
      </w:r>
      <w:r w:rsidRPr="00496DE3">
        <w:rPr>
          <w:rFonts w:ascii="Arial" w:hAnsi="Arial" w:cs="Arial"/>
        </w:rPr>
        <w:t xml:space="preserve"> του</w:t>
      </w:r>
      <w:r w:rsidRPr="00496DE3" w:rsidDel="00850CDE">
        <w:rPr>
          <w:rFonts w:ascii="Arial" w:hAnsi="Arial" w:cs="Arial"/>
        </w:rPr>
        <w:t xml:space="preserve"> </w:t>
      </w:r>
      <w:r w:rsidR="00850CDE">
        <w:rPr>
          <w:rFonts w:ascii="Arial" w:hAnsi="Arial" w:cs="Arial"/>
        </w:rPr>
        <w:t>για</w:t>
      </w:r>
      <w:r w:rsidR="00850CDE" w:rsidRPr="00496DE3">
        <w:rPr>
          <w:rFonts w:ascii="Arial" w:hAnsi="Arial" w:cs="Arial"/>
        </w:rPr>
        <w:t xml:space="preserve"> </w:t>
      </w:r>
      <w:r w:rsidRPr="00496DE3">
        <w:rPr>
          <w:rFonts w:ascii="Arial" w:hAnsi="Arial" w:cs="Arial"/>
        </w:rPr>
        <w:t>διατήρηση της ηγετικής του θέσης στην αγορά, ο ΟΤΕ επενδύει ενεργά στην επέκταση και την αναβάθμιση του δικτύου κινητής τηλεφωνίας.</w:t>
      </w:r>
      <w:r w:rsidR="0038786E" w:rsidRPr="00496DE3">
        <w:rPr>
          <w:rFonts w:ascii="Arial" w:hAnsi="Arial" w:cs="Arial"/>
        </w:rPr>
        <w:t xml:space="preserve"> </w:t>
      </w:r>
      <w:r w:rsidR="00AA5B5F" w:rsidRPr="00496DE3">
        <w:rPr>
          <w:rFonts w:ascii="Arial" w:hAnsi="Arial" w:cs="Arial"/>
        </w:rPr>
        <w:t xml:space="preserve">Η αξιοπιστία </w:t>
      </w:r>
      <w:r w:rsidR="00D44001" w:rsidRPr="00496DE3">
        <w:rPr>
          <w:rFonts w:ascii="Arial" w:hAnsi="Arial" w:cs="Arial"/>
        </w:rPr>
        <w:t xml:space="preserve">και ισχύς </w:t>
      </w:r>
      <w:r w:rsidR="00AA5B5F" w:rsidRPr="00496DE3">
        <w:rPr>
          <w:rFonts w:ascii="Arial" w:hAnsi="Arial" w:cs="Arial"/>
        </w:rPr>
        <w:t xml:space="preserve">του δικτύου </w:t>
      </w:r>
      <w:r w:rsidR="006C413A">
        <w:rPr>
          <w:rFonts w:ascii="Arial" w:hAnsi="Arial" w:cs="Arial"/>
        </w:rPr>
        <w:t>του</w:t>
      </w:r>
      <w:r w:rsidR="006C413A" w:rsidRPr="00496DE3">
        <w:rPr>
          <w:rFonts w:ascii="Arial" w:hAnsi="Arial" w:cs="Arial"/>
        </w:rPr>
        <w:t xml:space="preserve"> </w:t>
      </w:r>
      <w:r w:rsidR="00AA5B5F" w:rsidRPr="00496DE3">
        <w:rPr>
          <w:rFonts w:ascii="Arial" w:hAnsi="Arial" w:cs="Arial"/>
        </w:rPr>
        <w:t xml:space="preserve">όχι μόνο ενισχύουν την πορεία μακροπρόθεσμης ανάπτυξής </w:t>
      </w:r>
      <w:r w:rsidR="006C413A">
        <w:rPr>
          <w:rFonts w:ascii="Arial" w:hAnsi="Arial" w:cs="Arial"/>
        </w:rPr>
        <w:t>του</w:t>
      </w:r>
      <w:r w:rsidR="00AA5B5F" w:rsidRPr="00496DE3">
        <w:rPr>
          <w:rFonts w:ascii="Arial" w:hAnsi="Arial" w:cs="Arial"/>
        </w:rPr>
        <w:t>, αλλά και αποδεικνύουν τη δέσμευσ</w:t>
      </w:r>
      <w:r w:rsidR="006C413A">
        <w:rPr>
          <w:rFonts w:ascii="Arial" w:hAnsi="Arial" w:cs="Arial"/>
        </w:rPr>
        <w:t>η</w:t>
      </w:r>
      <w:r w:rsidR="00AA5B5F" w:rsidRPr="00496DE3">
        <w:rPr>
          <w:rFonts w:ascii="Arial" w:hAnsi="Arial" w:cs="Arial"/>
        </w:rPr>
        <w:t xml:space="preserve"> της </w:t>
      </w:r>
      <w:r w:rsidR="006C413A">
        <w:rPr>
          <w:rFonts w:ascii="Arial" w:hAnsi="Arial" w:cs="Arial"/>
        </w:rPr>
        <w:t xml:space="preserve">εταιρείας </w:t>
      </w:r>
      <w:r w:rsidR="00AA5B5F" w:rsidRPr="00496DE3">
        <w:rPr>
          <w:rFonts w:ascii="Arial" w:hAnsi="Arial" w:cs="Arial"/>
        </w:rPr>
        <w:t xml:space="preserve">να προσφέρει άριστη εμπειρία πελάτη μέσω της καινοτομίας και της </w:t>
      </w:r>
      <w:proofErr w:type="spellStart"/>
      <w:r w:rsidR="00AA5B5F" w:rsidRPr="00496DE3">
        <w:rPr>
          <w:rFonts w:ascii="Arial" w:hAnsi="Arial" w:cs="Arial"/>
        </w:rPr>
        <w:t>πελατοκεντρικής</w:t>
      </w:r>
      <w:proofErr w:type="spellEnd"/>
      <w:r w:rsidR="00AA5B5F" w:rsidRPr="00496DE3">
        <w:rPr>
          <w:rFonts w:ascii="Arial" w:hAnsi="Arial" w:cs="Arial"/>
        </w:rPr>
        <w:t xml:space="preserve"> προσέγγισης. </w:t>
      </w:r>
      <w:r w:rsidR="0038786E" w:rsidRPr="00496DE3">
        <w:rPr>
          <w:rFonts w:ascii="Arial" w:hAnsi="Arial" w:cs="Arial"/>
        </w:rPr>
        <w:t xml:space="preserve">Η </w:t>
      </w:r>
      <w:r w:rsidR="0038786E" w:rsidRPr="005453F5">
        <w:rPr>
          <w:rFonts w:ascii="Arial" w:hAnsi="Arial" w:cs="Arial"/>
        </w:rPr>
        <w:t>πληθυσμιακή κάλυψη του</w:t>
      </w:r>
      <w:hyperlink r:id="rId12" w:history="1">
        <w:r w:rsidR="00A602C0" w:rsidRPr="005453F5">
          <w:rPr>
            <w:rFonts w:ascii="Arial" w:hAnsi="Arial" w:cs="Arial"/>
          </w:rPr>
          <w:t xml:space="preserve"> δικτύου </w:t>
        </w:r>
        <w:r w:rsidR="00297B7E" w:rsidRPr="005453F5">
          <w:rPr>
            <w:rFonts w:ascii="Arial" w:hAnsi="Arial" w:cs="Arial"/>
          </w:rPr>
          <w:t>5</w:t>
        </w:r>
        <w:r w:rsidR="00297B7E" w:rsidRPr="00644126">
          <w:rPr>
            <w:rFonts w:ascii="Arial" w:hAnsi="Arial" w:cs="Arial"/>
          </w:rPr>
          <w:t>G</w:t>
        </w:r>
      </w:hyperlink>
      <w:r w:rsidR="0038786E" w:rsidRPr="005453F5">
        <w:rPr>
          <w:rFonts w:ascii="Arial" w:hAnsi="Arial" w:cs="Arial"/>
        </w:rPr>
        <w:t xml:space="preserve"> </w:t>
      </w:r>
      <w:r w:rsidR="00970C50">
        <w:rPr>
          <w:rFonts w:ascii="Arial" w:hAnsi="Arial" w:cs="Arial"/>
        </w:rPr>
        <w:t>ξεπερνά</w:t>
      </w:r>
      <w:r w:rsidR="005453F5" w:rsidRPr="005453F5">
        <w:rPr>
          <w:rFonts w:ascii="Arial" w:hAnsi="Arial" w:cs="Arial"/>
        </w:rPr>
        <w:t xml:space="preserve"> </w:t>
      </w:r>
      <w:r w:rsidR="0038786E" w:rsidRPr="005453F5">
        <w:rPr>
          <w:rFonts w:ascii="Arial" w:hAnsi="Arial" w:cs="Arial"/>
        </w:rPr>
        <w:t xml:space="preserve">το 99%, ενώ </w:t>
      </w:r>
      <w:r w:rsidR="00131BA2">
        <w:rPr>
          <w:rFonts w:ascii="Arial" w:hAnsi="Arial" w:cs="Arial"/>
        </w:rPr>
        <w:t>του</w:t>
      </w:r>
      <w:r w:rsidR="00131BA2" w:rsidRPr="005453F5">
        <w:rPr>
          <w:rFonts w:ascii="Arial" w:hAnsi="Arial" w:cs="Arial"/>
        </w:rPr>
        <w:t xml:space="preserve"> </w:t>
      </w:r>
      <w:r w:rsidR="006B3777" w:rsidRPr="005453F5">
        <w:rPr>
          <w:rFonts w:ascii="Arial" w:hAnsi="Arial" w:cs="Arial"/>
        </w:rPr>
        <w:t>δ</w:t>
      </w:r>
      <w:r w:rsidR="00131BA2">
        <w:rPr>
          <w:rFonts w:ascii="Arial" w:hAnsi="Arial" w:cs="Arial"/>
        </w:rPr>
        <w:t>ικτύου</w:t>
      </w:r>
      <w:r w:rsidR="006B3777" w:rsidRPr="005453F5">
        <w:rPr>
          <w:rFonts w:ascii="Arial" w:hAnsi="Arial" w:cs="Arial"/>
        </w:rPr>
        <w:t xml:space="preserve"> </w:t>
      </w:r>
      <w:r w:rsidR="0038786E" w:rsidRPr="005453F5">
        <w:rPr>
          <w:rFonts w:ascii="Arial" w:hAnsi="Arial" w:cs="Arial"/>
        </w:rPr>
        <w:t>5</w:t>
      </w:r>
      <w:r w:rsidR="0038786E" w:rsidRPr="00644126">
        <w:rPr>
          <w:rFonts w:ascii="Arial" w:hAnsi="Arial" w:cs="Arial"/>
        </w:rPr>
        <w:t>G</w:t>
      </w:r>
      <w:r w:rsidR="0038786E" w:rsidRPr="005453F5">
        <w:rPr>
          <w:rFonts w:ascii="Arial" w:hAnsi="Arial" w:cs="Arial"/>
        </w:rPr>
        <w:t>+</w:t>
      </w:r>
      <w:r w:rsidR="00585AC3">
        <w:rPr>
          <w:rFonts w:ascii="Arial" w:hAnsi="Arial" w:cs="Arial"/>
        </w:rPr>
        <w:t xml:space="preserve"> </w:t>
      </w:r>
      <w:r w:rsidR="006B3777" w:rsidRPr="005453F5">
        <w:rPr>
          <w:rFonts w:ascii="Arial" w:hAnsi="Arial" w:cs="Arial"/>
        </w:rPr>
        <w:t>(5</w:t>
      </w:r>
      <w:r w:rsidR="006B3777" w:rsidRPr="00644126">
        <w:rPr>
          <w:rFonts w:ascii="Arial" w:hAnsi="Arial" w:cs="Arial"/>
        </w:rPr>
        <w:t>G</w:t>
      </w:r>
      <w:r w:rsidR="006B3777" w:rsidRPr="005453F5">
        <w:rPr>
          <w:rFonts w:ascii="Arial" w:hAnsi="Arial" w:cs="Arial"/>
        </w:rPr>
        <w:t xml:space="preserve"> </w:t>
      </w:r>
      <w:proofErr w:type="spellStart"/>
      <w:r w:rsidR="006B3777" w:rsidRPr="00644126">
        <w:rPr>
          <w:rFonts w:ascii="Arial" w:hAnsi="Arial" w:cs="Arial"/>
        </w:rPr>
        <w:t>Stand</w:t>
      </w:r>
      <w:r w:rsidR="006B3777" w:rsidRPr="005453F5">
        <w:rPr>
          <w:rFonts w:ascii="Arial" w:hAnsi="Arial" w:cs="Arial"/>
        </w:rPr>
        <w:t>-</w:t>
      </w:r>
      <w:r w:rsidR="006B3777" w:rsidRPr="00644126">
        <w:rPr>
          <w:rFonts w:ascii="Arial" w:hAnsi="Arial" w:cs="Arial"/>
        </w:rPr>
        <w:t>Alone</w:t>
      </w:r>
      <w:proofErr w:type="spellEnd"/>
      <w:r w:rsidR="006B3777" w:rsidRPr="003E43DD">
        <w:rPr>
          <w:rFonts w:ascii="Arial" w:hAnsi="Arial" w:cs="Arial"/>
          <w:szCs w:val="20"/>
        </w:rPr>
        <w:t xml:space="preserve">) το </w:t>
      </w:r>
      <w:r w:rsidR="00E6762B" w:rsidRPr="003E43DD">
        <w:rPr>
          <w:rFonts w:ascii="Arial" w:hAnsi="Arial" w:cs="Arial"/>
          <w:szCs w:val="20"/>
        </w:rPr>
        <w:t>7</w:t>
      </w:r>
      <w:r w:rsidR="009F4D1F">
        <w:rPr>
          <w:rFonts w:ascii="Arial" w:hAnsi="Arial" w:cs="Arial"/>
          <w:szCs w:val="20"/>
        </w:rPr>
        <w:t>5</w:t>
      </w:r>
      <w:r w:rsidR="006B3777" w:rsidRPr="003E43DD">
        <w:rPr>
          <w:rFonts w:ascii="Arial" w:hAnsi="Arial" w:cs="Arial"/>
          <w:szCs w:val="20"/>
        </w:rPr>
        <w:t xml:space="preserve">%. </w:t>
      </w:r>
      <w:r w:rsidR="00544075" w:rsidRPr="003E43DD">
        <w:rPr>
          <w:rFonts w:ascii="Arial" w:hAnsi="Arial" w:cs="Arial"/>
          <w:szCs w:val="20"/>
        </w:rPr>
        <w:t>Τ</w:t>
      </w:r>
      <w:r w:rsidR="00913F31">
        <w:rPr>
          <w:rFonts w:ascii="Arial" w:hAnsi="Arial" w:cs="Arial"/>
          <w:szCs w:val="20"/>
        </w:rPr>
        <w:t>α</w:t>
      </w:r>
      <w:r w:rsidR="00544075" w:rsidRPr="003E43DD">
        <w:rPr>
          <w:rFonts w:ascii="Arial" w:hAnsi="Arial" w:cs="Arial"/>
          <w:szCs w:val="20"/>
        </w:rPr>
        <w:t xml:space="preserve"> </w:t>
      </w:r>
      <w:proofErr w:type="spellStart"/>
      <w:r w:rsidR="00913F31">
        <w:rPr>
          <w:rFonts w:ascii="Arial" w:hAnsi="Arial" w:cs="Arial"/>
          <w:szCs w:val="20"/>
        </w:rPr>
        <w:t>δικτυα</w:t>
      </w:r>
      <w:proofErr w:type="spellEnd"/>
      <w:r w:rsidR="00544075" w:rsidRPr="003E43DD" w:rsidDel="0002267D">
        <w:rPr>
          <w:rFonts w:ascii="Arial" w:hAnsi="Arial" w:cs="Arial"/>
          <w:szCs w:val="20"/>
        </w:rPr>
        <w:t xml:space="preserve"> </w:t>
      </w:r>
      <w:r w:rsidR="00544075" w:rsidRPr="003E43DD">
        <w:rPr>
          <w:rFonts w:ascii="Arial" w:hAnsi="Arial" w:cs="Arial"/>
          <w:szCs w:val="20"/>
        </w:rPr>
        <w:t xml:space="preserve">5G </w:t>
      </w:r>
      <w:r w:rsidR="00913F31">
        <w:rPr>
          <w:rFonts w:ascii="Arial" w:hAnsi="Arial" w:cs="Arial"/>
          <w:szCs w:val="20"/>
        </w:rPr>
        <w:t>και 5</w:t>
      </w:r>
      <w:r w:rsidR="00913F31">
        <w:rPr>
          <w:rFonts w:ascii="Arial" w:hAnsi="Arial" w:cs="Arial"/>
          <w:szCs w:val="20"/>
          <w:lang w:val="en-US"/>
        </w:rPr>
        <w:t>g</w:t>
      </w:r>
      <w:r w:rsidR="00913F31" w:rsidRPr="00913F31">
        <w:rPr>
          <w:rFonts w:ascii="Arial" w:hAnsi="Arial" w:cs="Arial"/>
          <w:szCs w:val="20"/>
        </w:rPr>
        <w:t xml:space="preserve"> </w:t>
      </w:r>
      <w:proofErr w:type="spellStart"/>
      <w:r w:rsidR="00544075" w:rsidRPr="003E43DD">
        <w:rPr>
          <w:rFonts w:ascii="Arial" w:hAnsi="Arial" w:cs="Arial"/>
          <w:szCs w:val="20"/>
        </w:rPr>
        <w:t>Stand-Alone</w:t>
      </w:r>
      <w:proofErr w:type="spellEnd"/>
      <w:r w:rsidR="00544075" w:rsidRPr="003E43DD">
        <w:rPr>
          <w:rFonts w:ascii="Arial" w:hAnsi="Arial" w:cs="Arial"/>
          <w:szCs w:val="20"/>
        </w:rPr>
        <w:t xml:space="preserve"> (SA) </w:t>
      </w:r>
      <w:r w:rsidR="00C406AD" w:rsidRPr="003E43DD">
        <w:rPr>
          <w:rFonts w:ascii="Arial" w:hAnsi="Arial" w:cs="Arial"/>
          <w:szCs w:val="20"/>
        </w:rPr>
        <w:t>θα ενισχύσ</w:t>
      </w:r>
      <w:r w:rsidR="00913F31">
        <w:rPr>
          <w:rFonts w:ascii="Arial" w:hAnsi="Arial" w:cs="Arial"/>
          <w:szCs w:val="20"/>
        </w:rPr>
        <w:t>ουν</w:t>
      </w:r>
      <w:r w:rsidR="00C406AD" w:rsidRPr="003E43DD">
        <w:rPr>
          <w:rFonts w:ascii="Arial" w:hAnsi="Arial" w:cs="Arial"/>
          <w:szCs w:val="20"/>
        </w:rPr>
        <w:t xml:space="preserve"> περαιτέρω την εμπειρία πελάτη, παρέχοντας</w:t>
      </w:r>
      <w:r w:rsidR="00544075" w:rsidRPr="005453F5">
        <w:rPr>
          <w:rFonts w:ascii="Arial" w:hAnsi="Arial" w:cs="Arial"/>
        </w:rPr>
        <w:t xml:space="preserve"> ακόμα </w:t>
      </w:r>
      <w:r w:rsidR="00544075" w:rsidRPr="001B3E1F">
        <w:rPr>
          <w:rFonts w:ascii="Arial" w:hAnsi="Arial" w:cs="Arial"/>
          <w:szCs w:val="20"/>
        </w:rPr>
        <w:t>υψηλότερη</w:t>
      </w:r>
      <w:r w:rsidR="00544075" w:rsidRPr="005453F5">
        <w:rPr>
          <w:rFonts w:ascii="Arial" w:hAnsi="Arial" w:cs="Arial"/>
        </w:rPr>
        <w:t xml:space="preserve"> ταχύτητα </w:t>
      </w:r>
      <w:proofErr w:type="spellStart"/>
      <w:r w:rsidR="00544075" w:rsidRPr="00C05ECB">
        <w:rPr>
          <w:rFonts w:ascii="Arial" w:hAnsi="Arial" w:cs="Arial"/>
        </w:rPr>
        <w:t>download</w:t>
      </w:r>
      <w:proofErr w:type="spellEnd"/>
      <w:r w:rsidR="00544075" w:rsidRPr="005453F5">
        <w:rPr>
          <w:rFonts w:ascii="Arial" w:hAnsi="Arial" w:cs="Arial"/>
        </w:rPr>
        <w:t xml:space="preserve"> και </w:t>
      </w:r>
      <w:proofErr w:type="spellStart"/>
      <w:r w:rsidR="00544075" w:rsidRPr="00C05ECB">
        <w:rPr>
          <w:rFonts w:ascii="Arial" w:hAnsi="Arial" w:cs="Arial"/>
        </w:rPr>
        <w:t>upload</w:t>
      </w:r>
      <w:proofErr w:type="spellEnd"/>
      <w:r w:rsidR="00544075" w:rsidRPr="005453F5">
        <w:rPr>
          <w:rFonts w:ascii="Arial" w:hAnsi="Arial" w:cs="Arial"/>
        </w:rPr>
        <w:t xml:space="preserve">, εξαιρετικά χαμηλή </w:t>
      </w:r>
      <w:r w:rsidR="00544075" w:rsidRPr="004235F6">
        <w:rPr>
          <w:rFonts w:ascii="Arial" w:hAnsi="Arial" w:cs="Arial"/>
          <w:szCs w:val="20"/>
        </w:rPr>
        <w:t>απόκριση (</w:t>
      </w:r>
      <w:proofErr w:type="spellStart"/>
      <w:r w:rsidR="00544075" w:rsidRPr="004235F6">
        <w:rPr>
          <w:rFonts w:ascii="Arial" w:hAnsi="Arial" w:cs="Arial"/>
          <w:szCs w:val="20"/>
        </w:rPr>
        <w:t>latency</w:t>
      </w:r>
      <w:proofErr w:type="spellEnd"/>
      <w:r w:rsidR="00544075" w:rsidRPr="004235F6">
        <w:rPr>
          <w:rFonts w:ascii="Arial" w:hAnsi="Arial" w:cs="Arial"/>
          <w:szCs w:val="20"/>
        </w:rPr>
        <w:t>),</w:t>
      </w:r>
      <w:r w:rsidR="00585AC3" w:rsidRPr="004235F6">
        <w:rPr>
          <w:rFonts w:ascii="Arial" w:hAnsi="Arial" w:cs="Arial"/>
          <w:szCs w:val="20"/>
        </w:rPr>
        <w:t xml:space="preserve"> και</w:t>
      </w:r>
      <w:r w:rsidR="00544075" w:rsidRPr="004235F6">
        <w:rPr>
          <w:rFonts w:ascii="Arial" w:hAnsi="Arial" w:cs="Arial"/>
          <w:szCs w:val="20"/>
        </w:rPr>
        <w:t xml:space="preserve"> βελτιωμένη κάλυψη σε κλειστούς χώρους.</w:t>
      </w:r>
      <w:r w:rsidR="000934F9" w:rsidRPr="004235F6">
        <w:rPr>
          <w:rFonts w:ascii="Arial" w:hAnsi="Arial" w:cs="Arial"/>
          <w:szCs w:val="20"/>
        </w:rPr>
        <w:t xml:space="preserve"> </w:t>
      </w:r>
      <w:r w:rsidR="007103C7" w:rsidRPr="004235F6">
        <w:rPr>
          <w:rFonts w:ascii="Arial" w:hAnsi="Arial" w:cs="Arial"/>
          <w:szCs w:val="20"/>
        </w:rPr>
        <w:t>Ο</w:t>
      </w:r>
      <w:r w:rsidR="000934F9" w:rsidRPr="004235F6">
        <w:rPr>
          <w:rFonts w:ascii="Arial" w:hAnsi="Arial" w:cs="Arial"/>
          <w:szCs w:val="20"/>
        </w:rPr>
        <w:t xml:space="preserve"> </w:t>
      </w:r>
      <w:r w:rsidR="0030792C" w:rsidRPr="004235F6">
        <w:rPr>
          <w:rFonts w:ascii="Arial" w:hAnsi="Arial" w:cs="Arial"/>
          <w:szCs w:val="20"/>
        </w:rPr>
        <w:t xml:space="preserve">ΟΤΕ παραμένει ο μοναδικός </w:t>
      </w:r>
      <w:proofErr w:type="spellStart"/>
      <w:r w:rsidR="0030792C" w:rsidRPr="004235F6">
        <w:rPr>
          <w:rFonts w:ascii="Arial" w:hAnsi="Arial" w:cs="Arial"/>
          <w:szCs w:val="20"/>
        </w:rPr>
        <w:t>πάροχος</w:t>
      </w:r>
      <w:proofErr w:type="spellEnd"/>
      <w:r w:rsidR="0030792C" w:rsidRPr="004235F6">
        <w:rPr>
          <w:rFonts w:ascii="Arial" w:hAnsi="Arial" w:cs="Arial"/>
          <w:szCs w:val="20"/>
        </w:rPr>
        <w:t xml:space="preserve"> στην Ελλάδα </w:t>
      </w:r>
      <w:r w:rsidR="005D77D9">
        <w:rPr>
          <w:rFonts w:ascii="Arial" w:hAnsi="Arial" w:cs="Arial"/>
          <w:szCs w:val="20"/>
        </w:rPr>
        <w:t xml:space="preserve">που διαθέτει εμπορικά </w:t>
      </w:r>
      <w:r w:rsidR="0030792C" w:rsidRPr="004235F6">
        <w:rPr>
          <w:rFonts w:ascii="Arial" w:hAnsi="Arial" w:cs="Arial"/>
          <w:szCs w:val="20"/>
        </w:rPr>
        <w:t xml:space="preserve"> δίκτυο</w:t>
      </w:r>
      <w:r w:rsidR="004235F6" w:rsidRPr="004235F6">
        <w:rPr>
          <w:rFonts w:ascii="Arial" w:hAnsi="Arial" w:cs="Arial"/>
          <w:szCs w:val="20"/>
        </w:rPr>
        <w:t xml:space="preserve"> 5G </w:t>
      </w:r>
      <w:proofErr w:type="spellStart"/>
      <w:r w:rsidR="004235F6" w:rsidRPr="004235F6">
        <w:rPr>
          <w:rFonts w:ascii="Arial" w:hAnsi="Arial" w:cs="Arial"/>
          <w:szCs w:val="20"/>
        </w:rPr>
        <w:t>Stand-Alone</w:t>
      </w:r>
      <w:proofErr w:type="spellEnd"/>
      <w:r w:rsidR="0030792C" w:rsidRPr="004235F6">
        <w:rPr>
          <w:rFonts w:ascii="Arial" w:hAnsi="Arial" w:cs="Arial"/>
          <w:szCs w:val="20"/>
        </w:rPr>
        <w:t>,</w:t>
      </w:r>
      <w:r w:rsidR="000A77A0" w:rsidRPr="004235F6">
        <w:rPr>
          <w:rFonts w:ascii="Arial" w:hAnsi="Arial" w:cs="Arial"/>
          <w:szCs w:val="20"/>
        </w:rPr>
        <w:t xml:space="preserve"> </w:t>
      </w:r>
      <w:r w:rsidR="0030792C" w:rsidRPr="004235F6">
        <w:rPr>
          <w:rFonts w:ascii="Arial" w:hAnsi="Arial" w:cs="Arial"/>
          <w:szCs w:val="20"/>
        </w:rPr>
        <w:t>υπογραμμίζοντας τον ρόλο του ως πρωτοπόρου στην παροχή προηγμέν</w:t>
      </w:r>
      <w:r w:rsidR="00131BA2">
        <w:rPr>
          <w:rFonts w:ascii="Arial" w:hAnsi="Arial" w:cs="Arial"/>
          <w:szCs w:val="20"/>
        </w:rPr>
        <w:t>ης</w:t>
      </w:r>
      <w:r w:rsidR="0030792C" w:rsidRPr="004235F6">
        <w:rPr>
          <w:rFonts w:ascii="Arial" w:hAnsi="Arial" w:cs="Arial"/>
          <w:szCs w:val="20"/>
        </w:rPr>
        <w:t xml:space="preserve"> συνδεσιμότητας.</w:t>
      </w:r>
      <w:r w:rsidR="00EB1178" w:rsidRPr="004235F6">
        <w:rPr>
          <w:rFonts w:ascii="Arial" w:hAnsi="Arial" w:cs="Arial"/>
          <w:szCs w:val="20"/>
        </w:rPr>
        <w:t xml:space="preserve"> </w:t>
      </w:r>
      <w:r w:rsidRPr="00496DE3">
        <w:rPr>
          <w:rFonts w:ascii="Arial" w:hAnsi="Arial" w:cs="Arial"/>
        </w:rPr>
        <w:t xml:space="preserve"> </w:t>
      </w:r>
    </w:p>
    <w:p w14:paraId="7D30D969" w14:textId="77777777" w:rsidR="00496DE3" w:rsidRPr="003E218F" w:rsidRDefault="00496DE3" w:rsidP="005376F7">
      <w:pPr>
        <w:pStyle w:val="Tittle2"/>
        <w:rPr>
          <w:rFonts w:cs="Arial"/>
          <w:lang w:val="el-GR"/>
        </w:rPr>
      </w:pPr>
    </w:p>
    <w:p w14:paraId="522D30E6" w14:textId="77777777" w:rsidR="00182978" w:rsidRPr="003E218F" w:rsidRDefault="00182978" w:rsidP="005376F7">
      <w:pPr>
        <w:pStyle w:val="Tittle2"/>
        <w:rPr>
          <w:rFonts w:cs="Arial"/>
          <w:lang w:val="el-GR"/>
        </w:rPr>
      </w:pPr>
    </w:p>
    <w:p w14:paraId="32069F55" w14:textId="77777777" w:rsidR="00182978" w:rsidRPr="003E218F" w:rsidRDefault="00182978" w:rsidP="005376F7">
      <w:pPr>
        <w:pStyle w:val="Tittle2"/>
        <w:rPr>
          <w:rFonts w:cs="Arial"/>
          <w:lang w:val="el-GR"/>
        </w:rPr>
      </w:pPr>
    </w:p>
    <w:p w14:paraId="08F214AD" w14:textId="77777777" w:rsidR="00182978" w:rsidRPr="003E218F" w:rsidRDefault="00182978" w:rsidP="005376F7">
      <w:pPr>
        <w:pStyle w:val="Tittle2"/>
        <w:rPr>
          <w:rFonts w:cs="Arial"/>
          <w:lang w:val="el-GR"/>
        </w:rPr>
      </w:pPr>
    </w:p>
    <w:p w14:paraId="1AA17411" w14:textId="77777777" w:rsidR="00912C18" w:rsidRPr="009E0957" w:rsidRDefault="00912C18" w:rsidP="005376F7">
      <w:pPr>
        <w:pStyle w:val="Tittle2"/>
        <w:rPr>
          <w:rFonts w:cs="Arial"/>
          <w:lang w:val="el-GR"/>
        </w:rPr>
      </w:pPr>
    </w:p>
    <w:p w14:paraId="2ACD0706" w14:textId="77777777" w:rsidR="009E0957" w:rsidRPr="009E0957" w:rsidRDefault="009E0957" w:rsidP="005376F7">
      <w:pPr>
        <w:pStyle w:val="Tittle2"/>
        <w:rPr>
          <w:rFonts w:cs="Arial"/>
          <w:lang w:val="el-GR"/>
        </w:rPr>
      </w:pPr>
    </w:p>
    <w:p w14:paraId="28F1902D" w14:textId="77777777" w:rsidR="009E0957" w:rsidRPr="009E0957" w:rsidRDefault="009E0957" w:rsidP="005376F7">
      <w:pPr>
        <w:pStyle w:val="Tittle2"/>
        <w:rPr>
          <w:rFonts w:cs="Arial"/>
          <w:lang w:val="el-GR"/>
        </w:rPr>
      </w:pPr>
    </w:p>
    <w:p w14:paraId="42BFD905" w14:textId="77777777" w:rsidR="009E0957" w:rsidRPr="009E0957" w:rsidRDefault="009E0957" w:rsidP="005376F7">
      <w:pPr>
        <w:pStyle w:val="Tittle2"/>
        <w:rPr>
          <w:rFonts w:cs="Arial"/>
          <w:lang w:val="el-GR"/>
        </w:rPr>
      </w:pPr>
    </w:p>
    <w:p w14:paraId="5A40F189" w14:textId="77777777" w:rsidR="00912C18" w:rsidRPr="003E218F" w:rsidRDefault="00912C18" w:rsidP="005376F7">
      <w:pPr>
        <w:pStyle w:val="Tittle2"/>
        <w:rPr>
          <w:rFonts w:cs="Arial"/>
          <w:lang w:val="el-GR"/>
        </w:rPr>
      </w:pPr>
    </w:p>
    <w:p w14:paraId="0D43526B" w14:textId="77777777" w:rsidR="00912C18" w:rsidRPr="003E218F" w:rsidRDefault="00912C18" w:rsidP="005376F7">
      <w:pPr>
        <w:pStyle w:val="Tittle2"/>
        <w:rPr>
          <w:rFonts w:cs="Arial"/>
          <w:lang w:val="el-GR"/>
        </w:rPr>
      </w:pPr>
    </w:p>
    <w:p w14:paraId="04F46934" w14:textId="77777777" w:rsidR="00912C18" w:rsidRPr="003E218F" w:rsidRDefault="00912C18" w:rsidP="005376F7">
      <w:pPr>
        <w:pStyle w:val="Tittle2"/>
        <w:rPr>
          <w:rFonts w:cs="Arial"/>
          <w:lang w:val="el-GR"/>
        </w:rPr>
      </w:pPr>
    </w:p>
    <w:p w14:paraId="61DBF19C" w14:textId="77777777" w:rsidR="00182978" w:rsidRPr="003E218F" w:rsidRDefault="00182978" w:rsidP="005376F7">
      <w:pPr>
        <w:pStyle w:val="Tittle2"/>
        <w:rPr>
          <w:rFonts w:cs="Arial"/>
          <w:lang w:val="el-GR"/>
        </w:rPr>
      </w:pPr>
    </w:p>
    <w:p w14:paraId="62BE41FE" w14:textId="77777777" w:rsidR="00182978" w:rsidRPr="003E218F" w:rsidRDefault="00182978" w:rsidP="005376F7">
      <w:pPr>
        <w:pStyle w:val="Tittle2"/>
        <w:rPr>
          <w:rFonts w:cs="Arial"/>
          <w:lang w:val="el-GR"/>
        </w:rPr>
      </w:pPr>
    </w:p>
    <w:p w14:paraId="6D82416D" w14:textId="7BA17C77" w:rsidR="00422924" w:rsidRPr="0055036F" w:rsidRDefault="00422924" w:rsidP="005376F7">
      <w:pPr>
        <w:pStyle w:val="Tittle2"/>
        <w:rPr>
          <w:rFonts w:cs="Arial"/>
          <w:b w:val="0"/>
          <w:color w:val="00B0F0"/>
          <w:szCs w:val="24"/>
          <w:lang w:val="el-GR"/>
        </w:rPr>
      </w:pPr>
      <w:r w:rsidRPr="00FB20CB">
        <w:rPr>
          <w:rFonts w:cs="Arial"/>
          <w:lang w:val="el-GR"/>
        </w:rPr>
        <w:lastRenderedPageBreak/>
        <w:t>ΓΕΓΟΝΟΤΑ</w:t>
      </w:r>
      <w:r w:rsidRPr="0055036F">
        <w:rPr>
          <w:rFonts w:cs="Arial"/>
          <w:color w:val="00B0F0"/>
          <w:szCs w:val="24"/>
          <w:lang w:val="el-GR"/>
        </w:rPr>
        <w:t xml:space="preserve"> </w:t>
      </w:r>
      <w:r w:rsidRPr="00FB20CB">
        <w:rPr>
          <w:rFonts w:cs="Arial"/>
          <w:lang w:val="el-GR"/>
        </w:rPr>
        <w:t>ΤΡΙΜΗΝΟΥ</w:t>
      </w:r>
    </w:p>
    <w:p w14:paraId="0A7E46AD" w14:textId="1ED62EAF" w:rsidR="00077AC9" w:rsidRPr="00C73E12" w:rsidRDefault="00077AC9" w:rsidP="00077AC9">
      <w:pPr>
        <w:suppressAutoHyphens/>
        <w:autoSpaceDE w:val="0"/>
        <w:autoSpaceDN w:val="0"/>
        <w:adjustRightInd w:val="0"/>
        <w:spacing w:after="0" w:line="240" w:lineRule="auto"/>
        <w:jc w:val="both"/>
        <w:rPr>
          <w:rFonts w:ascii="Arial" w:eastAsia="Times New Roman" w:hAnsi="Arial" w:cs="Arial"/>
          <w:b/>
          <w:color w:val="000000" w:themeColor="text1"/>
        </w:rPr>
      </w:pPr>
      <w:r w:rsidRPr="00C73E12">
        <w:rPr>
          <w:rFonts w:ascii="Arial" w:eastAsia="Times New Roman" w:hAnsi="Arial" w:cs="Arial"/>
          <w:b/>
          <w:color w:val="000000" w:themeColor="text1"/>
        </w:rPr>
        <w:t xml:space="preserve">Ο ΟΤΕ υπέγραψε δεσμευτικές συμφωνίες για την πώληση της </w:t>
      </w:r>
      <w:r w:rsidRPr="00077AC9">
        <w:rPr>
          <w:rFonts w:ascii="Arial" w:eastAsia="Times New Roman" w:hAnsi="Arial" w:cs="Arial"/>
          <w:b/>
          <w:color w:val="000000" w:themeColor="text1"/>
          <w:lang w:val="en-US"/>
        </w:rPr>
        <w:t>Telekom</w:t>
      </w:r>
      <w:r w:rsidRPr="00C73E12">
        <w:rPr>
          <w:rFonts w:ascii="Arial" w:eastAsia="Times New Roman" w:hAnsi="Arial" w:cs="Arial"/>
          <w:b/>
          <w:color w:val="000000" w:themeColor="text1"/>
        </w:rPr>
        <w:t xml:space="preserve"> </w:t>
      </w:r>
      <w:r w:rsidRPr="00077AC9">
        <w:rPr>
          <w:rFonts w:ascii="Arial" w:eastAsia="Times New Roman" w:hAnsi="Arial" w:cs="Arial"/>
          <w:b/>
          <w:color w:val="000000" w:themeColor="text1"/>
          <w:lang w:val="en-US"/>
        </w:rPr>
        <w:t>Romania</w:t>
      </w:r>
      <w:r w:rsidRPr="00C73E12">
        <w:rPr>
          <w:rFonts w:ascii="Arial" w:eastAsia="Times New Roman" w:hAnsi="Arial" w:cs="Arial"/>
          <w:b/>
          <w:color w:val="000000" w:themeColor="text1"/>
        </w:rPr>
        <w:t xml:space="preserve"> </w:t>
      </w:r>
      <w:r w:rsidRPr="00077AC9">
        <w:rPr>
          <w:rFonts w:ascii="Arial" w:eastAsia="Times New Roman" w:hAnsi="Arial" w:cs="Arial"/>
          <w:b/>
          <w:color w:val="000000" w:themeColor="text1"/>
          <w:lang w:val="en-US"/>
        </w:rPr>
        <w:t>Mobile</w:t>
      </w:r>
      <w:r w:rsidRPr="00C73E12">
        <w:rPr>
          <w:rFonts w:ascii="Arial" w:eastAsia="Times New Roman" w:hAnsi="Arial" w:cs="Arial"/>
          <w:b/>
          <w:color w:val="000000" w:themeColor="text1"/>
        </w:rPr>
        <w:t xml:space="preserve"> </w:t>
      </w:r>
      <w:r w:rsidRPr="00077AC9">
        <w:rPr>
          <w:rFonts w:ascii="Arial" w:eastAsia="Times New Roman" w:hAnsi="Arial" w:cs="Arial"/>
          <w:b/>
          <w:color w:val="000000" w:themeColor="text1"/>
          <w:lang w:val="en-US"/>
        </w:rPr>
        <w:t>Communications</w:t>
      </w:r>
    </w:p>
    <w:p w14:paraId="296A0136" w14:textId="2E00C1CB" w:rsidR="00077AC9" w:rsidRPr="00C73E12" w:rsidRDefault="00077AC9" w:rsidP="005E1FBC">
      <w:pPr>
        <w:autoSpaceDE w:val="0"/>
        <w:autoSpaceDN w:val="0"/>
        <w:adjustRightInd w:val="0"/>
        <w:spacing w:after="0" w:line="240" w:lineRule="auto"/>
        <w:jc w:val="both"/>
        <w:rPr>
          <w:rFonts w:ascii="Arial" w:hAnsi="Arial" w:cs="Arial"/>
          <w14:ligatures w14:val="standardContextual"/>
        </w:rPr>
      </w:pPr>
      <w:r w:rsidRPr="005E1FBC">
        <w:rPr>
          <w:rFonts w:ascii="Arial" w:hAnsi="Arial" w:cs="Arial"/>
          <w14:ligatures w14:val="standardContextual"/>
        </w:rPr>
        <w:t>Στις</w:t>
      </w:r>
      <w:r w:rsidRPr="00C73E12">
        <w:rPr>
          <w:rFonts w:ascii="Arial" w:hAnsi="Arial" w:cs="Arial"/>
          <w14:ligatures w14:val="standardContextual"/>
        </w:rPr>
        <w:t xml:space="preserve"> 19 </w:t>
      </w:r>
      <w:r w:rsidRPr="00077AC9">
        <w:rPr>
          <w:rFonts w:ascii="Arial" w:hAnsi="Arial" w:cs="Arial"/>
          <w14:ligatures w14:val="standardContextual"/>
        </w:rPr>
        <w:t>Σεπτεμβρίου</w:t>
      </w:r>
      <w:r w:rsidRPr="00C73E12">
        <w:rPr>
          <w:rFonts w:ascii="Arial" w:hAnsi="Arial" w:cs="Arial"/>
          <w14:ligatures w14:val="standardContextual"/>
        </w:rPr>
        <w:t xml:space="preserve"> 2025 </w:t>
      </w:r>
      <w:r w:rsidR="005E1FBC">
        <w:rPr>
          <w:rFonts w:ascii="Arial" w:hAnsi="Arial" w:cs="Arial"/>
          <w14:ligatures w14:val="standardContextual"/>
        </w:rPr>
        <w:t>ο</w:t>
      </w:r>
      <w:r w:rsidRPr="00C73E12">
        <w:rPr>
          <w:rFonts w:ascii="Arial" w:hAnsi="Arial" w:cs="Arial"/>
          <w14:ligatures w14:val="standardContextual"/>
        </w:rPr>
        <w:t xml:space="preserve"> </w:t>
      </w:r>
      <w:r>
        <w:rPr>
          <w:rFonts w:ascii="Arial" w:hAnsi="Arial" w:cs="Arial"/>
          <w14:ligatures w14:val="standardContextual"/>
        </w:rPr>
        <w:t>ΟΤΕ</w:t>
      </w:r>
      <w:r w:rsidRPr="00C73E12">
        <w:rPr>
          <w:rFonts w:ascii="Arial" w:hAnsi="Arial" w:cs="Arial"/>
          <w14:ligatures w14:val="standardContextual"/>
        </w:rPr>
        <w:t xml:space="preserve"> </w:t>
      </w:r>
      <w:r w:rsidR="005D5B5D">
        <w:rPr>
          <w:rFonts w:ascii="Arial" w:hAnsi="Arial" w:cs="Arial"/>
          <w14:ligatures w14:val="standardContextual"/>
        </w:rPr>
        <w:t>ανακοίνωσε</w:t>
      </w:r>
      <w:r w:rsidR="005D5B5D" w:rsidRPr="00C73E12">
        <w:rPr>
          <w:rFonts w:ascii="Arial" w:hAnsi="Arial" w:cs="Arial"/>
          <w14:ligatures w14:val="standardContextual"/>
        </w:rPr>
        <w:t xml:space="preserve"> </w:t>
      </w:r>
      <w:r w:rsidRPr="00077AC9">
        <w:rPr>
          <w:rFonts w:ascii="Arial" w:hAnsi="Arial" w:cs="Arial"/>
          <w14:ligatures w14:val="standardContextual"/>
        </w:rPr>
        <w:t>ότι</w:t>
      </w:r>
      <w:r w:rsidRPr="00C73E12">
        <w:rPr>
          <w:rFonts w:ascii="Arial" w:hAnsi="Arial" w:cs="Arial"/>
          <w14:ligatures w14:val="standardContextual"/>
        </w:rPr>
        <w:t xml:space="preserve"> </w:t>
      </w:r>
      <w:r w:rsidRPr="00077AC9">
        <w:rPr>
          <w:rFonts w:ascii="Arial" w:hAnsi="Arial" w:cs="Arial"/>
          <w14:ligatures w14:val="standardContextual"/>
        </w:rPr>
        <w:t>υπέγραψε</w:t>
      </w:r>
      <w:r w:rsidRPr="00C73E12">
        <w:rPr>
          <w:rFonts w:ascii="Arial" w:hAnsi="Arial" w:cs="Arial"/>
          <w14:ligatures w14:val="standardContextual"/>
        </w:rPr>
        <w:t xml:space="preserve"> </w:t>
      </w:r>
      <w:r w:rsidRPr="00077AC9">
        <w:rPr>
          <w:rFonts w:ascii="Arial" w:hAnsi="Arial" w:cs="Arial"/>
          <w14:ligatures w14:val="standardContextual"/>
        </w:rPr>
        <w:t>δεσμευτικές</w:t>
      </w:r>
      <w:r w:rsidRPr="00C73E12">
        <w:rPr>
          <w:rFonts w:ascii="Arial" w:hAnsi="Arial" w:cs="Arial"/>
          <w14:ligatures w14:val="standardContextual"/>
        </w:rPr>
        <w:t xml:space="preserve"> </w:t>
      </w:r>
      <w:r w:rsidRPr="00077AC9">
        <w:rPr>
          <w:rFonts w:ascii="Arial" w:hAnsi="Arial" w:cs="Arial"/>
          <w14:ligatures w14:val="standardContextual"/>
        </w:rPr>
        <w:t>συμφωνίες</w:t>
      </w:r>
      <w:r w:rsidRPr="00C73E12">
        <w:rPr>
          <w:rFonts w:ascii="Arial" w:hAnsi="Arial" w:cs="Arial"/>
          <w14:ligatures w14:val="standardContextual"/>
        </w:rPr>
        <w:t xml:space="preserve"> </w:t>
      </w:r>
      <w:r w:rsidRPr="00077AC9">
        <w:rPr>
          <w:rFonts w:ascii="Arial" w:hAnsi="Arial" w:cs="Arial"/>
          <w14:ligatures w14:val="standardContextual"/>
        </w:rPr>
        <w:t>με</w:t>
      </w:r>
      <w:r w:rsidRPr="00C73E12">
        <w:rPr>
          <w:rFonts w:ascii="Arial" w:hAnsi="Arial" w:cs="Arial"/>
          <w14:ligatures w14:val="standardContextual"/>
        </w:rPr>
        <w:t xml:space="preserve"> </w:t>
      </w:r>
      <w:r w:rsidRPr="00077AC9">
        <w:rPr>
          <w:rFonts w:ascii="Arial" w:hAnsi="Arial" w:cs="Arial"/>
          <w14:ligatures w14:val="standardContextual"/>
        </w:rPr>
        <w:t>τη</w:t>
      </w:r>
      <w:r w:rsidRPr="00C73E12">
        <w:rPr>
          <w:rFonts w:ascii="Arial" w:hAnsi="Arial" w:cs="Arial"/>
          <w14:ligatures w14:val="standardContextual"/>
        </w:rPr>
        <w:t xml:space="preserve"> </w:t>
      </w:r>
      <w:r w:rsidRPr="000A615F">
        <w:rPr>
          <w:rFonts w:ascii="Arial" w:hAnsi="Arial" w:cs="Arial"/>
          <w:lang w:val="en-US"/>
          <w14:ligatures w14:val="standardContextual"/>
        </w:rPr>
        <w:t>Vodafone</w:t>
      </w:r>
      <w:r w:rsidRPr="00C73E12">
        <w:rPr>
          <w:rFonts w:ascii="Arial" w:hAnsi="Arial" w:cs="Arial"/>
          <w14:ligatures w14:val="standardContextual"/>
        </w:rPr>
        <w:t xml:space="preserve"> </w:t>
      </w:r>
      <w:r w:rsidRPr="000A615F">
        <w:rPr>
          <w:rFonts w:ascii="Arial" w:hAnsi="Arial" w:cs="Arial"/>
          <w:lang w:val="en-US"/>
          <w14:ligatures w14:val="standardContextual"/>
        </w:rPr>
        <w:t>Romania</w:t>
      </w:r>
      <w:r w:rsidRPr="00C73E12">
        <w:rPr>
          <w:rFonts w:ascii="Arial" w:hAnsi="Arial" w:cs="Arial"/>
          <w14:ligatures w14:val="standardContextual"/>
        </w:rPr>
        <w:t xml:space="preserve"> </w:t>
      </w:r>
      <w:r w:rsidRPr="000A615F">
        <w:rPr>
          <w:rFonts w:ascii="Arial" w:hAnsi="Arial" w:cs="Arial"/>
          <w:lang w:val="en-US"/>
          <w14:ligatures w14:val="standardContextual"/>
        </w:rPr>
        <w:t>S</w:t>
      </w:r>
      <w:r w:rsidRPr="00C73E12">
        <w:rPr>
          <w:rFonts w:ascii="Arial" w:hAnsi="Arial" w:cs="Arial"/>
          <w14:ligatures w14:val="standardContextual"/>
        </w:rPr>
        <w:t>.</w:t>
      </w:r>
      <w:r w:rsidRPr="000A615F">
        <w:rPr>
          <w:rFonts w:ascii="Arial" w:hAnsi="Arial" w:cs="Arial"/>
          <w:lang w:val="en-US"/>
          <w14:ligatures w14:val="standardContextual"/>
        </w:rPr>
        <w:t>A</w:t>
      </w:r>
      <w:r w:rsidRPr="00C73E12">
        <w:rPr>
          <w:rFonts w:ascii="Arial" w:hAnsi="Arial" w:cs="Arial"/>
          <w14:ligatures w14:val="standardContextual"/>
        </w:rPr>
        <w:t>. («</w:t>
      </w:r>
      <w:r w:rsidRPr="000A615F">
        <w:rPr>
          <w:rFonts w:ascii="Arial" w:hAnsi="Arial" w:cs="Arial"/>
          <w:lang w:val="en-US"/>
          <w14:ligatures w14:val="standardContextual"/>
        </w:rPr>
        <w:t>Vodafone</w:t>
      </w:r>
      <w:r w:rsidRPr="00C73E12">
        <w:rPr>
          <w:rFonts w:ascii="Arial" w:hAnsi="Arial" w:cs="Arial"/>
          <w14:ligatures w14:val="standardContextual"/>
        </w:rPr>
        <w:t xml:space="preserve">») </w:t>
      </w:r>
      <w:r w:rsidRPr="00077AC9">
        <w:rPr>
          <w:rFonts w:ascii="Arial" w:hAnsi="Arial" w:cs="Arial"/>
          <w14:ligatures w14:val="standardContextual"/>
        </w:rPr>
        <w:t>και</w:t>
      </w:r>
      <w:r w:rsidRPr="00C73E12">
        <w:rPr>
          <w:rFonts w:ascii="Arial" w:hAnsi="Arial" w:cs="Arial"/>
          <w14:ligatures w14:val="standardContextual"/>
        </w:rPr>
        <w:t xml:space="preserve"> </w:t>
      </w:r>
      <w:r w:rsidRPr="00077AC9">
        <w:rPr>
          <w:rFonts w:ascii="Arial" w:hAnsi="Arial" w:cs="Arial"/>
          <w14:ligatures w14:val="standardContextual"/>
        </w:rPr>
        <w:t>τη</w:t>
      </w:r>
      <w:r w:rsidRPr="00C73E12">
        <w:rPr>
          <w:rFonts w:ascii="Arial" w:hAnsi="Arial" w:cs="Arial"/>
          <w14:ligatures w14:val="standardContextual"/>
        </w:rPr>
        <w:t xml:space="preserve"> </w:t>
      </w:r>
      <w:r w:rsidRPr="000A615F">
        <w:rPr>
          <w:rFonts w:ascii="Arial" w:hAnsi="Arial" w:cs="Arial"/>
          <w:lang w:val="en-US"/>
          <w14:ligatures w14:val="standardContextual"/>
        </w:rPr>
        <w:t>Digi</w:t>
      </w:r>
      <w:r w:rsidRPr="00C73E12">
        <w:rPr>
          <w:rFonts w:ascii="Arial" w:hAnsi="Arial" w:cs="Arial"/>
          <w14:ligatures w14:val="standardContextual"/>
        </w:rPr>
        <w:t xml:space="preserve"> </w:t>
      </w:r>
      <w:r w:rsidRPr="000A615F">
        <w:rPr>
          <w:rFonts w:ascii="Arial" w:hAnsi="Arial" w:cs="Arial"/>
          <w:lang w:val="en-US"/>
          <w14:ligatures w14:val="standardContextual"/>
        </w:rPr>
        <w:t>Romania</w:t>
      </w:r>
      <w:r w:rsidRPr="00C73E12">
        <w:rPr>
          <w:rFonts w:ascii="Arial" w:hAnsi="Arial" w:cs="Arial"/>
          <w14:ligatures w14:val="standardContextual"/>
        </w:rPr>
        <w:t xml:space="preserve"> </w:t>
      </w:r>
      <w:r w:rsidRPr="000A615F">
        <w:rPr>
          <w:rFonts w:ascii="Arial" w:hAnsi="Arial" w:cs="Arial"/>
          <w:lang w:val="en-US"/>
          <w14:ligatures w14:val="standardContextual"/>
        </w:rPr>
        <w:t>S</w:t>
      </w:r>
      <w:r w:rsidRPr="00C73E12">
        <w:rPr>
          <w:rFonts w:ascii="Arial" w:hAnsi="Arial" w:cs="Arial"/>
          <w14:ligatures w14:val="standardContextual"/>
        </w:rPr>
        <w:t>.</w:t>
      </w:r>
      <w:r w:rsidRPr="000A615F">
        <w:rPr>
          <w:rFonts w:ascii="Arial" w:hAnsi="Arial" w:cs="Arial"/>
          <w:lang w:val="en-US"/>
          <w14:ligatures w14:val="standardContextual"/>
        </w:rPr>
        <w:t>A</w:t>
      </w:r>
      <w:r w:rsidRPr="00C73E12">
        <w:rPr>
          <w:rFonts w:ascii="Arial" w:hAnsi="Arial" w:cs="Arial"/>
          <w14:ligatures w14:val="standardContextual"/>
        </w:rPr>
        <w:t>. («</w:t>
      </w:r>
      <w:r w:rsidRPr="000A615F">
        <w:rPr>
          <w:rFonts w:ascii="Arial" w:hAnsi="Arial" w:cs="Arial"/>
          <w:lang w:val="en-US"/>
          <w14:ligatures w14:val="standardContextual"/>
        </w:rPr>
        <w:t>Digi</w:t>
      </w:r>
      <w:r w:rsidRPr="00C73E12">
        <w:rPr>
          <w:rFonts w:ascii="Arial" w:hAnsi="Arial" w:cs="Arial"/>
          <w14:ligatures w14:val="standardContextual"/>
        </w:rPr>
        <w:t xml:space="preserve">») </w:t>
      </w:r>
      <w:r w:rsidRPr="00077AC9">
        <w:rPr>
          <w:rFonts w:ascii="Arial" w:hAnsi="Arial" w:cs="Arial"/>
          <w14:ligatures w14:val="standardContextual"/>
        </w:rPr>
        <w:t>για</w:t>
      </w:r>
      <w:r w:rsidRPr="00C73E12">
        <w:rPr>
          <w:rFonts w:ascii="Arial" w:hAnsi="Arial" w:cs="Arial"/>
          <w14:ligatures w14:val="standardContextual"/>
        </w:rPr>
        <w:t xml:space="preserve"> </w:t>
      </w:r>
      <w:r w:rsidRPr="00077AC9">
        <w:rPr>
          <w:rFonts w:ascii="Arial" w:hAnsi="Arial" w:cs="Arial"/>
          <w14:ligatures w14:val="standardContextual"/>
        </w:rPr>
        <w:t>την</w:t>
      </w:r>
      <w:r w:rsidRPr="00C73E12">
        <w:rPr>
          <w:rFonts w:ascii="Arial" w:hAnsi="Arial" w:cs="Arial"/>
          <w14:ligatures w14:val="standardContextual"/>
        </w:rPr>
        <w:t xml:space="preserve"> </w:t>
      </w:r>
      <w:r w:rsidRPr="00077AC9">
        <w:rPr>
          <w:rFonts w:ascii="Arial" w:hAnsi="Arial" w:cs="Arial"/>
          <w14:ligatures w14:val="standardContextual"/>
        </w:rPr>
        <w:t>πώληση</w:t>
      </w:r>
      <w:r w:rsidRPr="00C73E12">
        <w:rPr>
          <w:rFonts w:ascii="Arial" w:hAnsi="Arial" w:cs="Arial"/>
          <w14:ligatures w14:val="standardContextual"/>
        </w:rPr>
        <w:t xml:space="preserve"> </w:t>
      </w:r>
      <w:r w:rsidRPr="00077AC9">
        <w:rPr>
          <w:rFonts w:ascii="Arial" w:hAnsi="Arial" w:cs="Arial"/>
          <w14:ligatures w14:val="standardContextual"/>
        </w:rPr>
        <w:t>της</w:t>
      </w:r>
      <w:r w:rsidRPr="00C73E12">
        <w:rPr>
          <w:rFonts w:ascii="Arial" w:hAnsi="Arial" w:cs="Arial"/>
          <w14:ligatures w14:val="standardContextual"/>
        </w:rPr>
        <w:t xml:space="preserve"> 100% </w:t>
      </w:r>
      <w:r w:rsidRPr="00077AC9">
        <w:rPr>
          <w:rFonts w:ascii="Arial" w:hAnsi="Arial" w:cs="Arial"/>
          <w14:ligatures w14:val="standardContextual"/>
        </w:rPr>
        <w:t>θυγατρικής</w:t>
      </w:r>
      <w:r w:rsidRPr="00C73E12">
        <w:rPr>
          <w:rFonts w:ascii="Arial" w:hAnsi="Arial" w:cs="Arial"/>
          <w14:ligatures w14:val="standardContextual"/>
        </w:rPr>
        <w:t xml:space="preserve"> </w:t>
      </w:r>
      <w:r w:rsidRPr="00077AC9">
        <w:rPr>
          <w:rFonts w:ascii="Arial" w:hAnsi="Arial" w:cs="Arial"/>
          <w14:ligatures w14:val="standardContextual"/>
        </w:rPr>
        <w:t>του</w:t>
      </w:r>
      <w:r w:rsidR="008C042B">
        <w:rPr>
          <w:rFonts w:ascii="Arial" w:hAnsi="Arial" w:cs="Arial"/>
          <w14:ligatures w14:val="standardContextual"/>
        </w:rPr>
        <w:t>,</w:t>
      </w:r>
      <w:r w:rsidRPr="00C73E12">
        <w:rPr>
          <w:rFonts w:ascii="Arial" w:hAnsi="Arial" w:cs="Arial"/>
          <w14:ligatures w14:val="standardContextual"/>
        </w:rPr>
        <w:t xml:space="preserve"> </w:t>
      </w:r>
      <w:r w:rsidRPr="000A615F">
        <w:rPr>
          <w:rFonts w:ascii="Arial" w:hAnsi="Arial" w:cs="Arial"/>
          <w:lang w:val="en-US"/>
          <w14:ligatures w14:val="standardContextual"/>
        </w:rPr>
        <w:t>Telekom</w:t>
      </w:r>
      <w:r w:rsidRPr="00C73E12">
        <w:rPr>
          <w:rFonts w:ascii="Arial" w:hAnsi="Arial" w:cs="Arial"/>
          <w14:ligatures w14:val="standardContextual"/>
        </w:rPr>
        <w:t xml:space="preserve"> </w:t>
      </w:r>
      <w:r w:rsidRPr="000A615F">
        <w:rPr>
          <w:rFonts w:ascii="Arial" w:hAnsi="Arial" w:cs="Arial"/>
          <w:lang w:val="en-US"/>
          <w14:ligatures w14:val="standardContextual"/>
        </w:rPr>
        <w:t>Romania</w:t>
      </w:r>
      <w:r w:rsidRPr="00C73E12">
        <w:rPr>
          <w:rFonts w:ascii="Arial" w:hAnsi="Arial" w:cs="Arial"/>
          <w14:ligatures w14:val="standardContextual"/>
        </w:rPr>
        <w:t xml:space="preserve"> </w:t>
      </w:r>
      <w:r w:rsidRPr="000A615F">
        <w:rPr>
          <w:rFonts w:ascii="Arial" w:hAnsi="Arial" w:cs="Arial"/>
          <w:lang w:val="en-US"/>
          <w14:ligatures w14:val="standardContextual"/>
        </w:rPr>
        <w:t>Mobile</w:t>
      </w:r>
      <w:r w:rsidRPr="00C73E12">
        <w:rPr>
          <w:rFonts w:ascii="Arial" w:hAnsi="Arial" w:cs="Arial"/>
          <w14:ligatures w14:val="standardContextual"/>
        </w:rPr>
        <w:t xml:space="preserve"> </w:t>
      </w:r>
      <w:r w:rsidRPr="000A615F">
        <w:rPr>
          <w:rFonts w:ascii="Arial" w:hAnsi="Arial" w:cs="Arial"/>
          <w:lang w:val="en-US"/>
          <w14:ligatures w14:val="standardContextual"/>
        </w:rPr>
        <w:t>Communications</w:t>
      </w:r>
      <w:r w:rsidR="008C042B">
        <w:rPr>
          <w:rFonts w:ascii="Arial" w:hAnsi="Arial" w:cs="Arial"/>
          <w14:ligatures w14:val="standardContextual"/>
        </w:rPr>
        <w:t xml:space="preserve"> </w:t>
      </w:r>
      <w:r w:rsidRPr="00C73E12">
        <w:rPr>
          <w:rFonts w:ascii="Arial" w:hAnsi="Arial" w:cs="Arial"/>
          <w14:ligatures w14:val="standardContextual"/>
        </w:rPr>
        <w:t>(«</w:t>
      </w:r>
      <w:r w:rsidRPr="000A615F">
        <w:rPr>
          <w:rFonts w:ascii="Arial" w:hAnsi="Arial" w:cs="Arial"/>
          <w:lang w:val="en-US"/>
          <w14:ligatures w14:val="standardContextual"/>
        </w:rPr>
        <w:t>TKRM</w:t>
      </w:r>
      <w:r w:rsidRPr="00C73E12">
        <w:rPr>
          <w:rFonts w:ascii="Arial" w:hAnsi="Arial" w:cs="Arial"/>
          <w14:ligatures w14:val="standardContextual"/>
        </w:rPr>
        <w:t xml:space="preserve">» </w:t>
      </w:r>
      <w:r w:rsidRPr="00077AC9">
        <w:rPr>
          <w:rFonts w:ascii="Arial" w:hAnsi="Arial" w:cs="Arial"/>
          <w14:ligatures w14:val="standardContextual"/>
        </w:rPr>
        <w:t>ή</w:t>
      </w:r>
      <w:r w:rsidRPr="00C73E12">
        <w:rPr>
          <w:rFonts w:ascii="Arial" w:hAnsi="Arial" w:cs="Arial"/>
          <w14:ligatures w14:val="standardContextual"/>
        </w:rPr>
        <w:t xml:space="preserve"> «</w:t>
      </w:r>
      <w:r w:rsidRPr="00077AC9">
        <w:rPr>
          <w:rFonts w:ascii="Arial" w:hAnsi="Arial" w:cs="Arial"/>
          <w14:ligatures w14:val="standardContextual"/>
        </w:rPr>
        <w:t>Εταιρεία</w:t>
      </w:r>
      <w:r w:rsidRPr="00C73E12">
        <w:rPr>
          <w:rFonts w:ascii="Arial" w:hAnsi="Arial" w:cs="Arial"/>
          <w14:ligatures w14:val="standardContextual"/>
        </w:rPr>
        <w:t xml:space="preserve">»), </w:t>
      </w:r>
      <w:r w:rsidRPr="00077AC9">
        <w:rPr>
          <w:rFonts w:ascii="Arial" w:hAnsi="Arial" w:cs="Arial"/>
          <w14:ligatures w14:val="standardContextual"/>
        </w:rPr>
        <w:t>ως</w:t>
      </w:r>
      <w:r w:rsidRPr="00C73E12">
        <w:rPr>
          <w:rFonts w:ascii="Arial" w:hAnsi="Arial" w:cs="Arial"/>
          <w14:ligatures w14:val="standardContextual"/>
        </w:rPr>
        <w:t xml:space="preserve"> </w:t>
      </w:r>
      <w:r w:rsidRPr="00077AC9">
        <w:rPr>
          <w:rFonts w:ascii="Arial" w:hAnsi="Arial" w:cs="Arial"/>
          <w14:ligatures w14:val="standardContextual"/>
        </w:rPr>
        <w:t>ακολούθως</w:t>
      </w:r>
      <w:r w:rsidRPr="00C73E12">
        <w:rPr>
          <w:rFonts w:ascii="Arial" w:hAnsi="Arial" w:cs="Arial"/>
          <w14:ligatures w14:val="standardContextual"/>
        </w:rPr>
        <w:t xml:space="preserve">: </w:t>
      </w:r>
    </w:p>
    <w:p w14:paraId="63FC37A8" w14:textId="77777777" w:rsidR="0004078D" w:rsidRPr="00C73E12" w:rsidRDefault="0004078D" w:rsidP="00077AC9">
      <w:pPr>
        <w:autoSpaceDE w:val="0"/>
        <w:autoSpaceDN w:val="0"/>
        <w:adjustRightInd w:val="0"/>
        <w:spacing w:after="0" w:line="240" w:lineRule="auto"/>
        <w:rPr>
          <w:rFonts w:ascii="Arial" w:hAnsi="Arial" w:cs="Arial"/>
          <w14:ligatures w14:val="standardContextual"/>
        </w:rPr>
      </w:pPr>
    </w:p>
    <w:p w14:paraId="62BD4E74" w14:textId="77777777" w:rsidR="00077AC9" w:rsidRPr="00C73E12" w:rsidRDefault="00077AC9" w:rsidP="000A615F">
      <w:pPr>
        <w:pStyle w:val="NormalWeb"/>
        <w:numPr>
          <w:ilvl w:val="0"/>
          <w:numId w:val="16"/>
        </w:numPr>
        <w:spacing w:after="0" w:afterAutospacing="0" w:line="276" w:lineRule="auto"/>
        <w:ind w:left="720" w:hanging="360"/>
        <w:jc w:val="both"/>
        <w:rPr>
          <w:rFonts w:ascii="Arial" w:eastAsia="Arial Unicode MS" w:hAnsi="Arial" w:cs="Arial"/>
          <w:color w:val="000000" w:themeColor="text1"/>
          <w:sz w:val="22"/>
          <w:szCs w:val="22"/>
        </w:rPr>
      </w:pPr>
      <w:r w:rsidRPr="00C73E12">
        <w:rPr>
          <w:rFonts w:ascii="Arial" w:eastAsia="Arial Unicode MS" w:hAnsi="Arial" w:cs="Arial"/>
          <w:color w:val="000000" w:themeColor="text1"/>
          <w:sz w:val="22"/>
          <w:szCs w:val="22"/>
        </w:rPr>
        <w:t xml:space="preserve">Η </w:t>
      </w:r>
      <w:r w:rsidRPr="000A615F">
        <w:rPr>
          <w:rFonts w:ascii="Arial" w:eastAsia="Arial Unicode MS" w:hAnsi="Arial" w:cs="Arial"/>
          <w:color w:val="000000" w:themeColor="text1"/>
          <w:sz w:val="22"/>
          <w:szCs w:val="22"/>
          <w:lang w:val="en-US"/>
        </w:rPr>
        <w:t>TKRM</w:t>
      </w:r>
      <w:r w:rsidRPr="00C73E12">
        <w:rPr>
          <w:rFonts w:ascii="Arial" w:eastAsia="Arial Unicode MS" w:hAnsi="Arial" w:cs="Arial"/>
          <w:color w:val="000000" w:themeColor="text1"/>
          <w:sz w:val="22"/>
          <w:szCs w:val="22"/>
        </w:rPr>
        <w:t xml:space="preserve"> </w:t>
      </w:r>
      <w:r w:rsidRPr="00913F31">
        <w:rPr>
          <w:rFonts w:ascii="Arial" w:eastAsia="Arial Unicode MS" w:hAnsi="Arial" w:cs="Arial"/>
          <w:color w:val="000000" w:themeColor="text1"/>
          <w:sz w:val="22"/>
          <w:szCs w:val="22"/>
        </w:rPr>
        <w:t>θα μεταβιβάσει</w:t>
      </w:r>
      <w:r w:rsidRPr="00C73E12">
        <w:rPr>
          <w:rFonts w:ascii="Arial" w:eastAsia="Arial Unicode MS" w:hAnsi="Arial" w:cs="Arial"/>
          <w:color w:val="000000" w:themeColor="text1"/>
          <w:sz w:val="22"/>
          <w:szCs w:val="22"/>
        </w:rPr>
        <w:t xml:space="preserve"> στη </w:t>
      </w:r>
      <w:r w:rsidRPr="000A615F">
        <w:rPr>
          <w:rFonts w:ascii="Arial" w:eastAsia="Arial Unicode MS" w:hAnsi="Arial" w:cs="Arial"/>
          <w:color w:val="000000" w:themeColor="text1"/>
          <w:sz w:val="22"/>
          <w:szCs w:val="22"/>
          <w:lang w:val="en-US"/>
        </w:rPr>
        <w:t>Digi</w:t>
      </w:r>
      <w:r w:rsidRPr="00C73E12">
        <w:rPr>
          <w:rFonts w:ascii="Arial" w:eastAsia="Arial Unicode MS" w:hAnsi="Arial" w:cs="Arial"/>
          <w:color w:val="000000" w:themeColor="text1"/>
          <w:sz w:val="22"/>
          <w:szCs w:val="22"/>
        </w:rPr>
        <w:t xml:space="preserve"> τον κλάδο καρτοκινητής, ορισμένα δικαιώματα επί του φάσματος, καθώς και μέρος του χαρτοφυλακίου των σταθμών βάσης κινητής. </w:t>
      </w:r>
    </w:p>
    <w:p w14:paraId="71AE87BC" w14:textId="6EB37757" w:rsidR="00077AC9" w:rsidRPr="000A615F" w:rsidRDefault="00077AC9" w:rsidP="000A615F">
      <w:pPr>
        <w:pStyle w:val="NormalWeb"/>
        <w:numPr>
          <w:ilvl w:val="0"/>
          <w:numId w:val="16"/>
        </w:numPr>
        <w:spacing w:after="0" w:afterAutospacing="0" w:line="276" w:lineRule="auto"/>
        <w:ind w:left="720" w:hanging="360"/>
        <w:jc w:val="both"/>
        <w:rPr>
          <w:rFonts w:ascii="Arial" w:eastAsia="Arial Unicode MS" w:hAnsi="Arial" w:cs="Arial"/>
          <w:color w:val="000000" w:themeColor="text1"/>
          <w:sz w:val="22"/>
          <w:szCs w:val="22"/>
        </w:rPr>
      </w:pPr>
      <w:r w:rsidRPr="000A615F">
        <w:rPr>
          <w:rFonts w:ascii="Arial" w:eastAsia="Arial Unicode MS" w:hAnsi="Arial" w:cs="Arial"/>
          <w:color w:val="000000" w:themeColor="text1"/>
          <w:sz w:val="22"/>
          <w:szCs w:val="22"/>
        </w:rPr>
        <w:t xml:space="preserve">Ο ΟΤΕ </w:t>
      </w:r>
      <w:r w:rsidRPr="00913F31">
        <w:rPr>
          <w:rFonts w:ascii="Arial" w:eastAsia="Arial Unicode MS" w:hAnsi="Arial" w:cs="Arial"/>
          <w:color w:val="000000" w:themeColor="text1"/>
          <w:sz w:val="22"/>
          <w:szCs w:val="22"/>
        </w:rPr>
        <w:t>θα πουλήσει</w:t>
      </w:r>
      <w:r w:rsidRPr="000A615F">
        <w:rPr>
          <w:rFonts w:ascii="Arial" w:eastAsia="Arial Unicode MS" w:hAnsi="Arial" w:cs="Arial"/>
          <w:color w:val="000000" w:themeColor="text1"/>
          <w:sz w:val="22"/>
          <w:szCs w:val="22"/>
        </w:rPr>
        <w:t xml:space="preserve"> στη </w:t>
      </w:r>
      <w:r w:rsidRPr="000A615F">
        <w:rPr>
          <w:rFonts w:ascii="Arial" w:eastAsia="Arial Unicode MS" w:hAnsi="Arial" w:cs="Arial"/>
          <w:color w:val="000000" w:themeColor="text1"/>
          <w:sz w:val="22"/>
          <w:szCs w:val="22"/>
          <w:lang w:val="en-US"/>
        </w:rPr>
        <w:t>Vodafone</w:t>
      </w:r>
      <w:r w:rsidRPr="000A615F">
        <w:rPr>
          <w:rFonts w:ascii="Arial" w:eastAsia="Arial Unicode MS" w:hAnsi="Arial" w:cs="Arial"/>
          <w:color w:val="000000" w:themeColor="text1"/>
          <w:sz w:val="22"/>
          <w:szCs w:val="22"/>
        </w:rPr>
        <w:t xml:space="preserve"> </w:t>
      </w:r>
      <w:r w:rsidR="008D5A04" w:rsidRPr="000A615F">
        <w:rPr>
          <w:rFonts w:ascii="Arial" w:eastAsia="Arial Unicode MS" w:hAnsi="Arial" w:cs="Arial"/>
          <w:color w:val="000000" w:themeColor="text1"/>
          <w:sz w:val="22"/>
          <w:szCs w:val="22"/>
          <w:lang w:val="en-US"/>
        </w:rPr>
        <w:t>Romania</w:t>
      </w:r>
      <w:r w:rsidR="008D5A04" w:rsidRPr="000A615F">
        <w:rPr>
          <w:rFonts w:ascii="Arial" w:eastAsia="Arial Unicode MS" w:hAnsi="Arial" w:cs="Arial"/>
          <w:color w:val="000000" w:themeColor="text1"/>
          <w:sz w:val="22"/>
          <w:szCs w:val="22"/>
        </w:rPr>
        <w:t xml:space="preserve"> </w:t>
      </w:r>
      <w:r w:rsidRPr="000A615F">
        <w:rPr>
          <w:rFonts w:ascii="Arial" w:eastAsia="Arial Unicode MS" w:hAnsi="Arial" w:cs="Arial"/>
          <w:color w:val="000000" w:themeColor="text1"/>
          <w:sz w:val="22"/>
          <w:szCs w:val="22"/>
        </w:rPr>
        <w:t xml:space="preserve">το μερίδιο που κατέχει στην </w:t>
      </w:r>
      <w:r w:rsidRPr="000A615F">
        <w:rPr>
          <w:rFonts w:ascii="Arial" w:eastAsia="Arial Unicode MS" w:hAnsi="Arial" w:cs="Arial"/>
          <w:color w:val="000000" w:themeColor="text1"/>
          <w:sz w:val="22"/>
          <w:szCs w:val="22"/>
          <w:lang w:val="en-US"/>
        </w:rPr>
        <w:t>TKRM</w:t>
      </w:r>
      <w:r w:rsidRPr="000A615F">
        <w:rPr>
          <w:rFonts w:ascii="Arial" w:eastAsia="Arial Unicode MS" w:hAnsi="Arial" w:cs="Arial"/>
          <w:color w:val="000000" w:themeColor="text1"/>
          <w:sz w:val="22"/>
          <w:szCs w:val="22"/>
        </w:rPr>
        <w:t xml:space="preserve"> (το σύνολο του μετοχικού κεφαλαίου της </w:t>
      </w:r>
      <w:r w:rsidRPr="000A615F">
        <w:rPr>
          <w:rFonts w:ascii="Arial" w:eastAsia="Arial Unicode MS" w:hAnsi="Arial" w:cs="Arial"/>
          <w:color w:val="000000" w:themeColor="text1"/>
          <w:sz w:val="22"/>
          <w:szCs w:val="22"/>
          <w:lang w:val="en-US"/>
        </w:rPr>
        <w:t>TKRM</w:t>
      </w:r>
      <w:r w:rsidRPr="000A615F">
        <w:rPr>
          <w:rFonts w:ascii="Arial" w:eastAsia="Arial Unicode MS" w:hAnsi="Arial" w:cs="Arial"/>
          <w:color w:val="000000" w:themeColor="text1"/>
          <w:sz w:val="22"/>
          <w:szCs w:val="22"/>
        </w:rPr>
        <w:t xml:space="preserve"> μείον 7 μετοχές που κατέχει η </w:t>
      </w:r>
      <w:r w:rsidRPr="000A615F">
        <w:rPr>
          <w:rFonts w:ascii="Arial" w:eastAsia="Arial Unicode MS" w:hAnsi="Arial" w:cs="Arial"/>
          <w:color w:val="000000" w:themeColor="text1"/>
          <w:sz w:val="22"/>
          <w:szCs w:val="22"/>
          <w:lang w:val="en-US"/>
        </w:rPr>
        <w:t>S</w:t>
      </w:r>
      <w:r w:rsidRPr="000A615F">
        <w:rPr>
          <w:rFonts w:ascii="Arial" w:eastAsia="Arial Unicode MS" w:hAnsi="Arial" w:cs="Arial"/>
          <w:color w:val="000000" w:themeColor="text1"/>
          <w:sz w:val="22"/>
          <w:szCs w:val="22"/>
        </w:rPr>
        <w:t>.</w:t>
      </w:r>
      <w:r w:rsidRPr="000A615F">
        <w:rPr>
          <w:rFonts w:ascii="Arial" w:eastAsia="Arial Unicode MS" w:hAnsi="Arial" w:cs="Arial"/>
          <w:color w:val="000000" w:themeColor="text1"/>
          <w:sz w:val="22"/>
          <w:szCs w:val="22"/>
          <w:lang w:val="en-US"/>
        </w:rPr>
        <w:t>N</w:t>
      </w:r>
      <w:r w:rsidRPr="000A615F">
        <w:rPr>
          <w:rFonts w:ascii="Arial" w:eastAsia="Arial Unicode MS" w:hAnsi="Arial" w:cs="Arial"/>
          <w:color w:val="000000" w:themeColor="text1"/>
          <w:sz w:val="22"/>
          <w:szCs w:val="22"/>
        </w:rPr>
        <w:t xml:space="preserve">. </w:t>
      </w:r>
      <w:proofErr w:type="spellStart"/>
      <w:r w:rsidRPr="000A615F">
        <w:rPr>
          <w:rFonts w:ascii="Arial" w:eastAsia="Arial Unicode MS" w:hAnsi="Arial" w:cs="Arial"/>
          <w:color w:val="000000" w:themeColor="text1"/>
          <w:sz w:val="22"/>
          <w:szCs w:val="22"/>
          <w:lang w:val="en-US"/>
        </w:rPr>
        <w:t>Radiocomunica</w:t>
      </w:r>
      <w:proofErr w:type="spellEnd"/>
      <w:r w:rsidRPr="000A615F">
        <w:rPr>
          <w:rFonts w:ascii="Arial" w:eastAsia="Arial Unicode MS" w:hAnsi="Arial" w:cs="Arial"/>
          <w:color w:val="000000" w:themeColor="text1"/>
          <w:sz w:val="22"/>
          <w:szCs w:val="22"/>
        </w:rPr>
        <w:t>ț</w:t>
      </w:r>
      <w:r w:rsidRPr="000A615F">
        <w:rPr>
          <w:rFonts w:ascii="Arial" w:eastAsia="Arial Unicode MS" w:hAnsi="Arial" w:cs="Arial"/>
          <w:color w:val="000000" w:themeColor="text1"/>
          <w:sz w:val="22"/>
          <w:szCs w:val="22"/>
          <w:lang w:val="en-US"/>
        </w:rPr>
        <w:t>ii</w:t>
      </w:r>
      <w:r w:rsidRPr="000A615F">
        <w:rPr>
          <w:rFonts w:ascii="Arial" w:eastAsia="Arial Unicode MS" w:hAnsi="Arial" w:cs="Arial"/>
          <w:color w:val="000000" w:themeColor="text1"/>
          <w:sz w:val="22"/>
          <w:szCs w:val="22"/>
        </w:rPr>
        <w:t xml:space="preserve">), εξαιρουμένων των παραπάνω περιουσιακών στοιχείων που </w:t>
      </w:r>
      <w:r w:rsidRPr="00913F31">
        <w:rPr>
          <w:rFonts w:ascii="Arial" w:eastAsia="Arial Unicode MS" w:hAnsi="Arial" w:cs="Arial"/>
          <w:color w:val="000000" w:themeColor="text1"/>
          <w:sz w:val="22"/>
          <w:szCs w:val="22"/>
        </w:rPr>
        <w:t>θα μεταβιβαστούν</w:t>
      </w:r>
      <w:r w:rsidRPr="000A615F">
        <w:rPr>
          <w:rFonts w:ascii="Arial" w:eastAsia="Arial Unicode MS" w:hAnsi="Arial" w:cs="Arial"/>
          <w:color w:val="000000" w:themeColor="text1"/>
          <w:sz w:val="22"/>
          <w:szCs w:val="22"/>
        </w:rPr>
        <w:t xml:space="preserve"> στη </w:t>
      </w:r>
      <w:r w:rsidRPr="000A615F">
        <w:rPr>
          <w:rFonts w:ascii="Arial" w:eastAsia="Arial Unicode MS" w:hAnsi="Arial" w:cs="Arial"/>
          <w:color w:val="000000" w:themeColor="text1"/>
          <w:sz w:val="22"/>
          <w:szCs w:val="22"/>
          <w:lang w:val="en-US"/>
        </w:rPr>
        <w:t>Digi</w:t>
      </w:r>
      <w:r w:rsidRPr="000A615F">
        <w:rPr>
          <w:rFonts w:ascii="Arial" w:eastAsia="Arial Unicode MS" w:hAnsi="Arial" w:cs="Arial"/>
          <w:color w:val="000000" w:themeColor="text1"/>
          <w:sz w:val="22"/>
          <w:szCs w:val="22"/>
        </w:rPr>
        <w:t xml:space="preserve">. </w:t>
      </w:r>
    </w:p>
    <w:p w14:paraId="4F9A2BE2" w14:textId="77777777" w:rsidR="00077AC9" w:rsidRPr="00077AC9" w:rsidRDefault="00077AC9" w:rsidP="00077AC9">
      <w:pPr>
        <w:autoSpaceDE w:val="0"/>
        <w:autoSpaceDN w:val="0"/>
        <w:adjustRightInd w:val="0"/>
        <w:spacing w:after="0" w:line="240" w:lineRule="auto"/>
        <w:rPr>
          <w:rFonts w:ascii="Arial" w:hAnsi="Arial" w:cs="Arial"/>
          <w14:ligatures w14:val="standardContextual"/>
        </w:rPr>
      </w:pPr>
    </w:p>
    <w:p w14:paraId="5B8A596C" w14:textId="00E30E9B" w:rsidR="0004078D" w:rsidRPr="00D65EFD" w:rsidRDefault="00077AC9" w:rsidP="00077AC9">
      <w:pPr>
        <w:suppressAutoHyphens/>
        <w:autoSpaceDE w:val="0"/>
        <w:autoSpaceDN w:val="0"/>
        <w:adjustRightInd w:val="0"/>
        <w:spacing w:after="0" w:line="240" w:lineRule="auto"/>
        <w:jc w:val="both"/>
        <w:rPr>
          <w:rFonts w:ascii="Arial" w:hAnsi="Arial" w:cs="Arial"/>
          <w14:ligatures w14:val="standardContextual"/>
        </w:rPr>
      </w:pPr>
      <w:r w:rsidRPr="00077AC9">
        <w:rPr>
          <w:rFonts w:ascii="Arial" w:hAnsi="Arial" w:cs="Arial"/>
          <w14:ligatures w14:val="standardContextual"/>
        </w:rPr>
        <w:t xml:space="preserve">Το συνολικό τίμημα ανέρχεται σε </w:t>
      </w:r>
      <w:r w:rsidR="00D65EFD">
        <w:rPr>
          <w:rFonts w:ascii="Arial" w:hAnsi="Arial" w:cs="Arial"/>
          <w14:ligatures w14:val="standardContextual"/>
        </w:rPr>
        <w:t>€</w:t>
      </w:r>
      <w:r w:rsidRPr="00077AC9">
        <w:rPr>
          <w:rFonts w:ascii="Arial" w:hAnsi="Arial" w:cs="Arial"/>
          <w14:ligatures w14:val="standardContextual"/>
        </w:rPr>
        <w:t xml:space="preserve">70 εκατ. </w:t>
      </w:r>
      <w:r w:rsidR="00D65EFD">
        <w:rPr>
          <w:rFonts w:ascii="Arial" w:hAnsi="Arial" w:cs="Arial"/>
          <w14:ligatures w14:val="standardContextual"/>
        </w:rPr>
        <w:t>Η συναλλαγή ολοκληρώθηκε στις 1 Οκτωβρίου 2025 (</w:t>
      </w:r>
      <w:proofErr w:type="spellStart"/>
      <w:r w:rsidR="00D65EFD">
        <w:rPr>
          <w:rFonts w:ascii="Arial" w:hAnsi="Arial" w:cs="Arial"/>
          <w14:ligatures w14:val="standardContextual"/>
        </w:rPr>
        <w:t>βλ.παρακάτω</w:t>
      </w:r>
      <w:proofErr w:type="spellEnd"/>
      <w:r w:rsidR="00D65EFD">
        <w:rPr>
          <w:rFonts w:ascii="Arial" w:hAnsi="Arial" w:cs="Arial"/>
          <w14:ligatures w14:val="standardContextual"/>
        </w:rPr>
        <w:t>).</w:t>
      </w:r>
    </w:p>
    <w:p w14:paraId="32B91D5D" w14:textId="77777777" w:rsidR="0004078D" w:rsidRDefault="0004078D" w:rsidP="00077AC9">
      <w:pPr>
        <w:suppressAutoHyphens/>
        <w:autoSpaceDE w:val="0"/>
        <w:autoSpaceDN w:val="0"/>
        <w:adjustRightInd w:val="0"/>
        <w:spacing w:after="0" w:line="240" w:lineRule="auto"/>
        <w:jc w:val="both"/>
        <w:rPr>
          <w:rFonts w:ascii="Arial" w:hAnsi="Arial" w:cs="Arial"/>
          <w14:ligatures w14:val="standardContextual"/>
        </w:rPr>
      </w:pPr>
    </w:p>
    <w:p w14:paraId="6F379DB5" w14:textId="77777777" w:rsidR="00563D67" w:rsidRPr="00CE3C1A" w:rsidRDefault="00563D67" w:rsidP="00563D67">
      <w:pPr>
        <w:suppressAutoHyphens/>
        <w:autoSpaceDE w:val="0"/>
        <w:autoSpaceDN w:val="0"/>
        <w:adjustRightInd w:val="0"/>
        <w:spacing w:after="0" w:line="240" w:lineRule="auto"/>
        <w:jc w:val="both"/>
        <w:rPr>
          <w:rFonts w:ascii="Arial" w:eastAsia="Times New Roman" w:hAnsi="Arial" w:cs="Arial"/>
          <w:b/>
        </w:rPr>
      </w:pPr>
      <w:r w:rsidRPr="00CE3C1A">
        <w:rPr>
          <w:rFonts w:ascii="Arial" w:eastAsia="Times New Roman" w:hAnsi="Arial" w:cs="Arial"/>
          <w:b/>
        </w:rPr>
        <w:t>Ακύρωση Ιδίων Μετοχών</w:t>
      </w:r>
      <w:r>
        <w:rPr>
          <w:rFonts w:ascii="Arial" w:eastAsia="Times New Roman" w:hAnsi="Arial" w:cs="Arial"/>
          <w:b/>
        </w:rPr>
        <w:t xml:space="preserve"> και </w:t>
      </w:r>
      <w:r w:rsidRPr="00CE3C1A">
        <w:rPr>
          <w:rFonts w:ascii="Arial" w:eastAsia="Times New Roman" w:hAnsi="Arial" w:cs="Arial"/>
          <w:b/>
        </w:rPr>
        <w:t xml:space="preserve">Πρόγραμμα Απόκτησης Ιδίων Μετοχών </w:t>
      </w:r>
    </w:p>
    <w:p w14:paraId="0B4BFA45" w14:textId="175B0EB3" w:rsidR="0004078D" w:rsidRPr="0024380D" w:rsidRDefault="0024380D" w:rsidP="00077AC9">
      <w:pPr>
        <w:suppressAutoHyphens/>
        <w:autoSpaceDE w:val="0"/>
        <w:autoSpaceDN w:val="0"/>
        <w:adjustRightInd w:val="0"/>
        <w:spacing w:after="0" w:line="240" w:lineRule="auto"/>
        <w:jc w:val="both"/>
        <w:rPr>
          <w:rFonts w:ascii="Arial" w:hAnsi="Arial" w:cs="Arial"/>
          <w:color w:val="000000"/>
          <w14:ligatures w14:val="standardContextual"/>
        </w:rPr>
      </w:pPr>
      <w:r w:rsidRPr="0024380D">
        <w:rPr>
          <w:rFonts w:ascii="Arial" w:hAnsi="Arial" w:cs="Arial"/>
          <w:color w:val="000000"/>
          <w14:ligatures w14:val="standardContextual"/>
        </w:rPr>
        <w:t>Κατά το δεύτερο έτος του Προγράμματος Επαναγοράς Μετοχών 2024-2026 και ειδικότερα την περίοδο από 28 Φεβρουαρίου έως 30 Σεπτεμβρίου 2025, η Εταιρεία απέκτησε συνολικά 6.554.794 ίδιες μετοχές σε μέση τιμή €16,0</w:t>
      </w:r>
      <w:r w:rsidR="009D12CD" w:rsidRPr="00100310">
        <w:rPr>
          <w:rFonts w:ascii="Arial" w:hAnsi="Arial" w:cs="Arial"/>
          <w:color w:val="000000"/>
          <w14:ligatures w14:val="standardContextual"/>
        </w:rPr>
        <w:t>1</w:t>
      </w:r>
      <w:r w:rsidRPr="0024380D">
        <w:rPr>
          <w:rFonts w:ascii="Arial" w:hAnsi="Arial" w:cs="Arial"/>
          <w:color w:val="000000"/>
          <w14:ligatures w14:val="standardContextual"/>
        </w:rPr>
        <w:t xml:space="preserve"> ανά μετοχή. Η Ετήσια Τακτική Γενική Συνέλευση των Μετόχων της 23ης Ιουνίου 2025 ενέκρινε την ακύρωση 8.840.446 ίδιων μετοχών.</w:t>
      </w:r>
    </w:p>
    <w:p w14:paraId="25BF7A60" w14:textId="77777777" w:rsidR="0024380D" w:rsidRPr="00FB20CB" w:rsidRDefault="0024380D" w:rsidP="00077AC9">
      <w:pPr>
        <w:suppressAutoHyphens/>
        <w:autoSpaceDE w:val="0"/>
        <w:autoSpaceDN w:val="0"/>
        <w:adjustRightInd w:val="0"/>
        <w:spacing w:after="0" w:line="240" w:lineRule="auto"/>
        <w:jc w:val="both"/>
        <w:rPr>
          <w:rFonts w:ascii="Arial" w:hAnsi="Arial" w:cs="Arial"/>
        </w:rPr>
      </w:pPr>
    </w:p>
    <w:p w14:paraId="036C8A88" w14:textId="739606B9" w:rsidR="0024380D" w:rsidRDefault="0024380D" w:rsidP="00077AC9">
      <w:pPr>
        <w:suppressAutoHyphens/>
        <w:autoSpaceDE w:val="0"/>
        <w:autoSpaceDN w:val="0"/>
        <w:adjustRightInd w:val="0"/>
        <w:spacing w:after="0" w:line="240" w:lineRule="auto"/>
        <w:jc w:val="both"/>
        <w:rPr>
          <w:rFonts w:ascii="Arial" w:hAnsi="Arial" w:cs="Arial"/>
          <w:color w:val="000000"/>
          <w14:ligatures w14:val="standardContextual"/>
        </w:rPr>
      </w:pPr>
      <w:r w:rsidRPr="0024380D">
        <w:rPr>
          <w:rFonts w:ascii="Arial" w:hAnsi="Arial" w:cs="Arial"/>
          <w:color w:val="000000"/>
          <w14:ligatures w14:val="standardContextual"/>
        </w:rPr>
        <w:t>Οι μετοχές αυτές αποκτήθηκαν κατά την περίοδο από 3 Ιουνίου 2024 έως 30 Απριλίου 2025, σε μέση τιμή 14,83 ευρώ ανά μετοχή. Κατόπιν ενημέρωσης του Χρηματιστηρίου Αθηνών και ολοκλήρωσης των λοιπών νομικών διαδικασιών, οι μετοχές ακυρώθηκαν και διαγράφηκαν από το Χρηματιστήριο Αθηνών (ΧΑ) στις 22 Ιουλίου 2025.</w:t>
      </w:r>
    </w:p>
    <w:p w14:paraId="7D8027F6" w14:textId="77777777" w:rsidR="00A42CC3" w:rsidRDefault="00A42CC3" w:rsidP="00077AC9">
      <w:pPr>
        <w:suppressAutoHyphens/>
        <w:autoSpaceDE w:val="0"/>
        <w:autoSpaceDN w:val="0"/>
        <w:adjustRightInd w:val="0"/>
        <w:spacing w:after="0" w:line="240" w:lineRule="auto"/>
        <w:jc w:val="both"/>
        <w:rPr>
          <w:rFonts w:ascii="Arial" w:hAnsi="Arial" w:cs="Arial"/>
          <w:color w:val="000000"/>
          <w14:ligatures w14:val="standardContextual"/>
        </w:rPr>
      </w:pPr>
    </w:p>
    <w:p w14:paraId="240728E3" w14:textId="38BF55EC" w:rsidR="00A42CC3" w:rsidRPr="00DE77EC" w:rsidRDefault="00A42CC3" w:rsidP="00077AC9">
      <w:pPr>
        <w:suppressAutoHyphens/>
        <w:autoSpaceDE w:val="0"/>
        <w:autoSpaceDN w:val="0"/>
        <w:adjustRightInd w:val="0"/>
        <w:spacing w:after="0" w:line="240" w:lineRule="auto"/>
        <w:jc w:val="both"/>
        <w:rPr>
          <w:rFonts w:ascii="Arial" w:hAnsi="Arial" w:cs="Arial"/>
          <w:color w:val="000000"/>
          <w14:ligatures w14:val="standardContextual"/>
        </w:rPr>
      </w:pPr>
      <w:r w:rsidRPr="00DE77EC">
        <w:rPr>
          <w:rFonts w:ascii="Arial" w:hAnsi="Arial" w:cs="Arial"/>
          <w:color w:val="000000"/>
          <w14:ligatures w14:val="standardContextual"/>
        </w:rPr>
        <w:t>Κατά το τρίτο τρίμηνο του 2025, η Εταιρεία απέκτησε 2.668.804 ίδιες μετοχές σε μέση τιμή €15,90 ανά μετοχή και, κατά την 30η Σεπτεμβρίου 2025, κατέχει 4.889.099 ίδιες μετοχές.</w:t>
      </w:r>
    </w:p>
    <w:p w14:paraId="2578CFED" w14:textId="77777777" w:rsidR="0024380D" w:rsidRPr="00DE77EC" w:rsidRDefault="0024380D" w:rsidP="00077AC9">
      <w:pPr>
        <w:suppressAutoHyphens/>
        <w:autoSpaceDE w:val="0"/>
        <w:autoSpaceDN w:val="0"/>
        <w:adjustRightInd w:val="0"/>
        <w:spacing w:after="0" w:line="240" w:lineRule="auto"/>
        <w:jc w:val="both"/>
        <w:rPr>
          <w:rFonts w:ascii="Arial" w:hAnsi="Arial" w:cs="Arial"/>
          <w14:ligatures w14:val="standardContextual"/>
        </w:rPr>
      </w:pPr>
    </w:p>
    <w:p w14:paraId="16F9F171" w14:textId="77777777" w:rsidR="00A127E3" w:rsidRPr="00DE77EC" w:rsidRDefault="00A127E3" w:rsidP="00A127E3">
      <w:pPr>
        <w:autoSpaceDE w:val="0"/>
        <w:autoSpaceDN w:val="0"/>
        <w:adjustRightInd w:val="0"/>
        <w:spacing w:after="0" w:line="240" w:lineRule="auto"/>
        <w:rPr>
          <w:rFonts w:ascii="Arial" w:hAnsi="Arial" w:cs="Arial"/>
          <w:color w:val="000000"/>
          <w14:ligatures w14:val="standardContextual"/>
        </w:rPr>
      </w:pPr>
      <w:r w:rsidRPr="00DE77EC">
        <w:rPr>
          <w:rFonts w:ascii="Arial" w:hAnsi="Arial" w:cs="Arial"/>
          <w:b/>
          <w:bCs/>
          <w:color w:val="000000"/>
          <w14:ligatures w14:val="standardContextual"/>
        </w:rPr>
        <w:t xml:space="preserve">Έκδοση νέου ομολόγου </w:t>
      </w:r>
    </w:p>
    <w:p w14:paraId="0DB02F01" w14:textId="77777777" w:rsidR="00A127E3" w:rsidRPr="00C73E12" w:rsidRDefault="00A127E3" w:rsidP="00A127E3">
      <w:pPr>
        <w:spacing w:after="0" w:line="240" w:lineRule="auto"/>
        <w:jc w:val="both"/>
        <w:rPr>
          <w:rFonts w:ascii="Arial" w:hAnsi="Arial" w:cs="Arial"/>
          <w:color w:val="000000"/>
          <w14:ligatures w14:val="standardContextual"/>
        </w:rPr>
      </w:pPr>
      <w:r w:rsidRPr="00DE77EC">
        <w:rPr>
          <w:rFonts w:ascii="Arial" w:hAnsi="Arial" w:cs="Arial"/>
          <w:color w:val="000000"/>
          <w14:ligatures w14:val="standardContextual"/>
        </w:rPr>
        <w:t xml:space="preserve">Στις 3 Ιουλίου 2025, η ΟΤΕ PLC εξέδωσε ομόλογο ποσού €60 εκατ. λήξεως Οκτωβρίου 2025, με απόδοση 2,394% ετησίως, το οποίο αναλήφθηκε πλήρως από την </w:t>
      </w:r>
      <w:proofErr w:type="spellStart"/>
      <w:r w:rsidRPr="00DE77EC">
        <w:rPr>
          <w:rFonts w:ascii="Arial" w:hAnsi="Arial" w:cs="Arial"/>
          <w:color w:val="000000"/>
          <w14:ligatures w14:val="standardContextual"/>
        </w:rPr>
        <w:t>Deutsche</w:t>
      </w:r>
      <w:proofErr w:type="spellEnd"/>
      <w:r w:rsidRPr="00DE77EC">
        <w:rPr>
          <w:rFonts w:ascii="Arial" w:hAnsi="Arial" w:cs="Arial"/>
          <w:color w:val="000000"/>
          <w14:ligatures w14:val="standardContextual"/>
        </w:rPr>
        <w:t xml:space="preserve"> </w:t>
      </w:r>
      <w:proofErr w:type="spellStart"/>
      <w:r w:rsidRPr="00DE77EC">
        <w:rPr>
          <w:rFonts w:ascii="Arial" w:hAnsi="Arial" w:cs="Arial"/>
          <w:color w:val="000000"/>
          <w14:ligatures w14:val="standardContextual"/>
        </w:rPr>
        <w:t>Telekom</w:t>
      </w:r>
      <w:proofErr w:type="spellEnd"/>
      <w:r w:rsidRPr="00DE77EC">
        <w:rPr>
          <w:rFonts w:ascii="Arial" w:hAnsi="Arial" w:cs="Arial"/>
          <w:color w:val="000000"/>
          <w14:ligatures w14:val="standardContextual"/>
        </w:rPr>
        <w:t xml:space="preserve"> AG. Τα έσοδα θα χρησιμοποιηθούν για την κάλυψη γενικών επιχειρησιακών αναγκών του Ομίλου ΟΤΕ.</w:t>
      </w:r>
    </w:p>
    <w:p w14:paraId="32E070C1" w14:textId="77777777" w:rsidR="00A127E3" w:rsidRPr="00FB20CB" w:rsidRDefault="00A127E3" w:rsidP="000A615F">
      <w:pPr>
        <w:pStyle w:val="Tittle2"/>
        <w:rPr>
          <w:rFonts w:cs="Arial"/>
          <w:lang w:val="el-GR"/>
        </w:rPr>
      </w:pPr>
    </w:p>
    <w:p w14:paraId="25068A87" w14:textId="524B6EA4" w:rsidR="00B91E6A" w:rsidRPr="00DE77EC" w:rsidRDefault="00B91E6A" w:rsidP="005376F7">
      <w:pPr>
        <w:pStyle w:val="Tittle2"/>
        <w:rPr>
          <w:rFonts w:cs="Arial"/>
          <w:b w:val="0"/>
          <w:color w:val="00B0F0"/>
          <w:sz w:val="22"/>
          <w:szCs w:val="22"/>
          <w:lang w:val="el-GR"/>
        </w:rPr>
      </w:pPr>
      <w:r w:rsidRPr="00FB20CB">
        <w:rPr>
          <w:rFonts w:cs="Arial"/>
          <w:lang w:val="el-GR"/>
        </w:rPr>
        <w:t>ΜΕΤΑΓΕΝΕΣΤΕΡΑ ΓΕΓΟΝΟΤΑ</w:t>
      </w:r>
      <w:r w:rsidRPr="00DE77EC">
        <w:rPr>
          <w:rFonts w:cs="Arial"/>
          <w:color w:val="00B0F0"/>
          <w:sz w:val="22"/>
          <w:szCs w:val="22"/>
          <w:lang w:val="el-GR"/>
        </w:rPr>
        <w:t xml:space="preserve"> </w:t>
      </w:r>
    </w:p>
    <w:p w14:paraId="2909AB85" w14:textId="4D449218" w:rsidR="0015724F" w:rsidRPr="00DE77EC" w:rsidRDefault="0015724F" w:rsidP="0015724F">
      <w:pPr>
        <w:autoSpaceDE w:val="0"/>
        <w:autoSpaceDN w:val="0"/>
        <w:adjustRightInd w:val="0"/>
        <w:spacing w:after="0" w:line="240" w:lineRule="auto"/>
        <w:rPr>
          <w:rFonts w:ascii="Arial" w:hAnsi="Arial" w:cs="Arial"/>
          <w14:ligatures w14:val="standardContextual"/>
        </w:rPr>
      </w:pPr>
      <w:r w:rsidRPr="00DE77EC">
        <w:rPr>
          <w:rFonts w:ascii="Arial" w:eastAsia="Times New Roman" w:hAnsi="Arial" w:cs="Arial"/>
          <w:b/>
        </w:rPr>
        <w:t xml:space="preserve">Ολοκληρώθηκε η πώληση της </w:t>
      </w:r>
      <w:r w:rsidRPr="00DE77EC">
        <w:rPr>
          <w:rFonts w:ascii="Arial" w:eastAsia="Times New Roman" w:hAnsi="Arial" w:cs="Arial"/>
          <w:b/>
          <w:lang w:val="en-US"/>
        </w:rPr>
        <w:t>Telekom</w:t>
      </w:r>
      <w:r w:rsidRPr="00DE77EC">
        <w:rPr>
          <w:rFonts w:ascii="Arial" w:eastAsia="Times New Roman" w:hAnsi="Arial" w:cs="Arial"/>
          <w:b/>
        </w:rPr>
        <w:t xml:space="preserve"> </w:t>
      </w:r>
      <w:r w:rsidRPr="00DE77EC">
        <w:rPr>
          <w:rFonts w:ascii="Arial" w:eastAsia="Times New Roman" w:hAnsi="Arial" w:cs="Arial"/>
          <w:b/>
          <w:lang w:val="en-US"/>
        </w:rPr>
        <w:t>Romania</w:t>
      </w:r>
      <w:r w:rsidRPr="00DE77EC">
        <w:rPr>
          <w:rFonts w:ascii="Arial" w:eastAsia="Times New Roman" w:hAnsi="Arial" w:cs="Arial"/>
          <w:b/>
        </w:rPr>
        <w:t xml:space="preserve"> </w:t>
      </w:r>
      <w:r w:rsidRPr="00DE77EC">
        <w:rPr>
          <w:rFonts w:ascii="Arial" w:eastAsia="Times New Roman" w:hAnsi="Arial" w:cs="Arial"/>
          <w:b/>
          <w:lang w:val="en-US"/>
        </w:rPr>
        <w:t>Mobile</w:t>
      </w:r>
      <w:r w:rsidRPr="00DE77EC">
        <w:rPr>
          <w:rFonts w:ascii="Arial" w:eastAsia="Times New Roman" w:hAnsi="Arial" w:cs="Arial"/>
          <w:b/>
        </w:rPr>
        <w:t xml:space="preserve"> </w:t>
      </w:r>
      <w:r w:rsidRPr="00DE77EC">
        <w:rPr>
          <w:rFonts w:ascii="Arial" w:eastAsia="Times New Roman" w:hAnsi="Arial" w:cs="Arial"/>
          <w:b/>
          <w:lang w:val="en-US"/>
        </w:rPr>
        <w:t>Communications</w:t>
      </w:r>
    </w:p>
    <w:p w14:paraId="5A63A7BF" w14:textId="17C72135" w:rsidR="0015724F" w:rsidRPr="00DE77EC" w:rsidRDefault="0015724F" w:rsidP="00A01193">
      <w:pPr>
        <w:autoSpaceDE w:val="0"/>
        <w:autoSpaceDN w:val="0"/>
        <w:adjustRightInd w:val="0"/>
        <w:spacing w:after="0" w:line="240" w:lineRule="auto"/>
        <w:jc w:val="both"/>
        <w:rPr>
          <w:rFonts w:ascii="Arial" w:hAnsi="Arial" w:cs="Arial"/>
          <w14:ligatures w14:val="standardContextual"/>
        </w:rPr>
      </w:pPr>
      <w:r w:rsidRPr="00DE77EC">
        <w:rPr>
          <w:rFonts w:ascii="Arial" w:hAnsi="Arial" w:cs="Arial"/>
          <w14:ligatures w14:val="standardContextual"/>
        </w:rPr>
        <w:t xml:space="preserve">Στις 1 Οκτωβρίου 2025 – ο ΟΤΕ </w:t>
      </w:r>
      <w:r w:rsidR="00923B57" w:rsidRPr="00DE77EC">
        <w:rPr>
          <w:rFonts w:ascii="Arial" w:hAnsi="Arial" w:cs="Arial"/>
          <w14:ligatures w14:val="standardContextual"/>
        </w:rPr>
        <w:t>ολοκλήρωσε</w:t>
      </w:r>
      <w:r w:rsidRPr="00DE77EC">
        <w:rPr>
          <w:rFonts w:ascii="Arial" w:hAnsi="Arial" w:cs="Arial"/>
          <w14:ligatures w14:val="standardContextual"/>
        </w:rPr>
        <w:t xml:space="preserve"> με επιτυχία </w:t>
      </w:r>
      <w:r w:rsidR="00923B57" w:rsidRPr="00DE77EC">
        <w:rPr>
          <w:rFonts w:ascii="Arial" w:hAnsi="Arial" w:cs="Arial"/>
          <w14:ligatures w14:val="standardContextual"/>
        </w:rPr>
        <w:t>τ</w:t>
      </w:r>
      <w:r w:rsidRPr="00DE77EC">
        <w:rPr>
          <w:rFonts w:ascii="Arial" w:hAnsi="Arial" w:cs="Arial"/>
          <w14:ligatures w14:val="standardContextual"/>
        </w:rPr>
        <w:t>η</w:t>
      </w:r>
      <w:r w:rsidR="00923B57" w:rsidRPr="00DE77EC">
        <w:rPr>
          <w:rFonts w:ascii="Arial" w:hAnsi="Arial" w:cs="Arial"/>
          <w14:ligatures w14:val="standardContextual"/>
        </w:rPr>
        <w:t>ν</w:t>
      </w:r>
      <w:r w:rsidRPr="00DE77EC">
        <w:rPr>
          <w:rFonts w:ascii="Arial" w:hAnsi="Arial" w:cs="Arial"/>
          <w14:ligatures w14:val="standardContextual"/>
        </w:rPr>
        <w:t xml:space="preserve"> πώληση της </w:t>
      </w:r>
      <w:proofErr w:type="spellStart"/>
      <w:r w:rsidRPr="00DE77EC">
        <w:rPr>
          <w:rFonts w:ascii="Arial" w:hAnsi="Arial" w:cs="Arial"/>
          <w14:ligatures w14:val="standardContextual"/>
        </w:rPr>
        <w:t>Telekom</w:t>
      </w:r>
      <w:proofErr w:type="spellEnd"/>
      <w:r w:rsidRPr="00DE77EC">
        <w:rPr>
          <w:rFonts w:ascii="Arial" w:hAnsi="Arial" w:cs="Arial"/>
          <w14:ligatures w14:val="standardContextual"/>
        </w:rPr>
        <w:t xml:space="preserve"> </w:t>
      </w:r>
      <w:proofErr w:type="spellStart"/>
      <w:r w:rsidRPr="00DE77EC">
        <w:rPr>
          <w:rFonts w:ascii="Arial" w:hAnsi="Arial" w:cs="Arial"/>
          <w14:ligatures w14:val="standardContextual"/>
        </w:rPr>
        <w:t>Romania</w:t>
      </w:r>
      <w:proofErr w:type="spellEnd"/>
      <w:r w:rsidRPr="00DE77EC">
        <w:rPr>
          <w:rFonts w:ascii="Arial" w:hAnsi="Arial" w:cs="Arial"/>
          <w14:ligatures w14:val="standardContextual"/>
        </w:rPr>
        <w:t xml:space="preserve"> </w:t>
      </w:r>
      <w:proofErr w:type="spellStart"/>
      <w:r w:rsidRPr="00DE77EC">
        <w:rPr>
          <w:rFonts w:ascii="Arial" w:hAnsi="Arial" w:cs="Arial"/>
          <w14:ligatures w14:val="standardContextual"/>
        </w:rPr>
        <w:t>Mobile</w:t>
      </w:r>
      <w:proofErr w:type="spellEnd"/>
      <w:r w:rsidRPr="00DE77EC">
        <w:rPr>
          <w:rFonts w:ascii="Arial" w:hAnsi="Arial" w:cs="Arial"/>
          <w14:ligatures w14:val="standardContextual"/>
        </w:rPr>
        <w:t xml:space="preserve"> Communications (“TKRM”). Το συνολικό τίμημα για την πώληση της TKRM ανήλθε σε €70 εκατ. </w:t>
      </w:r>
      <w:r w:rsidR="00A01193" w:rsidRPr="00A01193">
        <w:rPr>
          <w:rFonts w:ascii="Arial" w:hAnsi="Arial" w:cs="Arial"/>
          <w14:ligatures w14:val="standardContextual"/>
        </w:rPr>
        <w:t xml:space="preserve"> </w:t>
      </w:r>
      <w:r w:rsidRPr="00DE77EC">
        <w:rPr>
          <w:rFonts w:ascii="Arial" w:hAnsi="Arial" w:cs="Arial"/>
          <w14:ligatures w14:val="standardContextual"/>
        </w:rPr>
        <w:t>Τα καθαρά έσοδα, μετά τις προσαρμογές κατά την ολοκλήρωση, όπως το καθαρό χρέος, το κεφάλαιο κίνησης και άλλα κόστη &amp; έξοδα/προβλέψεις, ανήλθαν σε περίπου €40 εκατ., τα οποία θα διανεμηθούν στους μετόχους</w:t>
      </w:r>
      <w:r w:rsidR="00EA43AC" w:rsidRPr="00EA43AC">
        <w:rPr>
          <w:rFonts w:ascii="Arial" w:hAnsi="Arial" w:cs="Arial"/>
          <w14:ligatures w14:val="standardContextual"/>
        </w:rPr>
        <w:t xml:space="preserve"> </w:t>
      </w:r>
      <w:r w:rsidR="00EA43AC">
        <w:rPr>
          <w:rFonts w:ascii="Arial" w:hAnsi="Arial" w:cs="Arial"/>
          <w14:ligatures w14:val="standardContextual"/>
        </w:rPr>
        <w:t>με την μορφή έκτακτου μερίσματος</w:t>
      </w:r>
      <w:r w:rsidRPr="00DE77EC">
        <w:rPr>
          <w:rFonts w:ascii="Arial" w:hAnsi="Arial" w:cs="Arial"/>
          <w14:ligatures w14:val="standardContextual"/>
        </w:rPr>
        <w:t xml:space="preserve">. </w:t>
      </w:r>
    </w:p>
    <w:p w14:paraId="44973764" w14:textId="77777777" w:rsidR="0015724F" w:rsidRPr="00DE77EC" w:rsidRDefault="0015724F" w:rsidP="00923B57">
      <w:pPr>
        <w:suppressAutoHyphens/>
        <w:autoSpaceDE w:val="0"/>
        <w:autoSpaceDN w:val="0"/>
        <w:adjustRightInd w:val="0"/>
        <w:spacing w:after="0" w:line="240" w:lineRule="auto"/>
        <w:jc w:val="both"/>
        <w:rPr>
          <w:rFonts w:ascii="Arial" w:hAnsi="Arial" w:cs="Arial"/>
          <w14:ligatures w14:val="standardContextual"/>
        </w:rPr>
      </w:pPr>
    </w:p>
    <w:p w14:paraId="796C8248" w14:textId="22C7C5D2" w:rsidR="00A72CEE" w:rsidRPr="00DE77EC" w:rsidRDefault="0015724F" w:rsidP="0015724F">
      <w:pPr>
        <w:suppressAutoHyphens/>
        <w:autoSpaceDE w:val="0"/>
        <w:autoSpaceDN w:val="0"/>
        <w:adjustRightInd w:val="0"/>
        <w:spacing w:after="0" w:line="240" w:lineRule="auto"/>
        <w:jc w:val="both"/>
        <w:rPr>
          <w:rFonts w:ascii="Arial" w:eastAsia="Times New Roman" w:hAnsi="Arial" w:cs="Arial"/>
          <w:b/>
        </w:rPr>
      </w:pPr>
      <w:r w:rsidRPr="00DE77EC">
        <w:rPr>
          <w:rFonts w:ascii="Arial" w:eastAsia="Times New Roman" w:hAnsi="Arial" w:cs="Arial"/>
          <w:b/>
        </w:rPr>
        <w:t>Έκτακτο Μέρισμα</w:t>
      </w:r>
    </w:p>
    <w:p w14:paraId="0F8D6DDE" w14:textId="5657E06E" w:rsidR="00563D67" w:rsidRPr="00DE77EC" w:rsidRDefault="00BE1D56" w:rsidP="00BC1F01">
      <w:pPr>
        <w:autoSpaceDE w:val="0"/>
        <w:autoSpaceDN w:val="0"/>
        <w:adjustRightInd w:val="0"/>
        <w:spacing w:after="0" w:line="240" w:lineRule="auto"/>
        <w:jc w:val="both"/>
        <w:rPr>
          <w:rFonts w:ascii="Arial" w:hAnsi="Arial" w:cs="Arial"/>
          <w14:ligatures w14:val="standardContextual"/>
        </w:rPr>
      </w:pPr>
      <w:r w:rsidRPr="00DE77EC">
        <w:rPr>
          <w:rFonts w:ascii="Arial" w:hAnsi="Arial" w:cs="Arial"/>
          <w14:ligatures w14:val="standardContextual"/>
        </w:rPr>
        <w:t>Στις 12 Νοεμβρίου 2025, το Διοικητικό Συμβούλιο τ</w:t>
      </w:r>
      <w:r w:rsidR="0086425A" w:rsidRPr="00DE77EC">
        <w:rPr>
          <w:rFonts w:ascii="Arial" w:hAnsi="Arial" w:cs="Arial"/>
          <w14:ligatures w14:val="standardContextual"/>
        </w:rPr>
        <w:t>ου</w:t>
      </w:r>
      <w:r w:rsidRPr="00DE77EC">
        <w:rPr>
          <w:rFonts w:ascii="Arial" w:hAnsi="Arial" w:cs="Arial"/>
          <w14:ligatures w14:val="standardContextual"/>
        </w:rPr>
        <w:t xml:space="preserve"> ΟΤΕ ενέκρινε έκτακτη διανομή προς τους μετόχους ύψους €40 εκατ., υπό μορφή έκτακτου μερίσματος €0,1</w:t>
      </w:r>
      <w:r w:rsidR="003E0237">
        <w:rPr>
          <w:rFonts w:ascii="Arial" w:hAnsi="Arial" w:cs="Arial"/>
          <w14:ligatures w14:val="standardContextual"/>
        </w:rPr>
        <w:t>0</w:t>
      </w:r>
      <w:r w:rsidRPr="00DE77EC">
        <w:rPr>
          <w:rFonts w:ascii="Arial" w:hAnsi="Arial" w:cs="Arial"/>
          <w14:ligatures w14:val="standardContextual"/>
        </w:rPr>
        <w:t xml:space="preserve"> ανά μετοχή, μετά την πώληση της </w:t>
      </w:r>
      <w:proofErr w:type="spellStart"/>
      <w:r w:rsidRPr="00DE77EC">
        <w:rPr>
          <w:rFonts w:ascii="Arial" w:hAnsi="Arial" w:cs="Arial"/>
          <w14:ligatures w14:val="standardContextual"/>
        </w:rPr>
        <w:t>Telekom</w:t>
      </w:r>
      <w:proofErr w:type="spellEnd"/>
      <w:r w:rsidRPr="00DE77EC">
        <w:rPr>
          <w:rFonts w:ascii="Arial" w:hAnsi="Arial" w:cs="Arial"/>
          <w14:ligatures w14:val="standardContextual"/>
        </w:rPr>
        <w:t xml:space="preserve"> </w:t>
      </w:r>
      <w:proofErr w:type="spellStart"/>
      <w:r w:rsidRPr="00DE77EC">
        <w:rPr>
          <w:rFonts w:ascii="Arial" w:hAnsi="Arial" w:cs="Arial"/>
          <w14:ligatures w14:val="standardContextual"/>
        </w:rPr>
        <w:t>Romania</w:t>
      </w:r>
      <w:proofErr w:type="spellEnd"/>
      <w:r w:rsidRPr="00DE77EC">
        <w:rPr>
          <w:rFonts w:ascii="Arial" w:hAnsi="Arial" w:cs="Arial"/>
          <w14:ligatures w14:val="standardContextual"/>
        </w:rPr>
        <w:t xml:space="preserve"> </w:t>
      </w:r>
      <w:proofErr w:type="spellStart"/>
      <w:r w:rsidRPr="00DE77EC">
        <w:rPr>
          <w:rFonts w:ascii="Arial" w:hAnsi="Arial" w:cs="Arial"/>
          <w14:ligatures w14:val="standardContextual"/>
        </w:rPr>
        <w:t>Mobile</w:t>
      </w:r>
      <w:proofErr w:type="spellEnd"/>
      <w:r w:rsidRPr="00DE77EC">
        <w:rPr>
          <w:rFonts w:ascii="Arial" w:hAnsi="Arial" w:cs="Arial"/>
          <w14:ligatures w14:val="standardContextual"/>
        </w:rPr>
        <w:t xml:space="preserve"> Communications (TKRM). Το </w:t>
      </w:r>
      <w:r w:rsidR="00094093" w:rsidRPr="00DE77EC">
        <w:rPr>
          <w:rFonts w:ascii="Arial" w:hAnsi="Arial" w:cs="Arial"/>
          <w14:ligatures w14:val="standardContextual"/>
        </w:rPr>
        <w:t xml:space="preserve">ποσό του </w:t>
      </w:r>
      <w:r w:rsidRPr="00DE77EC">
        <w:rPr>
          <w:rFonts w:ascii="Arial" w:hAnsi="Arial" w:cs="Arial"/>
          <w14:ligatures w14:val="standardContextual"/>
        </w:rPr>
        <w:t>έκτακτο</w:t>
      </w:r>
      <w:r w:rsidR="00094093" w:rsidRPr="00DE77EC">
        <w:rPr>
          <w:rFonts w:ascii="Arial" w:hAnsi="Arial" w:cs="Arial"/>
          <w14:ligatures w14:val="standardContextual"/>
        </w:rPr>
        <w:t>υ</w:t>
      </w:r>
      <w:r w:rsidRPr="00DE77EC">
        <w:rPr>
          <w:rFonts w:ascii="Arial" w:hAnsi="Arial" w:cs="Arial"/>
          <w14:ligatures w14:val="standardContextual"/>
        </w:rPr>
        <w:t xml:space="preserve"> </w:t>
      </w:r>
      <w:r w:rsidR="00094093" w:rsidRPr="00DE77EC">
        <w:rPr>
          <w:rFonts w:ascii="Arial" w:hAnsi="Arial" w:cs="Arial"/>
          <w14:ligatures w14:val="standardContextual"/>
        </w:rPr>
        <w:t>μερίσματος</w:t>
      </w:r>
      <w:r w:rsidRPr="00DE77EC">
        <w:rPr>
          <w:rFonts w:ascii="Arial" w:hAnsi="Arial" w:cs="Arial"/>
          <w14:ligatures w14:val="standardContextual"/>
        </w:rPr>
        <w:t xml:space="preserve"> θα </w:t>
      </w:r>
      <w:r w:rsidR="00BC1F01" w:rsidRPr="00DE77EC">
        <w:rPr>
          <w:rFonts w:ascii="Arial" w:hAnsi="Arial" w:cs="Arial"/>
          <w14:ligatures w14:val="standardContextual"/>
        </w:rPr>
        <w:t xml:space="preserve">είναι προσαυξημένο με το μέρισμα που αντιστοιχεί στις ίδιες μετοχές που θα κατέχει η Εταιρεία την ημερομηνία αποκοπής του μερίσματος, οι οποίες δεν δικαιούνται μέρισμα. </w:t>
      </w:r>
      <w:r w:rsidRPr="00DE77EC">
        <w:rPr>
          <w:rFonts w:ascii="Arial" w:hAnsi="Arial" w:cs="Arial"/>
          <w14:ligatures w14:val="standardContextual"/>
        </w:rPr>
        <w:t>Το έκτακτο μέρισμα θα καταβληθεί στις 30 Δεκεμβρίου 2025.</w:t>
      </w:r>
    </w:p>
    <w:p w14:paraId="289E5717" w14:textId="31466A91" w:rsidR="002615AA" w:rsidRPr="00DE77EC" w:rsidRDefault="002615AA" w:rsidP="009820FA">
      <w:pPr>
        <w:spacing w:after="0" w:line="240" w:lineRule="auto"/>
        <w:jc w:val="both"/>
        <w:rPr>
          <w:rFonts w:ascii="Arial" w:hAnsi="Arial" w:cs="Arial"/>
          <w:b/>
          <w:color w:val="000000" w:themeColor="text1"/>
        </w:rPr>
      </w:pPr>
    </w:p>
    <w:p w14:paraId="560D19B4" w14:textId="77777777" w:rsidR="007546E1" w:rsidRPr="0038353A" w:rsidRDefault="007546E1" w:rsidP="0038353A">
      <w:pPr>
        <w:suppressAutoHyphens/>
        <w:autoSpaceDE w:val="0"/>
        <w:autoSpaceDN w:val="0"/>
        <w:adjustRightInd w:val="0"/>
        <w:spacing w:after="0" w:line="240" w:lineRule="auto"/>
        <w:jc w:val="both"/>
        <w:rPr>
          <w:rFonts w:ascii="Arial" w:eastAsia="Times New Roman" w:hAnsi="Arial" w:cs="Arial"/>
          <w:b/>
        </w:rPr>
      </w:pPr>
      <w:bookmarkStart w:id="4" w:name="_Hlk213010793"/>
      <w:r w:rsidRPr="0038353A">
        <w:rPr>
          <w:rFonts w:ascii="Arial" w:eastAsia="Times New Roman" w:hAnsi="Arial" w:cs="Arial"/>
          <w:b/>
        </w:rPr>
        <w:lastRenderedPageBreak/>
        <w:t xml:space="preserve">Ο ΟΤΕ υπέγραψε συμφωνία για την υλοποίηση του έργου ΣΔΙΤ UFBB μέσω μεταβίβασης της εταιρείας TERNA FIBER </w:t>
      </w:r>
      <w:bookmarkEnd w:id="4"/>
    </w:p>
    <w:p w14:paraId="1778766F" w14:textId="45192BA1" w:rsidR="00C34737" w:rsidRDefault="00DE77EC" w:rsidP="00915173">
      <w:pPr>
        <w:jc w:val="both"/>
        <w:rPr>
          <w:rFonts w:ascii="Arial" w:hAnsi="Arial" w:cs="Arial"/>
        </w:rPr>
      </w:pPr>
      <w:r w:rsidRPr="000A615F">
        <w:rPr>
          <w:rFonts w:ascii="Arial" w:hAnsi="Arial" w:cs="Arial"/>
          <w14:ligatures w14:val="standardContextual"/>
        </w:rPr>
        <w:t xml:space="preserve">Στις </w:t>
      </w:r>
      <w:r w:rsidR="00CE0839">
        <w:rPr>
          <w:rFonts w:ascii="Arial" w:hAnsi="Arial" w:cs="Arial"/>
          <w14:ligatures w14:val="standardContextual"/>
        </w:rPr>
        <w:t>6</w:t>
      </w:r>
      <w:r w:rsidRPr="000A615F">
        <w:rPr>
          <w:rFonts w:ascii="Arial" w:hAnsi="Arial" w:cs="Arial"/>
          <w14:ligatures w14:val="standardContextual"/>
        </w:rPr>
        <w:t xml:space="preserve"> Νοεμβρίου</w:t>
      </w:r>
      <w:r w:rsidR="00104E07" w:rsidRPr="00104E07">
        <w:rPr>
          <w:rFonts w:ascii="Arial" w:hAnsi="Arial" w:cs="Arial"/>
          <w14:ligatures w14:val="standardContextual"/>
        </w:rPr>
        <w:t xml:space="preserve"> </w:t>
      </w:r>
      <w:r w:rsidR="00104E07" w:rsidRPr="00DE77EC">
        <w:rPr>
          <w:rFonts w:ascii="Arial" w:hAnsi="Arial" w:cs="Arial"/>
          <w14:ligatures w14:val="standardContextual"/>
        </w:rPr>
        <w:t>2025</w:t>
      </w:r>
      <w:r w:rsidRPr="000A615F">
        <w:rPr>
          <w:rFonts w:ascii="Arial" w:hAnsi="Arial" w:cs="Arial"/>
          <w14:ligatures w14:val="standardContextual"/>
        </w:rPr>
        <w:t xml:space="preserve">, ο OTE </w:t>
      </w:r>
      <w:r w:rsidR="00CE0839">
        <w:rPr>
          <w:rFonts w:ascii="Arial" w:hAnsi="Arial" w:cs="Arial"/>
          <w14:ligatures w14:val="standardContextual"/>
        </w:rPr>
        <w:t>ανακοίνωσε την</w:t>
      </w:r>
      <w:r w:rsidR="007546E1" w:rsidRPr="000A615F">
        <w:rPr>
          <w:rFonts w:ascii="Arial" w:hAnsi="Arial" w:cs="Arial"/>
          <w14:ligatures w14:val="standardContextual"/>
        </w:rPr>
        <w:t xml:space="preserve"> σύναψη δεσμευτικών συμφωνιών για την απόκτηση της εταιρείας ειδικού σκοπού TERNA FIBER, στην οποία έχει κατακυρωθεί το έργο “Υποδομές </w:t>
      </w:r>
      <w:proofErr w:type="spellStart"/>
      <w:r w:rsidR="007546E1" w:rsidRPr="000A615F">
        <w:rPr>
          <w:rFonts w:ascii="Arial" w:hAnsi="Arial" w:cs="Arial"/>
          <w14:ligatures w14:val="standardContextual"/>
        </w:rPr>
        <w:t>Υπερυψηλής</w:t>
      </w:r>
      <w:proofErr w:type="spellEnd"/>
      <w:r w:rsidR="007546E1" w:rsidRPr="000A615F">
        <w:rPr>
          <w:rFonts w:ascii="Arial" w:hAnsi="Arial" w:cs="Arial"/>
          <w14:ligatures w14:val="standardContextual"/>
        </w:rPr>
        <w:t xml:space="preserve"> </w:t>
      </w:r>
      <w:proofErr w:type="spellStart"/>
      <w:r w:rsidR="007546E1" w:rsidRPr="000A615F">
        <w:rPr>
          <w:rFonts w:ascii="Arial" w:hAnsi="Arial" w:cs="Arial"/>
          <w14:ligatures w14:val="standardContextual"/>
        </w:rPr>
        <w:t>Ευρυζωνικότητας</w:t>
      </w:r>
      <w:proofErr w:type="spellEnd"/>
      <w:r w:rsidR="007546E1" w:rsidRPr="000A615F">
        <w:rPr>
          <w:rFonts w:ascii="Arial" w:hAnsi="Arial" w:cs="Arial"/>
          <w14:ligatures w14:val="standardContextual"/>
        </w:rPr>
        <w:t xml:space="preserve"> </w:t>
      </w:r>
      <w:proofErr w:type="spellStart"/>
      <w:r w:rsidR="007546E1" w:rsidRPr="000A615F">
        <w:rPr>
          <w:rFonts w:ascii="Arial" w:hAnsi="Arial" w:cs="Arial"/>
          <w14:ligatures w14:val="standardContextual"/>
        </w:rPr>
        <w:t>Ultra-Fast</w:t>
      </w:r>
      <w:proofErr w:type="spellEnd"/>
      <w:r w:rsidR="007546E1" w:rsidRPr="000A615F">
        <w:rPr>
          <w:rFonts w:ascii="Arial" w:hAnsi="Arial" w:cs="Arial"/>
          <w14:ligatures w14:val="standardContextual"/>
        </w:rPr>
        <w:t xml:space="preserve"> </w:t>
      </w:r>
      <w:proofErr w:type="spellStart"/>
      <w:r w:rsidR="007546E1" w:rsidRPr="000A615F">
        <w:rPr>
          <w:rFonts w:ascii="Arial" w:hAnsi="Arial" w:cs="Arial"/>
          <w14:ligatures w14:val="standardContextual"/>
        </w:rPr>
        <w:t>Broadband</w:t>
      </w:r>
      <w:proofErr w:type="spellEnd"/>
      <w:r w:rsidR="007546E1" w:rsidRPr="000A615F">
        <w:rPr>
          <w:rFonts w:ascii="Arial" w:hAnsi="Arial" w:cs="Arial"/>
          <w14:ligatures w14:val="standardContextual"/>
        </w:rPr>
        <w:t>”</w:t>
      </w:r>
      <w:r w:rsidR="007546E1" w:rsidRPr="000A615F" w:rsidDel="00511799">
        <w:rPr>
          <w:rFonts w:ascii="Arial" w:hAnsi="Arial" w:cs="Arial"/>
          <w14:ligatures w14:val="standardContextual"/>
        </w:rPr>
        <w:t xml:space="preserve"> </w:t>
      </w:r>
      <w:r w:rsidR="007546E1" w:rsidRPr="000A615F">
        <w:rPr>
          <w:rFonts w:ascii="Arial" w:hAnsi="Arial" w:cs="Arial"/>
          <w14:ligatures w14:val="standardContextual"/>
        </w:rPr>
        <w:t xml:space="preserve">(UFBB). Στο πλαίσιο του UFBB, η TERNA FIBER έχει αναλάβει την ανάπτυξη και τη λειτουργία υποδομών που θα εξασφαλίζουν </w:t>
      </w:r>
      <w:proofErr w:type="spellStart"/>
      <w:r w:rsidR="007546E1" w:rsidRPr="000A615F">
        <w:rPr>
          <w:rFonts w:ascii="Arial" w:hAnsi="Arial" w:cs="Arial"/>
          <w14:ligatures w14:val="standardContextual"/>
        </w:rPr>
        <w:t>υπερυψηλές</w:t>
      </w:r>
      <w:proofErr w:type="spellEnd"/>
      <w:r w:rsidR="007546E1" w:rsidRPr="000A615F">
        <w:rPr>
          <w:rFonts w:ascii="Arial" w:hAnsi="Arial" w:cs="Arial"/>
          <w14:ligatures w14:val="standardContextual"/>
        </w:rPr>
        <w:t xml:space="preserve"> ταχύτητες Internet, </w:t>
      </w:r>
      <w:r w:rsidR="007546E1" w:rsidRPr="000A615F" w:rsidDel="007935C3">
        <w:rPr>
          <w:rFonts w:ascii="Arial" w:hAnsi="Arial" w:cs="Arial"/>
          <w14:ligatures w14:val="standardContextual"/>
        </w:rPr>
        <w:t xml:space="preserve"> </w:t>
      </w:r>
      <w:r w:rsidR="007546E1" w:rsidRPr="000A615F">
        <w:rPr>
          <w:rFonts w:ascii="Arial" w:hAnsi="Arial" w:cs="Arial"/>
          <w14:ligatures w14:val="standardContextual"/>
        </w:rPr>
        <w:t>σε τέσσερις από τις επτά γεωγραφικές ζώνες του έργου, καλύπτοντας 480.000 νοικοκυριά και επιχειρήσεις σε ημιαστικές και αγροτικές περιοχές της Ελλάδας</w:t>
      </w:r>
      <w:r w:rsidR="007546E1" w:rsidRPr="00E37275">
        <w:rPr>
          <w:rFonts w:ascii="Arial" w:eastAsia="Times New Roman" w:hAnsi="Arial" w:cs="Arial"/>
          <w:sz w:val="20"/>
          <w:szCs w:val="20"/>
        </w:rPr>
        <w:t>.</w:t>
      </w:r>
    </w:p>
    <w:p w14:paraId="568BD04C" w14:textId="77777777" w:rsidR="00687955" w:rsidRPr="000A615F" w:rsidRDefault="00E15FD4" w:rsidP="000A615F">
      <w:pPr>
        <w:suppressAutoHyphens/>
        <w:autoSpaceDE w:val="0"/>
        <w:autoSpaceDN w:val="0"/>
        <w:adjustRightInd w:val="0"/>
        <w:spacing w:after="0" w:line="240" w:lineRule="auto"/>
        <w:jc w:val="both"/>
        <w:rPr>
          <w:rFonts w:ascii="Arial" w:eastAsia="Times New Roman" w:hAnsi="Arial" w:cs="Arial"/>
          <w:b/>
        </w:rPr>
      </w:pPr>
      <w:r w:rsidRPr="000A615F">
        <w:rPr>
          <w:rFonts w:ascii="Arial" w:eastAsia="Times New Roman" w:hAnsi="Arial" w:cs="Arial"/>
          <w:b/>
        </w:rPr>
        <w:t>Απόσχιση του κλάδου παθητικών υποδομών κινητής</w:t>
      </w:r>
    </w:p>
    <w:p w14:paraId="501DBCCC" w14:textId="5D880FCF" w:rsidR="00A10184" w:rsidRPr="000A615F" w:rsidRDefault="00A10184" w:rsidP="00687955">
      <w:pPr>
        <w:jc w:val="both"/>
        <w:rPr>
          <w:rFonts w:ascii="Arial" w:hAnsi="Arial" w:cs="Arial"/>
        </w:rPr>
      </w:pPr>
      <w:r w:rsidRPr="00A10184">
        <w:rPr>
          <w:rFonts w:ascii="Arial" w:hAnsi="Arial" w:cs="Arial"/>
        </w:rPr>
        <w:t xml:space="preserve">Στις 3 Νοεμβρίου </w:t>
      </w:r>
      <w:r w:rsidR="00104E07" w:rsidRPr="00DE77EC">
        <w:rPr>
          <w:rFonts w:ascii="Arial" w:hAnsi="Arial" w:cs="Arial"/>
          <w14:ligatures w14:val="standardContextual"/>
        </w:rPr>
        <w:t>2025,</w:t>
      </w:r>
      <w:r w:rsidRPr="00104E07">
        <w:rPr>
          <w:rFonts w:ascii="Arial" w:hAnsi="Arial" w:cs="Arial"/>
          <w14:ligatures w14:val="standardContextual"/>
        </w:rPr>
        <w:t xml:space="preserve"> </w:t>
      </w:r>
      <w:r w:rsidRPr="00A10184">
        <w:rPr>
          <w:rFonts w:ascii="Arial" w:hAnsi="Arial" w:cs="Arial"/>
        </w:rPr>
        <w:t xml:space="preserve">ολοκληρώθηκε </w:t>
      </w:r>
      <w:r w:rsidR="00C827E5">
        <w:rPr>
          <w:rFonts w:ascii="Arial" w:hAnsi="Arial" w:cs="Arial"/>
        </w:rPr>
        <w:t xml:space="preserve">η απόσχιση του </w:t>
      </w:r>
      <w:r w:rsidR="00C827E5" w:rsidRPr="00C827E5">
        <w:rPr>
          <w:rFonts w:ascii="Arial" w:hAnsi="Arial" w:cs="Arial"/>
        </w:rPr>
        <w:t xml:space="preserve">αυτοτελούς κλάδου δραστηριότητας παθητικών υποδομών κινητής της OTE A.E. </w:t>
      </w:r>
      <w:r w:rsidRPr="00A10184">
        <w:rPr>
          <w:rFonts w:ascii="Arial" w:hAnsi="Arial" w:cs="Arial"/>
        </w:rPr>
        <w:t>με τη σύσταση μιας νέας, 100% θυγατρικής εταιρείας, της COSMOTE</w:t>
      </w:r>
      <w:r w:rsidR="000E027F" w:rsidRPr="00893BF6">
        <w:rPr>
          <w:rFonts w:ascii="Arial" w:hAnsi="Arial" w:cs="Arial"/>
        </w:rPr>
        <w:t xml:space="preserve"> </w:t>
      </w:r>
      <w:r w:rsidR="000E027F" w:rsidRPr="00913F31">
        <w:rPr>
          <w:rFonts w:ascii="Arial" w:hAnsi="Arial" w:cs="Arial"/>
          <w:lang w:val="en-US"/>
        </w:rPr>
        <w:t>TELEKOM</w:t>
      </w:r>
      <w:r w:rsidR="000E027F" w:rsidRPr="00893BF6">
        <w:rPr>
          <w:rFonts w:ascii="Arial" w:hAnsi="Arial" w:cs="Arial"/>
        </w:rPr>
        <w:t xml:space="preserve"> </w:t>
      </w:r>
      <w:r w:rsidRPr="00A10184">
        <w:rPr>
          <w:rFonts w:ascii="Arial" w:hAnsi="Arial" w:cs="Arial"/>
        </w:rPr>
        <w:t xml:space="preserve"> </w:t>
      </w:r>
      <w:proofErr w:type="spellStart"/>
      <w:r w:rsidRPr="00A10184">
        <w:rPr>
          <w:rFonts w:ascii="Arial" w:hAnsi="Arial" w:cs="Arial"/>
        </w:rPr>
        <w:t>Towers</w:t>
      </w:r>
      <w:proofErr w:type="spellEnd"/>
      <w:r w:rsidR="00C827E5">
        <w:rPr>
          <w:rFonts w:ascii="Arial" w:hAnsi="Arial" w:cs="Arial"/>
        </w:rPr>
        <w:t xml:space="preserve"> (‘’</w:t>
      </w:r>
      <w:r w:rsidR="00C827E5">
        <w:rPr>
          <w:rFonts w:ascii="Arial" w:hAnsi="Arial" w:cs="Arial"/>
          <w:lang w:val="en-US"/>
        </w:rPr>
        <w:t>CT</w:t>
      </w:r>
      <w:r w:rsidR="00D15690">
        <w:rPr>
          <w:rFonts w:ascii="Arial" w:hAnsi="Arial" w:cs="Arial"/>
          <w:lang w:val="en-US"/>
        </w:rPr>
        <w:t>T</w:t>
      </w:r>
      <w:r w:rsidR="00C827E5" w:rsidRPr="00C827E5">
        <w:rPr>
          <w:rFonts w:ascii="Arial" w:hAnsi="Arial" w:cs="Arial"/>
        </w:rPr>
        <w:t>’’)</w:t>
      </w:r>
      <w:r w:rsidRPr="00A10184">
        <w:rPr>
          <w:rFonts w:ascii="Arial" w:hAnsi="Arial" w:cs="Arial"/>
        </w:rPr>
        <w:t xml:space="preserve">, στην οποία μεταφέρθηκαν </w:t>
      </w:r>
      <w:r w:rsidR="00E4317A">
        <w:rPr>
          <w:rFonts w:ascii="Arial" w:hAnsi="Arial" w:cs="Arial"/>
        </w:rPr>
        <w:t xml:space="preserve">περίπου </w:t>
      </w:r>
      <w:r w:rsidRPr="00EA2588">
        <w:rPr>
          <w:rFonts w:ascii="Arial" w:hAnsi="Arial" w:cs="Arial"/>
        </w:rPr>
        <w:t>3.800</w:t>
      </w:r>
      <w:r w:rsidRPr="00A10184">
        <w:rPr>
          <w:rFonts w:ascii="Arial" w:hAnsi="Arial" w:cs="Arial"/>
        </w:rPr>
        <w:t xml:space="preserve"> πύργοι κινητής τηλεφωνίας. Η σύσταση της </w:t>
      </w:r>
      <w:r w:rsidR="006B7289">
        <w:rPr>
          <w:rFonts w:ascii="Arial" w:hAnsi="Arial" w:cs="Arial"/>
          <w:lang w:val="en-US"/>
        </w:rPr>
        <w:t>CTT</w:t>
      </w:r>
      <w:r w:rsidRPr="00A10184">
        <w:rPr>
          <w:rFonts w:ascii="Arial" w:hAnsi="Arial" w:cs="Arial"/>
        </w:rPr>
        <w:t xml:space="preserve"> στοχεύει στη βελτίωση της αποδοτικότητας στη διαχείριση των πύργων, καθώς και στη μεγαλύτερη διαφάνεια σχετικά με την αξία αυτού του περιουσιακού στοιχείου.</w:t>
      </w:r>
    </w:p>
    <w:p w14:paraId="6AE86E1C" w14:textId="73F9D24A" w:rsidR="00783E1C" w:rsidRPr="000A615F" w:rsidRDefault="00783E1C" w:rsidP="000A615F">
      <w:pPr>
        <w:suppressAutoHyphens/>
        <w:autoSpaceDE w:val="0"/>
        <w:autoSpaceDN w:val="0"/>
        <w:adjustRightInd w:val="0"/>
        <w:spacing w:after="0" w:line="240" w:lineRule="auto"/>
        <w:jc w:val="both"/>
        <w:rPr>
          <w:rFonts w:ascii="Arial" w:eastAsia="Times New Roman" w:hAnsi="Arial" w:cs="Arial"/>
          <w:b/>
        </w:rPr>
      </w:pPr>
      <w:r w:rsidRPr="000A615F">
        <w:rPr>
          <w:rFonts w:ascii="Arial" w:eastAsia="Times New Roman" w:hAnsi="Arial" w:cs="Arial"/>
          <w:b/>
        </w:rPr>
        <w:t xml:space="preserve">Αποπληρωμή Ομολόγου </w:t>
      </w:r>
    </w:p>
    <w:p w14:paraId="73C60931" w14:textId="3AB3979F" w:rsidR="00C7742D" w:rsidRPr="000A615F" w:rsidRDefault="00783E1C" w:rsidP="00783E1C">
      <w:pPr>
        <w:jc w:val="both"/>
        <w:rPr>
          <w:rFonts w:ascii="Arial" w:hAnsi="Arial" w:cs="Arial"/>
        </w:rPr>
      </w:pPr>
      <w:r w:rsidRPr="000A615F">
        <w:rPr>
          <w:rFonts w:ascii="Arial" w:hAnsi="Arial" w:cs="Arial"/>
        </w:rPr>
        <w:t xml:space="preserve">Την </w:t>
      </w:r>
      <w:r w:rsidR="00844307" w:rsidRPr="000A615F">
        <w:rPr>
          <w:rFonts w:ascii="Arial" w:hAnsi="Arial" w:cs="Arial"/>
        </w:rPr>
        <w:t>7</w:t>
      </w:r>
      <w:r w:rsidRPr="000A615F">
        <w:rPr>
          <w:rFonts w:ascii="Arial" w:hAnsi="Arial" w:cs="Arial"/>
        </w:rPr>
        <w:t xml:space="preserve"> </w:t>
      </w:r>
      <w:r w:rsidR="00844307" w:rsidRPr="000A615F">
        <w:rPr>
          <w:rFonts w:ascii="Arial" w:hAnsi="Arial" w:cs="Arial"/>
        </w:rPr>
        <w:t>Οκτωβρίου</w:t>
      </w:r>
      <w:r w:rsidRPr="000A615F">
        <w:rPr>
          <w:rFonts w:ascii="Arial" w:hAnsi="Arial" w:cs="Arial"/>
        </w:rPr>
        <w:t xml:space="preserve"> 202</w:t>
      </w:r>
      <w:r w:rsidR="00844307" w:rsidRPr="000A615F">
        <w:rPr>
          <w:rFonts w:ascii="Arial" w:hAnsi="Arial" w:cs="Arial"/>
        </w:rPr>
        <w:t>5</w:t>
      </w:r>
      <w:r w:rsidRPr="000A615F">
        <w:rPr>
          <w:rFonts w:ascii="Arial" w:hAnsi="Arial" w:cs="Arial"/>
        </w:rPr>
        <w:t xml:space="preserve">, η OTE PLC αποπλήρωσε στη λήξη του το ομόλογο σταθερού επιτοκίου ύψους </w:t>
      </w:r>
      <w:r w:rsidR="00633996" w:rsidRPr="000A615F">
        <w:rPr>
          <w:rFonts w:ascii="Arial" w:hAnsi="Arial" w:cs="Arial"/>
        </w:rPr>
        <w:t>€60</w:t>
      </w:r>
      <w:r w:rsidRPr="000A615F">
        <w:rPr>
          <w:rFonts w:ascii="Arial" w:hAnsi="Arial" w:cs="Arial"/>
        </w:rPr>
        <w:t xml:space="preserve">,0 </w:t>
      </w:r>
      <w:r w:rsidR="00633996" w:rsidRPr="000A615F">
        <w:rPr>
          <w:rFonts w:ascii="Arial" w:hAnsi="Arial" w:cs="Arial"/>
        </w:rPr>
        <w:t xml:space="preserve">εκατ. </w:t>
      </w:r>
      <w:r w:rsidRPr="000A615F">
        <w:rPr>
          <w:rFonts w:ascii="Arial" w:hAnsi="Arial" w:cs="Arial"/>
        </w:rPr>
        <w:t>το οποίο είχε εκδοθεί στο πλαίσιο του Προγράμματος Έκδοσης Ομολόγων Μεσοπρόθεσμης Διάρκειας της OTE PLC και είχε πλήρως αναληφθεί από την</w:t>
      </w:r>
      <w:r w:rsidR="00633996" w:rsidRPr="000A615F">
        <w:rPr>
          <w:rFonts w:ascii="Arial" w:hAnsi="Arial" w:cs="Arial"/>
        </w:rPr>
        <w:t xml:space="preserve"> </w:t>
      </w:r>
      <w:proofErr w:type="spellStart"/>
      <w:r w:rsidR="00633996" w:rsidRPr="000A615F">
        <w:rPr>
          <w:rFonts w:ascii="Arial" w:hAnsi="Arial" w:cs="Arial"/>
        </w:rPr>
        <w:t>Deutsche</w:t>
      </w:r>
      <w:proofErr w:type="spellEnd"/>
      <w:r w:rsidR="00633996" w:rsidRPr="000A615F">
        <w:rPr>
          <w:rFonts w:ascii="Arial" w:hAnsi="Arial" w:cs="Arial"/>
        </w:rPr>
        <w:t xml:space="preserve"> </w:t>
      </w:r>
      <w:proofErr w:type="spellStart"/>
      <w:r w:rsidR="00633996" w:rsidRPr="000A615F">
        <w:rPr>
          <w:rFonts w:ascii="Arial" w:hAnsi="Arial" w:cs="Arial"/>
        </w:rPr>
        <w:t>Telekom</w:t>
      </w:r>
      <w:proofErr w:type="spellEnd"/>
      <w:r w:rsidR="00633996" w:rsidRPr="000A615F">
        <w:rPr>
          <w:rFonts w:ascii="Arial" w:hAnsi="Arial" w:cs="Arial"/>
        </w:rPr>
        <w:t xml:space="preserve"> A.G.</w:t>
      </w:r>
    </w:p>
    <w:p w14:paraId="20A0125D" w14:textId="77777777" w:rsidR="00C7742D" w:rsidRPr="00783E1C" w:rsidRDefault="00C7742D" w:rsidP="00687955">
      <w:pPr>
        <w:jc w:val="both"/>
        <w:rPr>
          <w:rFonts w:ascii="Arial" w:hAnsi="Arial" w:cs="Arial"/>
          <w:b/>
          <w:color w:val="000000" w:themeColor="text1"/>
        </w:rPr>
      </w:pPr>
    </w:p>
    <w:p w14:paraId="379D1708" w14:textId="77777777" w:rsidR="0086425A" w:rsidRPr="00370EC3" w:rsidRDefault="0086425A" w:rsidP="009820FA">
      <w:pPr>
        <w:spacing w:after="0" w:line="240" w:lineRule="auto"/>
        <w:jc w:val="both"/>
        <w:rPr>
          <w:rFonts w:ascii="Arial" w:eastAsia="Times New Roman" w:hAnsi="Arial" w:cs="Arial"/>
          <w:b/>
          <w:color w:val="00B0F0"/>
          <w:sz w:val="24"/>
          <w:szCs w:val="24"/>
        </w:rPr>
      </w:pPr>
    </w:p>
    <w:p w14:paraId="2E395EFE" w14:textId="3C9304BD" w:rsidR="009E285A" w:rsidRPr="003B452A" w:rsidRDefault="000E45DB" w:rsidP="00191CE0">
      <w:pPr>
        <w:pStyle w:val="prcontactc"/>
        <w:tabs>
          <w:tab w:val="left" w:pos="9000"/>
        </w:tabs>
        <w:ind w:firstLine="3600"/>
        <w:rPr>
          <w:rFonts w:ascii="Arial" w:eastAsia="Arial Narrow" w:hAnsi="Arial" w:cs="Arial"/>
          <w:b/>
          <w:bCs/>
          <w:color w:val="00A5E3"/>
          <w:position w:val="-1"/>
          <w:lang w:val="el-GR"/>
        </w:rPr>
      </w:pPr>
      <w:r w:rsidRPr="00A22DD3">
        <w:rPr>
          <w:rFonts w:ascii="Arial" w:hAnsi="Arial" w:cs="Arial"/>
          <w:bCs/>
          <w:noProof/>
        </w:rPr>
        <mc:AlternateContent>
          <mc:Choice Requires="wps">
            <w:drawing>
              <wp:anchor distT="0" distB="0" distL="114300" distR="114300" simplePos="0" relativeHeight="251658240" behindDoc="0" locked="0" layoutInCell="1" allowOverlap="1" wp14:anchorId="6713E017" wp14:editId="086D84E2">
                <wp:simplePos x="0" y="0"/>
                <wp:positionH relativeFrom="column">
                  <wp:posOffset>-1142909</wp:posOffset>
                </wp:positionH>
                <wp:positionV relativeFrom="paragraph">
                  <wp:posOffset>-43542</wp:posOffset>
                </wp:positionV>
                <wp:extent cx="8246110" cy="6350"/>
                <wp:effectExtent l="0" t="0" r="21590" b="31750"/>
                <wp:wrapNone/>
                <wp:docPr id="129" name="Straight Connector 129"/>
                <wp:cNvGraphicFramePr/>
                <a:graphic xmlns:a="http://schemas.openxmlformats.org/drawingml/2006/main">
                  <a:graphicData uri="http://schemas.microsoft.com/office/word/2010/wordprocessingShape">
                    <wps:wsp>
                      <wps:cNvCnPr/>
                      <wps:spPr>
                        <a:xfrm>
                          <a:off x="0" y="0"/>
                          <a:ext cx="8246110" cy="6350"/>
                        </a:xfrm>
                        <a:prstGeom prst="line">
                          <a:avLst/>
                        </a:prstGeom>
                        <a:ln>
                          <a:solidFill>
                            <a:srgbClr val="00A5E3"/>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line w14:anchorId="089732DD" id="Straight Connector 129"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0pt,-3.45pt" to="559.3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" strokecolor="#00a5e3" strokeweight=".5pt">
                <v:stroke joinstyle="miter"/>
              </v:line>
            </w:pict>
          </mc:Fallback>
        </mc:AlternateContent>
      </w:r>
      <w:r w:rsidR="009E285A" w:rsidRPr="00E94B28">
        <w:rPr>
          <w:rFonts w:ascii="Arial" w:eastAsia="Arial Narrow" w:hAnsi="Arial" w:cs="Arial"/>
          <w:b/>
          <w:bCs/>
          <w:color w:val="00A5E3"/>
          <w:position w:val="-1"/>
          <w:lang w:val="el-GR"/>
        </w:rPr>
        <w:t>Λεπτομέρειες</w:t>
      </w:r>
      <w:r w:rsidR="009E285A" w:rsidRPr="003B452A">
        <w:rPr>
          <w:rFonts w:ascii="Arial" w:eastAsia="Arial Narrow" w:hAnsi="Arial" w:cs="Arial"/>
          <w:b/>
          <w:bCs/>
          <w:color w:val="00A5E3"/>
          <w:position w:val="-1"/>
          <w:lang w:val="el-GR"/>
        </w:rPr>
        <w:t xml:space="preserve"> </w:t>
      </w:r>
      <w:r w:rsidR="009E285A" w:rsidRPr="00E94B28">
        <w:rPr>
          <w:rFonts w:ascii="Arial" w:eastAsia="Arial Narrow" w:hAnsi="Arial" w:cs="Arial"/>
          <w:b/>
          <w:bCs/>
          <w:color w:val="00A5E3"/>
          <w:position w:val="-1"/>
          <w:lang w:val="el-GR"/>
        </w:rPr>
        <w:t>Τηλεδιάσκεψης</w:t>
      </w:r>
    </w:p>
    <w:p w14:paraId="69FDFDC1" w14:textId="518DFC08" w:rsidR="009E285A" w:rsidRPr="003B452A" w:rsidRDefault="00530BFB" w:rsidP="005577AE">
      <w:pPr>
        <w:spacing w:before="30"/>
        <w:ind w:left="2160" w:right="2915" w:firstLine="720"/>
        <w:jc w:val="center"/>
        <w:rPr>
          <w:rFonts w:ascii="Arial" w:eastAsia="Arial Narrow" w:hAnsi="Arial" w:cs="Arial"/>
          <w:b/>
          <w:bCs/>
          <w:color w:val="00A5E3"/>
        </w:rPr>
      </w:pPr>
      <w:r>
        <w:rPr>
          <w:rFonts w:ascii="Arial" w:eastAsia="Arial Narrow" w:hAnsi="Arial" w:cs="Arial"/>
          <w:b/>
          <w:bCs/>
          <w:color w:val="00A5E3"/>
        </w:rPr>
        <w:t>Πέμπτη</w:t>
      </w:r>
      <w:r w:rsidR="009E285A" w:rsidRPr="003B452A">
        <w:rPr>
          <w:rFonts w:ascii="Arial" w:eastAsia="Arial Narrow" w:hAnsi="Arial" w:cs="Arial"/>
          <w:b/>
          <w:bCs/>
          <w:color w:val="00A5E3"/>
        </w:rPr>
        <w:t xml:space="preserve">, </w:t>
      </w:r>
      <w:r w:rsidRPr="003B452A">
        <w:rPr>
          <w:rFonts w:ascii="Arial" w:eastAsia="Arial Narrow" w:hAnsi="Arial" w:cs="Arial"/>
          <w:b/>
          <w:bCs/>
          <w:color w:val="00A5E3"/>
        </w:rPr>
        <w:t>13</w:t>
      </w:r>
      <w:r w:rsidR="004D4612" w:rsidRPr="003B452A">
        <w:rPr>
          <w:rFonts w:ascii="Arial" w:eastAsia="Arial Narrow" w:hAnsi="Arial" w:cs="Arial"/>
          <w:b/>
          <w:bCs/>
          <w:color w:val="00A5E3"/>
        </w:rPr>
        <w:t xml:space="preserve"> </w:t>
      </w:r>
      <w:r>
        <w:rPr>
          <w:rFonts w:ascii="Arial" w:eastAsia="Arial Narrow" w:hAnsi="Arial" w:cs="Arial"/>
          <w:b/>
          <w:bCs/>
          <w:color w:val="00A5E3"/>
        </w:rPr>
        <w:t>Νοεμβρίου</w:t>
      </w:r>
      <w:r w:rsidR="004D4612" w:rsidRPr="003B452A">
        <w:rPr>
          <w:rFonts w:ascii="Arial" w:eastAsia="Arial Narrow" w:hAnsi="Arial" w:cs="Arial"/>
          <w:b/>
          <w:bCs/>
          <w:color w:val="00A5E3"/>
        </w:rPr>
        <w:t xml:space="preserve"> 2025</w:t>
      </w:r>
    </w:p>
    <w:p w14:paraId="33C234D7" w14:textId="154561D2" w:rsidR="00DE3BB5" w:rsidRPr="00593EE9" w:rsidRDefault="00DE3BB5" w:rsidP="00DE3BB5">
      <w:pPr>
        <w:tabs>
          <w:tab w:val="left" w:pos="4720"/>
        </w:tabs>
        <w:spacing w:line="520" w:lineRule="exact"/>
        <w:ind w:left="1648" w:right="1956"/>
        <w:jc w:val="center"/>
        <w:rPr>
          <w:rFonts w:ascii="Arial" w:eastAsia="Arial Narrow" w:hAnsi="Arial" w:cs="Arial"/>
          <w:lang w:val="de-DE"/>
        </w:rPr>
      </w:pPr>
      <w:r w:rsidRPr="00FB20CB">
        <w:rPr>
          <w:rFonts w:ascii="Arial" w:eastAsia="Arial Narrow" w:hAnsi="Arial" w:cs="Arial"/>
          <w:spacing w:val="1"/>
          <w:lang w:val="de-DE"/>
        </w:rPr>
        <w:t>13</w:t>
      </w:r>
      <w:r w:rsidRPr="00FB20CB">
        <w:rPr>
          <w:rFonts w:ascii="Arial" w:eastAsia="Arial Narrow" w:hAnsi="Arial" w:cs="Arial"/>
          <w:lang w:val="de-DE"/>
        </w:rPr>
        <w:t xml:space="preserve">:00pm </w:t>
      </w:r>
      <w:r w:rsidRPr="00881ECC">
        <w:rPr>
          <w:rFonts w:ascii="Arial" w:eastAsia="Arial Narrow" w:hAnsi="Arial" w:cs="Arial"/>
          <w:lang w:val="de-DE"/>
        </w:rPr>
        <w:t>(EEST), 11:00am (BST), 12:00pm (CEST), 0</w:t>
      </w:r>
      <w:r w:rsidR="004D1B04" w:rsidRPr="00881ECC">
        <w:rPr>
          <w:rFonts w:ascii="Arial" w:eastAsia="Arial Narrow" w:hAnsi="Arial" w:cs="Arial"/>
          <w:lang w:val="de-DE"/>
        </w:rPr>
        <w:t>6</w:t>
      </w:r>
      <w:r w:rsidRPr="00881ECC">
        <w:rPr>
          <w:rFonts w:ascii="Arial" w:eastAsia="Arial Narrow" w:hAnsi="Arial" w:cs="Arial"/>
          <w:lang w:val="de-DE"/>
        </w:rPr>
        <w:t>:00am (EDT)</w:t>
      </w:r>
    </w:p>
    <w:p w14:paraId="2D74456F" w14:textId="77777777" w:rsidR="009E285A" w:rsidRPr="003B452A" w:rsidRDefault="009E285A" w:rsidP="0049637A">
      <w:pPr>
        <w:ind w:right="3457"/>
        <w:rPr>
          <w:rFonts w:ascii="Arial" w:eastAsia="Arial Narrow" w:hAnsi="Arial" w:cs="Arial"/>
          <w:spacing w:val="1"/>
        </w:rPr>
      </w:pPr>
      <w:r w:rsidRPr="003B452A">
        <w:rPr>
          <w:rFonts w:ascii="Arial" w:eastAsia="Arial Narrow" w:hAnsi="Arial" w:cs="Arial"/>
          <w:spacing w:val="1"/>
        </w:rPr>
        <w:t xml:space="preserve">                                                        </w:t>
      </w:r>
    </w:p>
    <w:p w14:paraId="6098727D" w14:textId="64978F05" w:rsidR="009E285A" w:rsidRPr="009D2E15" w:rsidRDefault="009E285A" w:rsidP="005577AE">
      <w:pPr>
        <w:tabs>
          <w:tab w:val="left" w:pos="4720"/>
        </w:tabs>
        <w:spacing w:before="49" w:after="120" w:line="520" w:lineRule="exact"/>
        <w:ind w:left="2160" w:right="1956"/>
        <w:rPr>
          <w:rFonts w:ascii="Arial" w:eastAsia="Arial Narrow" w:hAnsi="Arial" w:cs="Arial"/>
          <w:kern w:val="2"/>
          <w14:ligatures w14:val="standardContextual"/>
        </w:rPr>
      </w:pPr>
      <w:r w:rsidRPr="001113A8">
        <w:rPr>
          <w:rFonts w:ascii="Arial" w:eastAsia="Arial Narrow" w:hAnsi="Arial" w:cs="Arial"/>
          <w:spacing w:val="1"/>
          <w:kern w:val="2"/>
          <w14:ligatures w14:val="standardContextual"/>
        </w:rPr>
        <w:t>Ελλάδα</w:t>
      </w:r>
      <w:r w:rsidRPr="009D2E15">
        <w:rPr>
          <w:rFonts w:ascii="Arial" w:eastAsia="Arial Narrow" w:hAnsi="Arial" w:cs="Arial"/>
          <w:kern w:val="2"/>
          <w14:ligatures w14:val="standardContextual"/>
        </w:rPr>
        <w:tab/>
        <w:t xml:space="preserve">                +</w:t>
      </w:r>
      <w:r w:rsidRPr="009D2E15">
        <w:rPr>
          <w:rFonts w:ascii="Arial" w:eastAsia="Arial Narrow" w:hAnsi="Arial" w:cs="Arial"/>
          <w:spacing w:val="1"/>
          <w:kern w:val="2"/>
          <w14:ligatures w14:val="standardContextual"/>
        </w:rPr>
        <w:t>3</w:t>
      </w:r>
      <w:r w:rsidRPr="009D2E15">
        <w:rPr>
          <w:rFonts w:ascii="Arial" w:eastAsia="Arial Narrow" w:hAnsi="Arial" w:cs="Arial"/>
          <w:kern w:val="2"/>
          <w14:ligatures w14:val="standardContextual"/>
        </w:rPr>
        <w:t>0</w:t>
      </w:r>
      <w:r w:rsidRPr="009D2E15">
        <w:rPr>
          <w:rFonts w:ascii="Arial" w:eastAsia="Arial Narrow" w:hAnsi="Arial" w:cs="Arial"/>
          <w:spacing w:val="2"/>
          <w:kern w:val="2"/>
          <w14:ligatures w14:val="standardContextual"/>
        </w:rPr>
        <w:t xml:space="preserve"> </w:t>
      </w:r>
      <w:r w:rsidRPr="009D2E15">
        <w:rPr>
          <w:rFonts w:ascii="Arial" w:eastAsia="Arial Narrow" w:hAnsi="Arial" w:cs="Arial"/>
          <w:spacing w:val="-1"/>
          <w:kern w:val="2"/>
          <w14:ligatures w14:val="standardContextual"/>
        </w:rPr>
        <w:t>2</w:t>
      </w:r>
      <w:r w:rsidRPr="009D2E15">
        <w:rPr>
          <w:rFonts w:ascii="Arial" w:eastAsia="Arial Narrow" w:hAnsi="Arial" w:cs="Arial"/>
          <w:spacing w:val="1"/>
          <w:kern w:val="2"/>
          <w14:ligatures w14:val="standardContextual"/>
        </w:rPr>
        <w:t>1</w:t>
      </w:r>
      <w:r w:rsidRPr="009D2E15">
        <w:rPr>
          <w:rFonts w:ascii="Arial" w:eastAsia="Arial Narrow" w:hAnsi="Arial" w:cs="Arial"/>
          <w:kern w:val="2"/>
          <w14:ligatures w14:val="standardContextual"/>
        </w:rPr>
        <w:t>0</w:t>
      </w:r>
      <w:r w:rsidRPr="009D2E15">
        <w:rPr>
          <w:rFonts w:ascii="Arial" w:eastAsia="Arial Narrow" w:hAnsi="Arial" w:cs="Arial"/>
          <w:spacing w:val="-1"/>
          <w:kern w:val="2"/>
          <w14:ligatures w14:val="standardContextual"/>
        </w:rPr>
        <w:t xml:space="preserve"> </w:t>
      </w:r>
      <w:r w:rsidRPr="009D2E15">
        <w:rPr>
          <w:rFonts w:ascii="Arial" w:eastAsia="Arial Narrow" w:hAnsi="Arial" w:cs="Arial"/>
          <w:spacing w:val="1"/>
          <w:kern w:val="2"/>
          <w14:ligatures w14:val="standardContextual"/>
        </w:rPr>
        <w:t>9</w:t>
      </w:r>
      <w:r w:rsidRPr="009D2E15">
        <w:rPr>
          <w:rFonts w:ascii="Arial" w:eastAsia="Arial Narrow" w:hAnsi="Arial" w:cs="Arial"/>
          <w:spacing w:val="-1"/>
          <w:kern w:val="2"/>
          <w14:ligatures w14:val="standardContextual"/>
        </w:rPr>
        <w:t>4</w:t>
      </w:r>
      <w:r w:rsidRPr="009D2E15">
        <w:rPr>
          <w:rFonts w:ascii="Arial" w:eastAsia="Arial Narrow" w:hAnsi="Arial" w:cs="Arial"/>
          <w:spacing w:val="1"/>
          <w:kern w:val="2"/>
          <w14:ligatures w14:val="standardContextual"/>
        </w:rPr>
        <w:t>6</w:t>
      </w:r>
      <w:r w:rsidRPr="009D2E15">
        <w:rPr>
          <w:rFonts w:ascii="Arial" w:eastAsia="Arial Narrow" w:hAnsi="Arial" w:cs="Arial"/>
          <w:kern w:val="2"/>
          <w14:ligatures w14:val="standardContextual"/>
        </w:rPr>
        <w:t>0</w:t>
      </w:r>
      <w:r w:rsidRPr="009D2E15">
        <w:rPr>
          <w:rFonts w:ascii="Arial" w:eastAsia="Arial Narrow" w:hAnsi="Arial" w:cs="Arial"/>
          <w:spacing w:val="-1"/>
          <w:kern w:val="2"/>
          <w14:ligatures w14:val="standardContextual"/>
        </w:rPr>
        <w:t xml:space="preserve"> </w:t>
      </w:r>
      <w:r w:rsidRPr="009D2E15">
        <w:rPr>
          <w:rFonts w:ascii="Arial" w:eastAsia="Arial Narrow" w:hAnsi="Arial" w:cs="Arial"/>
          <w:spacing w:val="1"/>
          <w:kern w:val="2"/>
          <w14:ligatures w14:val="standardContextual"/>
        </w:rPr>
        <w:t>80</w:t>
      </w:r>
      <w:r w:rsidRPr="009D2E15">
        <w:rPr>
          <w:rFonts w:ascii="Arial" w:eastAsia="Arial Narrow" w:hAnsi="Arial" w:cs="Arial"/>
          <w:kern w:val="2"/>
          <w14:ligatures w14:val="standardContextual"/>
        </w:rPr>
        <w:t>0</w:t>
      </w:r>
    </w:p>
    <w:p w14:paraId="536D03F8" w14:textId="3DF5B100" w:rsidR="009E285A" w:rsidRPr="009D2E15" w:rsidRDefault="009E285A" w:rsidP="005577AE">
      <w:pPr>
        <w:tabs>
          <w:tab w:val="left" w:pos="4680"/>
        </w:tabs>
        <w:spacing w:before="22" w:after="120"/>
        <w:ind w:left="2160" w:right="1663"/>
        <w:rPr>
          <w:rFonts w:ascii="Arial" w:eastAsia="Arial Narrow" w:hAnsi="Arial" w:cs="Arial"/>
          <w:kern w:val="2"/>
          <w14:ligatures w14:val="standardContextual"/>
        </w:rPr>
      </w:pPr>
      <w:r w:rsidRPr="001113A8">
        <w:rPr>
          <w:rFonts w:ascii="Arial" w:eastAsia="Arial Narrow" w:hAnsi="Arial" w:cs="Arial"/>
          <w:kern w:val="2"/>
          <w:position w:val="1"/>
          <w14:ligatures w14:val="standardContextual"/>
        </w:rPr>
        <w:t>Γερμανία</w:t>
      </w:r>
      <w:r w:rsidRPr="009D2E15">
        <w:rPr>
          <w:rFonts w:ascii="Arial" w:eastAsia="Arial Narrow" w:hAnsi="Arial" w:cs="Arial"/>
          <w:kern w:val="2"/>
          <w:position w:val="1"/>
          <w14:ligatures w14:val="standardContextual"/>
        </w:rPr>
        <w:tab/>
        <w:t xml:space="preserve">            </w:t>
      </w:r>
      <w:r w:rsidRPr="009D2E15">
        <w:rPr>
          <w:rFonts w:ascii="Arial" w:eastAsia="Calibri" w:hAnsi="Arial" w:cs="Arial"/>
          <w:kern w:val="2"/>
          <w:position w:val="1"/>
          <w14:ligatures w14:val="standardContextual"/>
        </w:rPr>
        <w:t xml:space="preserve">   </w:t>
      </w:r>
      <w:r>
        <w:rPr>
          <w:rFonts w:ascii="Arial" w:eastAsia="Calibri" w:hAnsi="Arial" w:cs="Arial"/>
          <w:kern w:val="2"/>
          <w:position w:val="1"/>
          <w14:ligatures w14:val="standardContextual"/>
        </w:rPr>
        <w:t xml:space="preserve"> </w:t>
      </w:r>
      <w:r w:rsidRPr="009D2E15">
        <w:rPr>
          <w:rFonts w:ascii="Arial" w:eastAsia="Arial Narrow" w:hAnsi="Arial" w:cs="Arial"/>
          <w:kern w:val="2"/>
          <w:position w:val="1"/>
          <w14:ligatures w14:val="standardContextual"/>
        </w:rPr>
        <w:t>+</w:t>
      </w:r>
      <w:r w:rsidRPr="009D2E15">
        <w:rPr>
          <w:rFonts w:ascii="Arial" w:eastAsia="Arial Narrow" w:hAnsi="Arial" w:cs="Arial"/>
          <w:spacing w:val="1"/>
          <w:kern w:val="2"/>
          <w:position w:val="1"/>
          <w14:ligatures w14:val="standardContextual"/>
        </w:rPr>
        <w:t>4</w:t>
      </w:r>
      <w:r w:rsidRPr="009D2E15">
        <w:rPr>
          <w:rFonts w:ascii="Arial" w:eastAsia="Arial Narrow" w:hAnsi="Arial" w:cs="Arial"/>
          <w:kern w:val="2"/>
          <w:position w:val="1"/>
          <w14:ligatures w14:val="standardContextual"/>
        </w:rPr>
        <w:t>9</w:t>
      </w:r>
      <w:r w:rsidRPr="009D2E15">
        <w:rPr>
          <w:rFonts w:ascii="Arial" w:eastAsia="Arial Narrow" w:hAnsi="Arial" w:cs="Arial"/>
          <w:spacing w:val="1"/>
          <w:kern w:val="2"/>
          <w:position w:val="1"/>
          <w14:ligatures w14:val="standardContextual"/>
        </w:rPr>
        <w:t xml:space="preserve"> </w:t>
      </w:r>
      <w:r w:rsidRPr="009D2E15">
        <w:rPr>
          <w:rFonts w:ascii="Arial" w:eastAsia="Arial Narrow" w:hAnsi="Arial" w:cs="Arial"/>
          <w:kern w:val="2"/>
          <w:position w:val="1"/>
          <w14:ligatures w14:val="standardContextual"/>
        </w:rPr>
        <w:t>(0)</w:t>
      </w:r>
      <w:r w:rsidRPr="009D2E15">
        <w:rPr>
          <w:rFonts w:ascii="Arial" w:eastAsia="Arial Narrow" w:hAnsi="Arial" w:cs="Arial"/>
          <w:spacing w:val="-1"/>
          <w:kern w:val="2"/>
          <w:position w:val="1"/>
          <w14:ligatures w14:val="standardContextual"/>
        </w:rPr>
        <w:t xml:space="preserve"> </w:t>
      </w:r>
      <w:r w:rsidRPr="009D2E15">
        <w:rPr>
          <w:rFonts w:ascii="Arial" w:eastAsia="Arial Narrow" w:hAnsi="Arial" w:cs="Arial"/>
          <w:spacing w:val="-2"/>
          <w:kern w:val="2"/>
          <w:position w:val="1"/>
          <w14:ligatures w14:val="standardContextual"/>
        </w:rPr>
        <w:t>6</w:t>
      </w:r>
      <w:r w:rsidRPr="009D2E15">
        <w:rPr>
          <w:rFonts w:ascii="Arial" w:eastAsia="Arial Narrow" w:hAnsi="Arial" w:cs="Arial"/>
          <w:kern w:val="2"/>
          <w:position w:val="1"/>
          <w14:ligatures w14:val="standardContextual"/>
        </w:rPr>
        <w:t>9</w:t>
      </w:r>
      <w:r w:rsidRPr="009D2E15">
        <w:rPr>
          <w:rFonts w:ascii="Arial" w:eastAsia="Arial Narrow" w:hAnsi="Arial" w:cs="Arial"/>
          <w:spacing w:val="1"/>
          <w:kern w:val="2"/>
          <w:position w:val="1"/>
          <w14:ligatures w14:val="standardContextual"/>
        </w:rPr>
        <w:t xml:space="preserve"> </w:t>
      </w:r>
      <w:r w:rsidRPr="009D2E15">
        <w:rPr>
          <w:rFonts w:ascii="Arial" w:eastAsia="Arial Narrow" w:hAnsi="Arial" w:cs="Arial"/>
          <w:spacing w:val="-1"/>
          <w:kern w:val="2"/>
          <w:position w:val="1"/>
          <w14:ligatures w14:val="standardContextual"/>
        </w:rPr>
        <w:t>2</w:t>
      </w:r>
      <w:r w:rsidRPr="009D2E15">
        <w:rPr>
          <w:rFonts w:ascii="Arial" w:eastAsia="Arial Narrow" w:hAnsi="Arial" w:cs="Arial"/>
          <w:spacing w:val="1"/>
          <w:kern w:val="2"/>
          <w:position w:val="1"/>
          <w14:ligatures w14:val="standardContextual"/>
        </w:rPr>
        <w:t>2</w:t>
      </w:r>
      <w:r w:rsidRPr="009D2E15">
        <w:rPr>
          <w:rFonts w:ascii="Arial" w:eastAsia="Arial Narrow" w:hAnsi="Arial" w:cs="Arial"/>
          <w:spacing w:val="-1"/>
          <w:kern w:val="2"/>
          <w:position w:val="1"/>
          <w14:ligatures w14:val="standardContextual"/>
        </w:rPr>
        <w:t>2</w:t>
      </w:r>
      <w:r w:rsidRPr="009D2E15">
        <w:rPr>
          <w:rFonts w:ascii="Arial" w:eastAsia="Arial Narrow" w:hAnsi="Arial" w:cs="Arial"/>
          <w:kern w:val="2"/>
          <w:position w:val="1"/>
          <w14:ligatures w14:val="standardContextual"/>
        </w:rPr>
        <w:t>2</w:t>
      </w:r>
      <w:r w:rsidRPr="009D2E15">
        <w:rPr>
          <w:rFonts w:ascii="Arial" w:eastAsia="Arial Narrow" w:hAnsi="Arial" w:cs="Arial"/>
          <w:spacing w:val="1"/>
          <w:kern w:val="2"/>
          <w:position w:val="1"/>
          <w14:ligatures w14:val="standardContextual"/>
        </w:rPr>
        <w:t xml:space="preserve"> </w:t>
      </w:r>
      <w:r w:rsidRPr="009D2E15">
        <w:rPr>
          <w:rFonts w:ascii="Arial" w:eastAsia="Arial Narrow" w:hAnsi="Arial" w:cs="Arial"/>
          <w:spacing w:val="-1"/>
          <w:kern w:val="2"/>
          <w:position w:val="1"/>
          <w14:ligatures w14:val="standardContextual"/>
        </w:rPr>
        <w:t>4</w:t>
      </w:r>
      <w:r w:rsidRPr="009D2E15">
        <w:rPr>
          <w:rFonts w:ascii="Arial" w:eastAsia="Arial Narrow" w:hAnsi="Arial" w:cs="Arial"/>
          <w:spacing w:val="1"/>
          <w:kern w:val="2"/>
          <w:position w:val="1"/>
          <w14:ligatures w14:val="standardContextual"/>
        </w:rPr>
        <w:t>49</w:t>
      </w:r>
      <w:r w:rsidRPr="009D2E15">
        <w:rPr>
          <w:rFonts w:ascii="Arial" w:eastAsia="Arial Narrow" w:hAnsi="Arial" w:cs="Arial"/>
          <w:kern w:val="2"/>
          <w:position w:val="1"/>
          <w14:ligatures w14:val="standardContextual"/>
        </w:rPr>
        <w:t>3</w:t>
      </w:r>
    </w:p>
    <w:p w14:paraId="183E23C7" w14:textId="15E7CC54" w:rsidR="009E285A" w:rsidRPr="001113A8" w:rsidRDefault="009E285A" w:rsidP="005577AE">
      <w:pPr>
        <w:tabs>
          <w:tab w:val="left" w:pos="4680"/>
        </w:tabs>
        <w:spacing w:before="82" w:after="120"/>
        <w:ind w:left="2160" w:right="1621"/>
        <w:rPr>
          <w:rFonts w:ascii="Arial" w:eastAsia="Arial Narrow" w:hAnsi="Arial" w:cs="Arial"/>
          <w:kern w:val="2"/>
          <w14:ligatures w14:val="standardContextual"/>
        </w:rPr>
      </w:pPr>
      <w:r w:rsidRPr="001113A8">
        <w:rPr>
          <w:rFonts w:ascii="Arial" w:eastAsia="Arial Narrow" w:hAnsi="Arial" w:cs="Arial"/>
          <w:kern w:val="2"/>
          <w:position w:val="1"/>
          <w14:ligatures w14:val="standardContextual"/>
        </w:rPr>
        <w:t xml:space="preserve">Ηνωμένο Βασίλειο &amp; </w:t>
      </w:r>
      <w:r w:rsidRPr="001113A8">
        <w:rPr>
          <w:rFonts w:ascii="Arial" w:eastAsia="Arial Narrow" w:hAnsi="Arial" w:cs="Arial"/>
          <w:spacing w:val="-1"/>
          <w:kern w:val="2"/>
          <w:position w:val="1"/>
          <w14:ligatures w14:val="standardContextual"/>
        </w:rPr>
        <w:t>Διεθνή</w:t>
      </w:r>
      <w:r w:rsidRPr="001113A8">
        <w:rPr>
          <w:rFonts w:ascii="Arial" w:eastAsia="Arial Narrow" w:hAnsi="Arial" w:cs="Arial"/>
          <w:kern w:val="2"/>
          <w:position w:val="1"/>
          <w14:ligatures w14:val="standardContextual"/>
        </w:rPr>
        <w:tab/>
        <w:t xml:space="preserve">          +</w:t>
      </w:r>
      <w:r w:rsidRPr="001113A8">
        <w:rPr>
          <w:rFonts w:ascii="Arial" w:eastAsia="Arial Narrow" w:hAnsi="Arial" w:cs="Arial"/>
          <w:spacing w:val="-2"/>
          <w:kern w:val="2"/>
          <w:position w:val="1"/>
          <w14:ligatures w14:val="standardContextual"/>
        </w:rPr>
        <w:t xml:space="preserve"> </w:t>
      </w:r>
      <w:r w:rsidRPr="001113A8">
        <w:rPr>
          <w:rFonts w:ascii="Arial" w:eastAsia="Arial Narrow" w:hAnsi="Arial" w:cs="Arial"/>
          <w:spacing w:val="1"/>
          <w:kern w:val="2"/>
          <w:position w:val="1"/>
          <w14:ligatures w14:val="standardContextual"/>
        </w:rPr>
        <w:t>4</w:t>
      </w:r>
      <w:r w:rsidRPr="001113A8">
        <w:rPr>
          <w:rFonts w:ascii="Arial" w:eastAsia="Arial Narrow" w:hAnsi="Arial" w:cs="Arial"/>
          <w:kern w:val="2"/>
          <w:position w:val="1"/>
          <w14:ligatures w14:val="standardContextual"/>
        </w:rPr>
        <w:t>4</w:t>
      </w:r>
      <w:r w:rsidRPr="001113A8">
        <w:rPr>
          <w:rFonts w:ascii="Arial" w:eastAsia="Arial Narrow" w:hAnsi="Arial" w:cs="Arial"/>
          <w:spacing w:val="1"/>
          <w:kern w:val="2"/>
          <w:position w:val="1"/>
          <w14:ligatures w14:val="standardContextual"/>
        </w:rPr>
        <w:t xml:space="preserve"> </w:t>
      </w:r>
      <w:r w:rsidRPr="001113A8">
        <w:rPr>
          <w:rFonts w:ascii="Arial" w:eastAsia="Arial Narrow" w:hAnsi="Arial" w:cs="Arial"/>
          <w:kern w:val="2"/>
          <w:position w:val="1"/>
          <w14:ligatures w14:val="standardContextual"/>
        </w:rPr>
        <w:t>(0)</w:t>
      </w:r>
      <w:r w:rsidRPr="001113A8">
        <w:rPr>
          <w:rFonts w:ascii="Arial" w:eastAsia="Arial Narrow" w:hAnsi="Arial" w:cs="Arial"/>
          <w:spacing w:val="-4"/>
          <w:kern w:val="2"/>
          <w:position w:val="1"/>
          <w14:ligatures w14:val="standardContextual"/>
        </w:rPr>
        <w:t xml:space="preserve"> </w:t>
      </w:r>
      <w:r w:rsidRPr="001113A8">
        <w:rPr>
          <w:rFonts w:ascii="Arial" w:eastAsia="Arial Narrow" w:hAnsi="Arial" w:cs="Arial"/>
          <w:spacing w:val="1"/>
          <w:kern w:val="2"/>
          <w:position w:val="1"/>
          <w14:ligatures w14:val="standardContextual"/>
        </w:rPr>
        <w:t>2</w:t>
      </w:r>
      <w:r w:rsidRPr="001113A8">
        <w:rPr>
          <w:rFonts w:ascii="Arial" w:eastAsia="Arial Narrow" w:hAnsi="Arial" w:cs="Arial"/>
          <w:spacing w:val="-1"/>
          <w:kern w:val="2"/>
          <w:position w:val="1"/>
          <w14:ligatures w14:val="standardContextual"/>
        </w:rPr>
        <w:t>0</w:t>
      </w:r>
      <w:r w:rsidRPr="001113A8">
        <w:rPr>
          <w:rFonts w:ascii="Arial" w:eastAsia="Arial Narrow" w:hAnsi="Arial" w:cs="Arial"/>
          <w:kern w:val="2"/>
          <w:position w:val="1"/>
          <w14:ligatures w14:val="standardContextual"/>
        </w:rPr>
        <w:t>3</w:t>
      </w:r>
      <w:r w:rsidRPr="001113A8">
        <w:rPr>
          <w:rFonts w:ascii="Arial" w:eastAsia="Arial Narrow" w:hAnsi="Arial" w:cs="Arial"/>
          <w:spacing w:val="-1"/>
          <w:kern w:val="2"/>
          <w:position w:val="1"/>
          <w14:ligatures w14:val="standardContextual"/>
        </w:rPr>
        <w:t xml:space="preserve"> </w:t>
      </w:r>
      <w:r w:rsidRPr="001113A8">
        <w:rPr>
          <w:rFonts w:ascii="Arial" w:eastAsia="Arial Narrow" w:hAnsi="Arial" w:cs="Arial"/>
          <w:spacing w:val="1"/>
          <w:kern w:val="2"/>
          <w:position w:val="1"/>
          <w14:ligatures w14:val="standardContextual"/>
        </w:rPr>
        <w:t>05</w:t>
      </w:r>
      <w:r w:rsidRPr="001113A8">
        <w:rPr>
          <w:rFonts w:ascii="Arial" w:eastAsia="Arial Narrow" w:hAnsi="Arial" w:cs="Arial"/>
          <w:kern w:val="2"/>
          <w:position w:val="1"/>
          <w14:ligatures w14:val="standardContextual"/>
        </w:rPr>
        <w:t>9</w:t>
      </w:r>
      <w:r w:rsidRPr="001113A8">
        <w:rPr>
          <w:rFonts w:ascii="Arial" w:eastAsia="Arial Narrow" w:hAnsi="Arial" w:cs="Arial"/>
          <w:spacing w:val="-1"/>
          <w:kern w:val="2"/>
          <w:position w:val="1"/>
          <w14:ligatures w14:val="standardContextual"/>
        </w:rPr>
        <w:t xml:space="preserve"> </w:t>
      </w:r>
      <w:r w:rsidRPr="001113A8">
        <w:rPr>
          <w:rFonts w:ascii="Arial" w:eastAsia="Arial Narrow" w:hAnsi="Arial" w:cs="Arial"/>
          <w:spacing w:val="1"/>
          <w:kern w:val="2"/>
          <w:position w:val="1"/>
          <w14:ligatures w14:val="standardContextual"/>
        </w:rPr>
        <w:t>5</w:t>
      </w:r>
      <w:r w:rsidRPr="001113A8">
        <w:rPr>
          <w:rFonts w:ascii="Arial" w:eastAsia="Arial Narrow" w:hAnsi="Arial" w:cs="Arial"/>
          <w:spacing w:val="-1"/>
          <w:kern w:val="2"/>
          <w:position w:val="1"/>
          <w14:ligatures w14:val="standardContextual"/>
        </w:rPr>
        <w:t>8</w:t>
      </w:r>
      <w:r w:rsidRPr="001113A8">
        <w:rPr>
          <w:rFonts w:ascii="Arial" w:eastAsia="Arial Narrow" w:hAnsi="Arial" w:cs="Arial"/>
          <w:spacing w:val="1"/>
          <w:kern w:val="2"/>
          <w:position w:val="1"/>
          <w14:ligatures w14:val="standardContextual"/>
        </w:rPr>
        <w:t>7</w:t>
      </w:r>
      <w:r w:rsidRPr="001113A8">
        <w:rPr>
          <w:rFonts w:ascii="Arial" w:eastAsia="Arial Narrow" w:hAnsi="Arial" w:cs="Arial"/>
          <w:kern w:val="2"/>
          <w:position w:val="1"/>
          <w14:ligatures w14:val="standardContextual"/>
        </w:rPr>
        <w:t>2</w:t>
      </w:r>
    </w:p>
    <w:p w14:paraId="22EF453D" w14:textId="1E3C5151" w:rsidR="009E285A" w:rsidRPr="001113A8" w:rsidRDefault="009E285A" w:rsidP="005577AE">
      <w:pPr>
        <w:tabs>
          <w:tab w:val="left" w:pos="4700"/>
        </w:tabs>
        <w:spacing w:before="77" w:after="120"/>
        <w:ind w:left="2160" w:right="-20"/>
        <w:rPr>
          <w:rFonts w:ascii="Arial" w:eastAsia="Arial Narrow" w:hAnsi="Arial" w:cs="Arial"/>
          <w:kern w:val="2"/>
          <w14:ligatures w14:val="standardContextual"/>
        </w:rPr>
      </w:pPr>
      <w:r w:rsidRPr="001113A8">
        <w:rPr>
          <w:rFonts w:ascii="Arial" w:eastAsia="Arial Narrow" w:hAnsi="Arial" w:cs="Arial"/>
          <w:kern w:val="2"/>
          <w14:ligatures w14:val="standardContextual"/>
        </w:rPr>
        <w:t>ΗΠΑ</w:t>
      </w:r>
      <w:r w:rsidRPr="001113A8">
        <w:rPr>
          <w:rFonts w:ascii="Arial" w:eastAsia="Arial Narrow" w:hAnsi="Arial" w:cs="Arial"/>
          <w:kern w:val="2"/>
          <w14:ligatures w14:val="standardContextual"/>
        </w:rPr>
        <w:tab/>
        <w:t xml:space="preserve">                +1</w:t>
      </w:r>
      <w:r w:rsidRPr="001113A8">
        <w:rPr>
          <w:rFonts w:ascii="Arial" w:eastAsia="Arial Narrow" w:hAnsi="Arial" w:cs="Arial"/>
          <w:spacing w:val="-1"/>
          <w:kern w:val="2"/>
          <w14:ligatures w14:val="standardContextual"/>
        </w:rPr>
        <w:t xml:space="preserve"> </w:t>
      </w:r>
      <w:r w:rsidRPr="001113A8">
        <w:rPr>
          <w:rFonts w:ascii="Arial" w:eastAsia="Arial Narrow" w:hAnsi="Arial" w:cs="Arial"/>
          <w:spacing w:val="1"/>
          <w:kern w:val="2"/>
          <w14:ligatures w14:val="standardContextual"/>
        </w:rPr>
        <w:t>5</w:t>
      </w:r>
      <w:r w:rsidRPr="001113A8">
        <w:rPr>
          <w:rFonts w:ascii="Arial" w:eastAsia="Arial Narrow" w:hAnsi="Arial" w:cs="Arial"/>
          <w:spacing w:val="-1"/>
          <w:kern w:val="2"/>
          <w14:ligatures w14:val="standardContextual"/>
        </w:rPr>
        <w:t>1</w:t>
      </w:r>
      <w:r w:rsidRPr="001113A8">
        <w:rPr>
          <w:rFonts w:ascii="Arial" w:eastAsia="Arial Narrow" w:hAnsi="Arial" w:cs="Arial"/>
          <w:kern w:val="2"/>
          <w14:ligatures w14:val="standardContextual"/>
        </w:rPr>
        <w:t>6</w:t>
      </w:r>
      <w:r w:rsidRPr="001113A8">
        <w:rPr>
          <w:rFonts w:ascii="Arial" w:eastAsia="Arial Narrow" w:hAnsi="Arial" w:cs="Arial"/>
          <w:spacing w:val="1"/>
          <w:kern w:val="2"/>
          <w14:ligatures w14:val="standardContextual"/>
        </w:rPr>
        <w:t xml:space="preserve"> </w:t>
      </w:r>
      <w:r w:rsidRPr="001113A8">
        <w:rPr>
          <w:rFonts w:ascii="Arial" w:eastAsia="Arial Narrow" w:hAnsi="Arial" w:cs="Arial"/>
          <w:spacing w:val="-1"/>
          <w:kern w:val="2"/>
          <w14:ligatures w14:val="standardContextual"/>
        </w:rPr>
        <w:t>4</w:t>
      </w:r>
      <w:r w:rsidRPr="001113A8">
        <w:rPr>
          <w:rFonts w:ascii="Arial" w:eastAsia="Arial Narrow" w:hAnsi="Arial" w:cs="Arial"/>
          <w:spacing w:val="1"/>
          <w:kern w:val="2"/>
          <w14:ligatures w14:val="standardContextual"/>
        </w:rPr>
        <w:t>4</w:t>
      </w:r>
      <w:r w:rsidRPr="001113A8">
        <w:rPr>
          <w:rFonts w:ascii="Arial" w:eastAsia="Arial Narrow" w:hAnsi="Arial" w:cs="Arial"/>
          <w:kern w:val="2"/>
          <w14:ligatures w14:val="standardContextual"/>
        </w:rPr>
        <w:t>7</w:t>
      </w:r>
      <w:r w:rsidRPr="001113A8">
        <w:rPr>
          <w:rFonts w:ascii="Arial" w:eastAsia="Arial Narrow" w:hAnsi="Arial" w:cs="Arial"/>
          <w:spacing w:val="-1"/>
          <w:kern w:val="2"/>
          <w14:ligatures w14:val="standardContextual"/>
        </w:rPr>
        <w:t xml:space="preserve"> </w:t>
      </w:r>
      <w:r w:rsidRPr="001113A8">
        <w:rPr>
          <w:rFonts w:ascii="Arial" w:eastAsia="Arial Narrow" w:hAnsi="Arial" w:cs="Arial"/>
          <w:spacing w:val="1"/>
          <w:kern w:val="2"/>
          <w14:ligatures w14:val="standardContextual"/>
        </w:rPr>
        <w:t>5</w:t>
      </w:r>
      <w:r w:rsidRPr="001113A8">
        <w:rPr>
          <w:rFonts w:ascii="Arial" w:eastAsia="Arial Narrow" w:hAnsi="Arial" w:cs="Arial"/>
          <w:spacing w:val="-1"/>
          <w:kern w:val="2"/>
          <w14:ligatures w14:val="standardContextual"/>
        </w:rPr>
        <w:t>6</w:t>
      </w:r>
      <w:r w:rsidRPr="001113A8">
        <w:rPr>
          <w:rFonts w:ascii="Arial" w:eastAsia="Arial Narrow" w:hAnsi="Arial" w:cs="Arial"/>
          <w:spacing w:val="1"/>
          <w:kern w:val="2"/>
          <w14:ligatures w14:val="standardContextual"/>
        </w:rPr>
        <w:t>3</w:t>
      </w:r>
      <w:r w:rsidRPr="001113A8">
        <w:rPr>
          <w:rFonts w:ascii="Arial" w:eastAsia="Arial Narrow" w:hAnsi="Arial" w:cs="Arial"/>
          <w:kern w:val="2"/>
          <w14:ligatures w14:val="standardContextual"/>
        </w:rPr>
        <w:t>2</w:t>
      </w:r>
    </w:p>
    <w:p w14:paraId="503FF4A0" w14:textId="77777777" w:rsidR="009E285A" w:rsidRDefault="009E285A" w:rsidP="00413DFC">
      <w:pPr>
        <w:spacing w:before="30" w:after="120"/>
        <w:ind w:right="-20"/>
        <w:rPr>
          <w:rFonts w:ascii="Arial" w:eastAsia="Arial Narrow" w:hAnsi="Arial" w:cs="Arial"/>
          <w:kern w:val="2"/>
          <w14:ligatures w14:val="standardContextual"/>
        </w:rPr>
      </w:pPr>
    </w:p>
    <w:p w14:paraId="40987232" w14:textId="77777777" w:rsidR="009E285A" w:rsidRPr="001113A8" w:rsidRDefault="009E285A" w:rsidP="00413DFC">
      <w:pPr>
        <w:spacing w:before="30" w:after="120"/>
        <w:ind w:right="-20"/>
        <w:jc w:val="both"/>
        <w:rPr>
          <w:rFonts w:ascii="Arial" w:eastAsia="Arial Narrow" w:hAnsi="Arial" w:cs="Arial"/>
          <w:kern w:val="2"/>
          <w14:ligatures w14:val="standardContextual"/>
        </w:rPr>
      </w:pPr>
      <w:r w:rsidRPr="001113A8">
        <w:rPr>
          <w:rFonts w:ascii="Arial" w:eastAsia="Arial Narrow" w:hAnsi="Arial" w:cs="Arial"/>
          <w:kern w:val="2"/>
          <w14:ligatures w14:val="standardContextual"/>
        </w:rPr>
        <w:t>Συνιστούμε να καλέσετε οποιονδήποτε από τους παραπάνω αριθμούς 5 έως 10 λεπτά πριν την έναρξη της Τηλεδιάσκεψης.</w:t>
      </w:r>
    </w:p>
    <w:p w14:paraId="6C927CE5" w14:textId="68E1FB6A" w:rsidR="005D0797" w:rsidRPr="00FB20CB" w:rsidRDefault="009E285A" w:rsidP="0012006E">
      <w:pPr>
        <w:pStyle w:val="Default"/>
        <w:rPr>
          <w:rFonts w:ascii="Arial" w:hAnsi="Arial" w:cs="Arial"/>
          <w14:ligatures w14:val="standardContextual"/>
        </w:rPr>
      </w:pPr>
      <w:r w:rsidRPr="001113A8">
        <w:rPr>
          <w:rFonts w:ascii="Arial" w:eastAsia="Arial Narrow" w:hAnsi="Arial" w:cs="Arial"/>
          <w:kern w:val="2"/>
          <w14:ligatures w14:val="standardContextual"/>
        </w:rPr>
        <w:t>Η τηλεδιάσκεψη θα πραγματοποιηθεί σε πραγματικό χρόνο μετάδοσης μέσω διαδικτύου και μπορείτε να  εγγραφείτε μέσω</w:t>
      </w:r>
      <w:r w:rsidR="0012006E">
        <w:rPr>
          <w:rFonts w:ascii="Arial" w:eastAsia="Arial Narrow" w:hAnsi="Arial" w:cs="Arial"/>
          <w:kern w:val="2"/>
          <w14:ligatures w14:val="standardContextual"/>
        </w:rPr>
        <w:t xml:space="preserve"> </w:t>
      </w:r>
      <w:r w:rsidRPr="001113A8">
        <w:rPr>
          <w:rFonts w:ascii="Arial" w:eastAsia="Arial Narrow" w:hAnsi="Arial" w:cs="Arial"/>
          <w:kern w:val="2"/>
          <w14:ligatures w14:val="standardContextual"/>
        </w:rPr>
        <w:t>σύνδεσης</w:t>
      </w:r>
      <w:r w:rsidR="0012006E">
        <w:rPr>
          <w:rFonts w:ascii="Arial" w:eastAsia="Arial Narrow" w:hAnsi="Arial" w:cs="Arial"/>
          <w:kern w:val="2"/>
          <w14:ligatures w14:val="standardContextual"/>
        </w:rPr>
        <w:t xml:space="preserve"> </w:t>
      </w:r>
      <w:r w:rsidRPr="001113A8">
        <w:rPr>
          <w:rFonts w:ascii="Arial" w:eastAsia="Arial Narrow" w:hAnsi="Arial" w:cs="Arial"/>
          <w:kern w:val="2"/>
          <w14:ligatures w14:val="standardContextual"/>
        </w:rPr>
        <w:t>στο:</w:t>
      </w:r>
      <w:r w:rsidR="0012006E">
        <w:rPr>
          <w:rFonts w:ascii="Arial" w:eastAsia="Arial Narrow" w:hAnsi="Arial" w:cs="Arial"/>
          <w:kern w:val="2"/>
          <w14:ligatures w14:val="standardContextual"/>
        </w:rPr>
        <w:t xml:space="preserve">                                                           </w:t>
      </w:r>
    </w:p>
    <w:p w14:paraId="518B955C" w14:textId="77777777" w:rsidR="00C44A3C" w:rsidRPr="00FB20CB" w:rsidRDefault="00C44A3C" w:rsidP="00C44A3C">
      <w:pPr>
        <w:autoSpaceDE w:val="0"/>
        <w:autoSpaceDN w:val="0"/>
        <w:adjustRightInd w:val="0"/>
        <w:spacing w:after="0" w:line="240" w:lineRule="auto"/>
        <w:rPr>
          <w:rFonts w:ascii="Arial" w:hAnsi="Arial" w:cs="Arial"/>
          <w:color w:val="000000"/>
          <w:sz w:val="24"/>
          <w:szCs w:val="24"/>
          <w14:ligatures w14:val="standardContextual"/>
        </w:rPr>
      </w:pPr>
    </w:p>
    <w:p w14:paraId="72EDBF2A" w14:textId="77777777" w:rsidR="00C44A3C" w:rsidRPr="00FB20CB" w:rsidRDefault="00C44A3C" w:rsidP="00C44A3C">
      <w:pPr>
        <w:autoSpaceDE w:val="0"/>
        <w:autoSpaceDN w:val="0"/>
        <w:adjustRightInd w:val="0"/>
        <w:spacing w:after="0" w:line="240" w:lineRule="auto"/>
        <w:rPr>
          <w:rFonts w:ascii="Arial" w:hAnsi="Arial" w:cs="Arial"/>
          <w:sz w:val="24"/>
          <w:szCs w:val="24"/>
          <w14:ligatures w14:val="standardContextual"/>
        </w:rPr>
      </w:pPr>
    </w:p>
    <w:p w14:paraId="3982A933" w14:textId="0DB3ADCB" w:rsidR="00C44A3C" w:rsidRPr="00FB20CB" w:rsidRDefault="00C44A3C" w:rsidP="00C44A3C">
      <w:pPr>
        <w:spacing w:before="30" w:after="120"/>
        <w:ind w:right="-20"/>
        <w:jc w:val="center"/>
        <w:rPr>
          <w:rFonts w:ascii="Arial" w:hAnsi="Arial" w:cs="Arial"/>
          <w:color w:val="0000FF"/>
          <w14:ligatures w14:val="standardContextual"/>
        </w:rPr>
      </w:pPr>
      <w:r w:rsidRPr="00FB20CB">
        <w:rPr>
          <w:rFonts w:ascii="Arial" w:hAnsi="Arial" w:cs="Arial"/>
          <w:sz w:val="24"/>
          <w:szCs w:val="24"/>
          <w14:ligatures w14:val="standardContextual"/>
        </w:rPr>
        <w:t xml:space="preserve"> </w:t>
      </w:r>
      <w:hyperlink r:id="rId13" w:history="1">
        <w:r w:rsidRPr="00FB20CB">
          <w:rPr>
            <w:rStyle w:val="Hyperlink"/>
            <w:rFonts w:ascii="Arial" w:hAnsi="Arial" w:cs="Arial"/>
            <w14:ligatures w14:val="standardContextual"/>
          </w:rPr>
          <w:t>https://87399.themediaframe.eu/links/otegroup251113.html</w:t>
        </w:r>
      </w:hyperlink>
    </w:p>
    <w:p w14:paraId="06AA8CEC" w14:textId="57ECFBBF" w:rsidR="00C44A3C" w:rsidRPr="00FB20CB" w:rsidRDefault="00C44A3C" w:rsidP="00C44A3C">
      <w:pPr>
        <w:spacing w:before="30" w:after="120"/>
        <w:ind w:right="-20"/>
        <w:jc w:val="center"/>
        <w:rPr>
          <w:rFonts w:ascii="Arial" w:hAnsi="Arial" w:cs="Arial"/>
          <w:color w:val="0000FF"/>
          <w14:ligatures w14:val="standardContextual"/>
        </w:rPr>
      </w:pPr>
      <w:r w:rsidRPr="00FB20CB">
        <w:rPr>
          <w:rFonts w:ascii="Arial" w:hAnsi="Arial" w:cs="Arial"/>
          <w:color w:val="0000FF"/>
          <w14:ligatures w14:val="standardContextual"/>
        </w:rPr>
        <w:t xml:space="preserve"> </w:t>
      </w:r>
    </w:p>
    <w:p w14:paraId="7D148067" w14:textId="7D92E00F" w:rsidR="009E285A" w:rsidRPr="003E218F" w:rsidRDefault="00A6742C" w:rsidP="00C44A3C">
      <w:pPr>
        <w:spacing w:before="30" w:after="120"/>
        <w:ind w:right="-20"/>
        <w:jc w:val="center"/>
        <w:rPr>
          <w:rFonts w:ascii="Arial" w:eastAsia="Arial Narrow" w:hAnsi="Arial" w:cs="Arial"/>
          <w:i/>
          <w:spacing w:val="1"/>
          <w:kern w:val="2"/>
          <w14:ligatures w14:val="standardContextual"/>
        </w:rPr>
      </w:pPr>
      <w:r>
        <w:rPr>
          <w:rFonts w:ascii="Arial" w:hAnsi="Arial" w:cs="Arial"/>
          <w:noProof/>
          <w:u w:val="single"/>
        </w:rPr>
        <mc:AlternateContent>
          <mc:Choice Requires="wps">
            <w:drawing>
              <wp:anchor distT="0" distB="0" distL="114300" distR="114300" simplePos="0" relativeHeight="251658241" behindDoc="0" locked="0" layoutInCell="1" allowOverlap="1" wp14:anchorId="185C53A8" wp14:editId="4513D109">
                <wp:simplePos x="0" y="0"/>
                <wp:positionH relativeFrom="column">
                  <wp:posOffset>-1111250</wp:posOffset>
                </wp:positionH>
                <wp:positionV relativeFrom="paragraph">
                  <wp:posOffset>332105</wp:posOffset>
                </wp:positionV>
                <wp:extent cx="8246110" cy="6350"/>
                <wp:effectExtent l="0" t="0" r="21590" b="31750"/>
                <wp:wrapNone/>
                <wp:docPr id="130" name="Straight Connector 130"/>
                <wp:cNvGraphicFramePr/>
                <a:graphic xmlns:a="http://schemas.openxmlformats.org/drawingml/2006/main">
                  <a:graphicData uri="http://schemas.microsoft.com/office/word/2010/wordprocessingShape">
                    <wps:wsp>
                      <wps:cNvCnPr/>
                      <wps:spPr>
                        <a:xfrm flipV="1">
                          <a:off x="0" y="0"/>
                          <a:ext cx="8246110" cy="6350"/>
                        </a:xfrm>
                        <a:prstGeom prst="line">
                          <a:avLst/>
                        </a:prstGeom>
                        <a:ln>
                          <a:solidFill>
                            <a:srgbClr val="00A5E3"/>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line w14:anchorId="69C840FE" id="Straight Connector 130" o:spid="_x0000_s1026" style="position:absolute;flip:y;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7.5pt,26.15pt" to="561.8pt,2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" strokecolor="#00a5e3" strokeweight=".5pt">
                <v:stroke joinstyle="miter"/>
              </v:line>
            </w:pict>
          </mc:Fallback>
        </mc:AlternateContent>
      </w:r>
      <w:r w:rsidR="009E285A" w:rsidRPr="001113A8">
        <w:rPr>
          <w:rFonts w:ascii="Arial" w:eastAsia="Arial Narrow" w:hAnsi="Arial" w:cs="Arial"/>
          <w:i/>
          <w:iCs/>
          <w:kern w:val="2"/>
          <w14:ligatures w14:val="standardContextual"/>
        </w:rPr>
        <w:t>Αν δυσκολεύεστε να συνδεθείτε μπορείτε να καλέσετε στο: +</w:t>
      </w:r>
      <w:r w:rsidR="009E285A" w:rsidRPr="001113A8">
        <w:rPr>
          <w:rFonts w:ascii="Arial" w:eastAsia="Arial Narrow" w:hAnsi="Arial" w:cs="Arial"/>
          <w:i/>
          <w:iCs/>
          <w:spacing w:val="1"/>
          <w:kern w:val="2"/>
          <w14:ligatures w14:val="standardContextual"/>
        </w:rPr>
        <w:t xml:space="preserve"> </w:t>
      </w:r>
      <w:r w:rsidR="009E285A" w:rsidRPr="001113A8">
        <w:rPr>
          <w:rFonts w:ascii="Arial" w:eastAsia="Arial Narrow" w:hAnsi="Arial" w:cs="Arial"/>
          <w:i/>
          <w:iCs/>
          <w:spacing w:val="-1"/>
          <w:kern w:val="2"/>
          <w14:ligatures w14:val="standardContextual"/>
        </w:rPr>
        <w:t>3</w:t>
      </w:r>
      <w:r w:rsidR="009E285A" w:rsidRPr="001113A8">
        <w:rPr>
          <w:rFonts w:ascii="Arial" w:eastAsia="Arial Narrow" w:hAnsi="Arial" w:cs="Arial"/>
          <w:i/>
          <w:iCs/>
          <w:kern w:val="2"/>
          <w14:ligatures w14:val="standardContextual"/>
        </w:rPr>
        <w:t>0</w:t>
      </w:r>
      <w:r w:rsidR="009E285A" w:rsidRPr="001113A8">
        <w:rPr>
          <w:rFonts w:ascii="Arial" w:eastAsia="Arial Narrow" w:hAnsi="Arial" w:cs="Arial"/>
          <w:i/>
          <w:iCs/>
          <w:spacing w:val="1"/>
          <w:kern w:val="2"/>
          <w14:ligatures w14:val="standardContextual"/>
        </w:rPr>
        <w:t xml:space="preserve"> </w:t>
      </w:r>
      <w:r w:rsidR="009E285A" w:rsidRPr="001113A8">
        <w:rPr>
          <w:rFonts w:ascii="Arial" w:eastAsia="Arial Narrow" w:hAnsi="Arial" w:cs="Arial"/>
          <w:i/>
          <w:iCs/>
          <w:spacing w:val="-1"/>
          <w:kern w:val="2"/>
          <w14:ligatures w14:val="standardContextual"/>
        </w:rPr>
        <w:t>2</w:t>
      </w:r>
      <w:r w:rsidR="009E285A" w:rsidRPr="001113A8">
        <w:rPr>
          <w:rFonts w:ascii="Arial" w:eastAsia="Arial Narrow" w:hAnsi="Arial" w:cs="Arial"/>
          <w:i/>
          <w:iCs/>
          <w:spacing w:val="1"/>
          <w:kern w:val="2"/>
          <w14:ligatures w14:val="standardContextual"/>
        </w:rPr>
        <w:t>1</w:t>
      </w:r>
      <w:r w:rsidR="009E285A" w:rsidRPr="001113A8">
        <w:rPr>
          <w:rFonts w:ascii="Arial" w:eastAsia="Arial Narrow" w:hAnsi="Arial" w:cs="Arial"/>
          <w:i/>
          <w:iCs/>
          <w:kern w:val="2"/>
          <w14:ligatures w14:val="standardContextual"/>
        </w:rPr>
        <w:t>0</w:t>
      </w:r>
      <w:r w:rsidR="009E285A" w:rsidRPr="001113A8">
        <w:rPr>
          <w:rFonts w:ascii="Arial" w:eastAsia="Arial Narrow" w:hAnsi="Arial" w:cs="Arial"/>
          <w:i/>
          <w:iCs/>
          <w:spacing w:val="-1"/>
          <w:kern w:val="2"/>
          <w14:ligatures w14:val="standardContextual"/>
        </w:rPr>
        <w:t xml:space="preserve"> </w:t>
      </w:r>
      <w:r w:rsidR="009E285A" w:rsidRPr="001113A8">
        <w:rPr>
          <w:rFonts w:ascii="Arial" w:eastAsia="Arial Narrow" w:hAnsi="Arial" w:cs="Arial"/>
          <w:i/>
          <w:iCs/>
          <w:spacing w:val="1"/>
          <w:kern w:val="2"/>
          <w14:ligatures w14:val="standardContextual"/>
        </w:rPr>
        <w:t>94</w:t>
      </w:r>
      <w:r w:rsidR="009E285A" w:rsidRPr="001113A8">
        <w:rPr>
          <w:rFonts w:ascii="Arial" w:eastAsia="Arial Narrow" w:hAnsi="Arial" w:cs="Arial"/>
          <w:i/>
          <w:iCs/>
          <w:spacing w:val="-1"/>
          <w:kern w:val="2"/>
          <w14:ligatures w14:val="standardContextual"/>
        </w:rPr>
        <w:t>6</w:t>
      </w:r>
      <w:r w:rsidR="009E285A" w:rsidRPr="001113A8">
        <w:rPr>
          <w:rFonts w:ascii="Arial" w:eastAsia="Arial Narrow" w:hAnsi="Arial" w:cs="Arial"/>
          <w:i/>
          <w:iCs/>
          <w:spacing w:val="1"/>
          <w:kern w:val="2"/>
          <w14:ligatures w14:val="standardContextual"/>
        </w:rPr>
        <w:t>0</w:t>
      </w:r>
      <w:r w:rsidR="009E285A" w:rsidRPr="001113A8">
        <w:rPr>
          <w:rFonts w:ascii="Arial" w:eastAsia="Arial Narrow" w:hAnsi="Arial" w:cs="Arial"/>
          <w:i/>
          <w:iCs/>
          <w:spacing w:val="-1"/>
          <w:kern w:val="2"/>
          <w14:ligatures w14:val="standardContextual"/>
        </w:rPr>
        <w:t>8</w:t>
      </w:r>
      <w:r w:rsidR="009E285A" w:rsidRPr="001113A8">
        <w:rPr>
          <w:rFonts w:ascii="Arial" w:eastAsia="Arial Narrow" w:hAnsi="Arial" w:cs="Arial"/>
          <w:i/>
          <w:iCs/>
          <w:spacing w:val="1"/>
          <w:kern w:val="2"/>
          <w14:ligatures w14:val="standardContextual"/>
        </w:rPr>
        <w:t>03</w:t>
      </w:r>
    </w:p>
    <w:p w14:paraId="2AB4676A" w14:textId="77777777" w:rsidR="00912C18" w:rsidRPr="003E218F" w:rsidRDefault="00912C18" w:rsidP="00C44A3C">
      <w:pPr>
        <w:spacing w:before="30" w:after="120"/>
        <w:ind w:right="-20"/>
        <w:jc w:val="center"/>
        <w:rPr>
          <w:rFonts w:ascii="Arial" w:eastAsia="Arial Narrow" w:hAnsi="Arial" w:cs="Arial"/>
          <w:i/>
          <w:iCs/>
          <w:spacing w:val="1"/>
          <w:kern w:val="2"/>
          <w14:ligatures w14:val="standardContextual"/>
        </w:rPr>
      </w:pPr>
    </w:p>
    <w:p w14:paraId="46849123" w14:textId="77777777" w:rsidR="00912C18" w:rsidRPr="003E218F" w:rsidRDefault="00912C18" w:rsidP="00C44A3C">
      <w:pPr>
        <w:spacing w:before="30" w:after="120"/>
        <w:ind w:right="-20"/>
        <w:jc w:val="center"/>
        <w:rPr>
          <w:rFonts w:ascii="Arial" w:eastAsia="Arial Narrow" w:hAnsi="Arial" w:cs="Arial"/>
          <w:i/>
          <w:iCs/>
          <w:kern w:val="2"/>
          <w14:ligatures w14:val="standardContextual"/>
        </w:rPr>
      </w:pPr>
    </w:p>
    <w:p w14:paraId="3F79A549" w14:textId="5B58B768" w:rsidR="009E285A" w:rsidRPr="00A7639D" w:rsidRDefault="009E285A" w:rsidP="009E285A">
      <w:pPr>
        <w:pStyle w:val="BodyText3-Contempora"/>
        <w:tabs>
          <w:tab w:val="left" w:pos="1418"/>
          <w:tab w:val="left" w:pos="2694"/>
          <w:tab w:val="left" w:pos="4253"/>
          <w:tab w:val="left" w:pos="5670"/>
        </w:tabs>
        <w:spacing w:line="240" w:lineRule="auto"/>
        <w:ind w:left="1418" w:right="284" w:hanging="1418"/>
        <w:jc w:val="center"/>
        <w:rPr>
          <w:rFonts w:ascii="Arial" w:hAnsi="Arial" w:cs="Arial"/>
          <w:b/>
          <w:i/>
          <w:color w:val="FFFFFF" w:themeColor="background1"/>
          <w:sz w:val="20"/>
          <w:szCs w:val="20"/>
          <w:lang w:val="el-GR"/>
        </w:rPr>
      </w:pPr>
      <w:r w:rsidRPr="00A7639D">
        <w:rPr>
          <w:rFonts w:ascii="Arial" w:hAnsi="Arial" w:cs="Arial"/>
          <w:b/>
          <w:bCs/>
          <w:i/>
          <w:iCs/>
          <w:color w:val="FFFFFF" w:themeColor="background1"/>
          <w:sz w:val="20"/>
          <w:szCs w:val="20"/>
          <w:lang w:val="en-US"/>
        </w:rPr>
        <w:lastRenderedPageBreak/>
        <w:t>ns</w:t>
      </w:r>
      <w:r w:rsidRPr="00A7639D">
        <w:rPr>
          <w:rFonts w:ascii="Arial" w:hAnsi="Arial" w:cs="Arial"/>
          <w:b/>
          <w:bCs/>
          <w:i/>
          <w:iCs/>
          <w:color w:val="FFFFFF" w:themeColor="background1"/>
          <w:sz w:val="20"/>
          <w:szCs w:val="20"/>
          <w:lang w:val="el-GR"/>
        </w:rPr>
        <w:t>.</w:t>
      </w:r>
      <w:r w:rsidRPr="00A7639D">
        <w:rPr>
          <w:rFonts w:ascii="Arial" w:hAnsi="Arial" w:cs="Arial"/>
          <w:b/>
          <w:bCs/>
          <w:i/>
          <w:iCs/>
          <w:color w:val="FFFFFF" w:themeColor="background1"/>
          <w:sz w:val="20"/>
          <w:szCs w:val="20"/>
          <w:lang w:val="en-US"/>
        </w:rPr>
        <w:t>html</w:t>
      </w:r>
    </w:p>
    <w:p w14:paraId="3995FB09" w14:textId="77C5DEEB" w:rsidR="009E285A" w:rsidRPr="00191CE0" w:rsidRDefault="009E285A" w:rsidP="00191CE0">
      <w:pPr>
        <w:pStyle w:val="BodyText3-Contempora"/>
        <w:tabs>
          <w:tab w:val="left" w:pos="1418"/>
          <w:tab w:val="left" w:pos="2694"/>
          <w:tab w:val="left" w:pos="4253"/>
          <w:tab w:val="left" w:pos="5670"/>
        </w:tabs>
        <w:spacing w:line="360" w:lineRule="auto"/>
        <w:ind w:right="284"/>
        <w:jc w:val="both"/>
        <w:rPr>
          <w:rFonts w:ascii="Arial" w:hAnsi="Arial" w:cs="Arial"/>
          <w:b/>
          <w:sz w:val="4"/>
          <w:szCs w:val="6"/>
          <w:lang w:val="el-GR"/>
        </w:rPr>
      </w:pPr>
      <w:r w:rsidRPr="00191CE0">
        <w:rPr>
          <w:rFonts w:ascii="Arial" w:eastAsia="Calibri" w:hAnsi="Arial" w:cs="Arial"/>
          <w:b/>
          <w:kern w:val="2"/>
          <w:u w:val="single"/>
          <w:lang w:val="el-GR"/>
          <w14:ligatures w14:val="standardContextual"/>
        </w:rPr>
        <w:t>Δήλωση Αποποίησης Ευθύνης</w:t>
      </w:r>
    </w:p>
    <w:p w14:paraId="49CC646E" w14:textId="77777777" w:rsidR="009E285A" w:rsidRPr="00AF68C2" w:rsidRDefault="009E285A" w:rsidP="00413DFC">
      <w:pPr>
        <w:spacing w:after="120"/>
        <w:ind w:right="-2"/>
        <w:jc w:val="both"/>
        <w:rPr>
          <w:rFonts w:ascii="Arial" w:eastAsia="Calibri" w:hAnsi="Arial" w:cs="Arial"/>
          <w:kern w:val="2"/>
          <w14:ligatures w14:val="standardContextual"/>
        </w:rPr>
      </w:pPr>
      <w:r w:rsidRPr="00743815">
        <w:rPr>
          <w:rFonts w:ascii="Arial" w:eastAsia="Calibri" w:hAnsi="Arial" w:cs="Arial"/>
          <w:kern w:val="2"/>
          <w14:ligatures w14:val="standardContextual"/>
        </w:rPr>
        <w:t>Η παρούσα ανακοίνωση περιλαμβάνει ορισμένες δηλώσεις που αφορούν σε μελλοντικές εξελίξεις. Οι εν λόγω δηλώσεις υπόκεινται σε κινδύνους και αβεβαιότητες που θα μπορούσαν να επηρεάσουν ουσιωδώς τα αναμενόμενα αποτελέσματα. Οι εν λόγω κίνδυνοι και αβεβαιότητες περιλαμβάνουν, μεταξύ άλλων, τη μεταβολή των οικονομικών, χρηματοοικονομικών, επιχειρηματικών ή άλλων συνθηκών της αγοράς. Συνεπώς, συνιστάται στους αναγνώστες να μη βασιστούν στις δηλώσεις που αφορούν σε μελλοντικές εξελίξεις. Το περιεχόμενο της παρούσας ανακοίνωσης δεν πρέπει να ερμηνευθεί ως πρόβλεψη κερδών και δεν υπάρχει εγγύηση ότι οι εν λόγω δηλώσεις και προβλέψεις θα πραγματοποιηθούν. Συνιστάται στους αποδέκτες της παρούσας να μην αποδώσουν αδικαιολόγητη βαρύτητα στις εν λόγω δηλώσεις, οι οποίες απηχούν τις θέσεις του Ομίλου μόνο κατά την ημερομηνία της παρούσας ανακοίνωσης, και να προβούν σε δική τους ανεξάρτητη ανάλυση και απόφαση σε σχέση με τις περιόδους στις οποίες αφορούν οι προβλέψεις.</w:t>
      </w:r>
    </w:p>
    <w:p w14:paraId="77AD2272" w14:textId="77777777" w:rsidR="002A7BA6" w:rsidRPr="00AF68C2" w:rsidRDefault="002A7BA6" w:rsidP="00413DFC">
      <w:pPr>
        <w:spacing w:after="120"/>
        <w:ind w:right="-2"/>
        <w:jc w:val="both"/>
        <w:rPr>
          <w:rFonts w:ascii="Arial" w:eastAsia="Calibri" w:hAnsi="Arial" w:cs="Arial"/>
          <w:kern w:val="2"/>
          <w14:ligatures w14:val="standardContextual"/>
        </w:rPr>
      </w:pPr>
    </w:p>
    <w:p w14:paraId="12E675F9" w14:textId="77777777" w:rsidR="002A7BA6" w:rsidRPr="00AF68C2" w:rsidRDefault="002A7BA6" w:rsidP="00413DFC">
      <w:pPr>
        <w:spacing w:after="120"/>
        <w:ind w:right="-2"/>
        <w:jc w:val="both"/>
        <w:rPr>
          <w:rFonts w:ascii="Arial" w:eastAsia="Calibri" w:hAnsi="Arial" w:cs="Arial"/>
          <w:kern w:val="2"/>
          <w14:ligatures w14:val="standardContextual"/>
        </w:rPr>
      </w:pPr>
    </w:p>
    <w:p w14:paraId="45271378" w14:textId="1BB2154D" w:rsidR="009E285A" w:rsidRPr="00FB20CB" w:rsidRDefault="009E285A" w:rsidP="00946AE7">
      <w:pPr>
        <w:pStyle w:val="Tittle2"/>
        <w:rPr>
          <w:rFonts w:cs="Arial"/>
        </w:rPr>
      </w:pPr>
      <w:r w:rsidRPr="00FB20CB">
        <w:rPr>
          <w:rFonts w:cs="Arial"/>
        </w:rPr>
        <w:t>Π</w:t>
      </w:r>
      <w:r w:rsidR="00946AE7" w:rsidRPr="00FB20CB">
        <w:rPr>
          <w:rFonts w:cs="Arial"/>
          <w:lang w:val="el-GR"/>
        </w:rPr>
        <w:t>ΙΝΑΚΕΣ</w:t>
      </w:r>
      <w:r w:rsidRPr="00FB20CB">
        <w:rPr>
          <w:rFonts w:cs="Arial"/>
        </w:rPr>
        <w:t xml:space="preserve"> </w:t>
      </w:r>
    </w:p>
    <w:p w14:paraId="57097306" w14:textId="77777777" w:rsidR="009E285A" w:rsidRPr="00552D79" w:rsidRDefault="009E285A" w:rsidP="000A16E4">
      <w:pPr>
        <w:numPr>
          <w:ilvl w:val="0"/>
          <w:numId w:val="5"/>
        </w:numPr>
        <w:spacing w:after="120" w:line="240" w:lineRule="auto"/>
        <w:ind w:left="0" w:right="140" w:firstLine="0"/>
        <w:jc w:val="both"/>
        <w:rPr>
          <w:rFonts w:ascii="Arial" w:eastAsia="Calibri" w:hAnsi="Arial" w:cs="Arial"/>
          <w:kern w:val="2"/>
          <w14:ligatures w14:val="standardContextual"/>
        </w:rPr>
      </w:pPr>
      <w:r w:rsidRPr="00552D79">
        <w:rPr>
          <w:rFonts w:ascii="Arial" w:eastAsia="Calibri" w:hAnsi="Arial" w:cs="Arial"/>
          <w:kern w:val="2"/>
          <w14:ligatures w14:val="standardContextual"/>
        </w:rPr>
        <w:t>Εναλλακτικοί Δείκτες Μέτρησης Απόδοσης (“ΕΔΜΑ”)</w:t>
      </w:r>
    </w:p>
    <w:p w14:paraId="208EA1C5" w14:textId="5314FEB2" w:rsidR="009E285A" w:rsidRPr="00552D79" w:rsidRDefault="009E285A" w:rsidP="000A16E4">
      <w:pPr>
        <w:numPr>
          <w:ilvl w:val="0"/>
          <w:numId w:val="5"/>
        </w:numPr>
        <w:spacing w:after="120" w:line="240" w:lineRule="auto"/>
        <w:ind w:left="0" w:right="140" w:firstLine="0"/>
        <w:jc w:val="both"/>
        <w:rPr>
          <w:rFonts w:ascii="Arial" w:eastAsia="Calibri" w:hAnsi="Arial" w:cs="Arial"/>
          <w:kern w:val="2"/>
          <w14:ligatures w14:val="standardContextual"/>
        </w:rPr>
      </w:pPr>
      <w:r w:rsidRPr="00552D79">
        <w:rPr>
          <w:rFonts w:ascii="Arial" w:eastAsia="Calibri" w:hAnsi="Arial" w:cs="Arial"/>
          <w:kern w:val="2"/>
          <w14:ligatures w14:val="standardContextual"/>
        </w:rPr>
        <w:t>Κατάσταση Χρηματοοικονομικής Θέσης (Ενοποιημένη) της 3</w:t>
      </w:r>
      <w:r w:rsidR="00BE21AD">
        <w:rPr>
          <w:rFonts w:ascii="Arial" w:eastAsia="Calibri" w:hAnsi="Arial" w:cs="Arial"/>
          <w:kern w:val="2"/>
          <w14:ligatures w14:val="standardContextual"/>
        </w:rPr>
        <w:t>0</w:t>
      </w:r>
      <w:r w:rsidRPr="00552D79">
        <w:rPr>
          <w:rFonts w:ascii="Arial" w:eastAsia="Calibri" w:hAnsi="Arial" w:cs="Arial"/>
          <w:kern w:val="2"/>
          <w:vertAlign w:val="superscript"/>
          <w14:ligatures w14:val="standardContextual"/>
        </w:rPr>
        <w:t xml:space="preserve">ης </w:t>
      </w:r>
      <w:r w:rsidR="00D64EE4">
        <w:rPr>
          <w:rFonts w:ascii="Arial" w:eastAsia="Calibri" w:hAnsi="Arial" w:cs="Arial"/>
          <w:bCs/>
          <w:kern w:val="2"/>
          <w14:ligatures w14:val="standardContextual"/>
        </w:rPr>
        <w:t>Σεπτεμβρίου</w:t>
      </w:r>
      <w:r w:rsidR="003F0920">
        <w:rPr>
          <w:rFonts w:ascii="Arial" w:eastAsia="Calibri" w:hAnsi="Arial" w:cs="Arial"/>
          <w:bCs/>
          <w:kern w:val="2"/>
          <w14:ligatures w14:val="standardContextual"/>
        </w:rPr>
        <w:t xml:space="preserve"> </w:t>
      </w:r>
      <w:r w:rsidRPr="00552D79">
        <w:rPr>
          <w:rFonts w:ascii="Arial" w:eastAsia="Calibri" w:hAnsi="Arial" w:cs="Arial"/>
          <w:bCs/>
          <w:kern w:val="2"/>
          <w14:ligatures w14:val="standardContextual"/>
        </w:rPr>
        <w:t>202</w:t>
      </w:r>
      <w:r w:rsidR="001D3D06">
        <w:rPr>
          <w:rFonts w:ascii="Arial" w:eastAsia="Calibri" w:hAnsi="Arial" w:cs="Arial"/>
          <w:bCs/>
          <w:kern w:val="2"/>
          <w14:ligatures w14:val="standardContextual"/>
        </w:rPr>
        <w:t>5</w:t>
      </w:r>
      <w:r w:rsidRPr="00552D79">
        <w:rPr>
          <w:rFonts w:ascii="Arial" w:eastAsia="Calibri" w:hAnsi="Arial" w:cs="Arial"/>
          <w:bCs/>
          <w:kern w:val="2"/>
          <w14:ligatures w14:val="standardContextual"/>
        </w:rPr>
        <w:t xml:space="preserve"> </w:t>
      </w:r>
      <w:r w:rsidRPr="00552D79">
        <w:rPr>
          <w:rFonts w:ascii="Arial" w:eastAsia="Calibri" w:hAnsi="Arial" w:cs="Arial"/>
          <w:kern w:val="2"/>
          <w14:ligatures w14:val="standardContextual"/>
        </w:rPr>
        <w:t>και της 31</w:t>
      </w:r>
      <w:r w:rsidRPr="00552D79">
        <w:rPr>
          <w:rFonts w:ascii="Arial" w:eastAsia="Calibri" w:hAnsi="Arial" w:cs="Arial"/>
          <w:kern w:val="2"/>
          <w:vertAlign w:val="superscript"/>
          <w14:ligatures w14:val="standardContextual"/>
        </w:rPr>
        <w:t>ης</w:t>
      </w:r>
      <w:r w:rsidRPr="00552D79">
        <w:rPr>
          <w:rFonts w:ascii="Arial" w:eastAsia="Calibri" w:hAnsi="Arial" w:cs="Arial"/>
          <w:kern w:val="2"/>
          <w14:ligatures w14:val="standardContextual"/>
        </w:rPr>
        <w:t xml:space="preserve"> </w:t>
      </w:r>
      <w:r w:rsidRPr="00552D79">
        <w:rPr>
          <w:rFonts w:ascii="Arial" w:eastAsia="Calibri" w:hAnsi="Arial" w:cs="Arial"/>
          <w:bCs/>
          <w:kern w:val="2"/>
          <w14:ligatures w14:val="standardContextual"/>
        </w:rPr>
        <w:t>Δεκεμβρίου 202</w:t>
      </w:r>
      <w:r w:rsidR="001D3D06">
        <w:rPr>
          <w:rFonts w:ascii="Arial" w:eastAsia="Calibri" w:hAnsi="Arial" w:cs="Arial"/>
          <w:bCs/>
          <w:kern w:val="2"/>
          <w14:ligatures w14:val="standardContextual"/>
        </w:rPr>
        <w:t>4</w:t>
      </w:r>
      <w:r w:rsidRPr="00552D79">
        <w:rPr>
          <w:rFonts w:ascii="Arial" w:eastAsia="Calibri" w:hAnsi="Arial" w:cs="Arial"/>
          <w:bCs/>
          <w:kern w:val="2"/>
          <w14:ligatures w14:val="standardContextual"/>
        </w:rPr>
        <w:t xml:space="preserve">. </w:t>
      </w:r>
      <w:r w:rsidRPr="00552D79">
        <w:rPr>
          <w:rFonts w:ascii="Arial" w:eastAsia="Calibri" w:hAnsi="Arial" w:cs="Arial"/>
          <w:kern w:val="2"/>
          <w14:ligatures w14:val="standardContextual"/>
        </w:rPr>
        <w:t xml:space="preserve"> </w:t>
      </w:r>
    </w:p>
    <w:p w14:paraId="1AE0CE52" w14:textId="4FC6725B" w:rsidR="009E285A" w:rsidRPr="00552D79" w:rsidRDefault="009E285A" w:rsidP="000A16E4">
      <w:pPr>
        <w:numPr>
          <w:ilvl w:val="0"/>
          <w:numId w:val="5"/>
        </w:numPr>
        <w:spacing w:after="120" w:line="240" w:lineRule="auto"/>
        <w:ind w:left="0" w:right="140" w:firstLine="0"/>
        <w:jc w:val="both"/>
        <w:rPr>
          <w:rFonts w:ascii="Arial" w:eastAsia="Calibri" w:hAnsi="Arial" w:cs="Arial"/>
          <w:kern w:val="2"/>
          <w14:ligatures w14:val="standardContextual"/>
        </w:rPr>
      </w:pPr>
      <w:r w:rsidRPr="00552D79">
        <w:rPr>
          <w:rFonts w:ascii="Arial" w:eastAsia="Calibri" w:hAnsi="Arial" w:cs="Arial"/>
          <w:kern w:val="2"/>
          <w14:ligatures w14:val="standardContextual"/>
        </w:rPr>
        <w:t xml:space="preserve">Ενοποιημένη Κατάσταση Αποτελεσμάτων για το τρίμηνο που έληξε στις </w:t>
      </w:r>
      <w:r w:rsidR="00BE21AD">
        <w:rPr>
          <w:rFonts w:ascii="Arial" w:eastAsia="Calibri" w:hAnsi="Arial" w:cs="Arial"/>
          <w:kern w:val="2"/>
          <w14:ligatures w14:val="standardContextual"/>
        </w:rPr>
        <w:t xml:space="preserve">30 </w:t>
      </w:r>
      <w:r w:rsidR="00D64EE4">
        <w:rPr>
          <w:rFonts w:ascii="Arial" w:eastAsia="Calibri" w:hAnsi="Arial" w:cs="Arial"/>
          <w:bCs/>
          <w:kern w:val="2"/>
          <w14:ligatures w14:val="standardContextual"/>
        </w:rPr>
        <w:t xml:space="preserve">Σεπτεμβρίου </w:t>
      </w:r>
      <w:r w:rsidR="00E9726B" w:rsidRPr="00552D79">
        <w:rPr>
          <w:rFonts w:ascii="Arial" w:eastAsia="Calibri" w:hAnsi="Arial" w:cs="Arial"/>
          <w:bCs/>
          <w:kern w:val="2"/>
          <w14:ligatures w14:val="standardContextual"/>
        </w:rPr>
        <w:t>202</w:t>
      </w:r>
      <w:r w:rsidR="001D3D06">
        <w:rPr>
          <w:rFonts w:ascii="Arial" w:eastAsia="Calibri" w:hAnsi="Arial" w:cs="Arial"/>
          <w:bCs/>
          <w:kern w:val="2"/>
          <w14:ligatures w14:val="standardContextual"/>
        </w:rPr>
        <w:t>5</w:t>
      </w:r>
      <w:r w:rsidR="00E9726B" w:rsidRPr="00552D79">
        <w:rPr>
          <w:rFonts w:ascii="Arial" w:eastAsia="Calibri" w:hAnsi="Arial" w:cs="Arial"/>
          <w:bCs/>
          <w:kern w:val="2"/>
          <w14:ligatures w14:val="standardContextual"/>
        </w:rPr>
        <w:t xml:space="preserve"> </w:t>
      </w:r>
      <w:r w:rsidRPr="00552D79">
        <w:rPr>
          <w:rFonts w:ascii="Arial" w:eastAsia="Calibri" w:hAnsi="Arial" w:cs="Arial"/>
          <w:kern w:val="2"/>
          <w14:ligatures w14:val="standardContextual"/>
        </w:rPr>
        <w:t xml:space="preserve">και συγκριτική με το </w:t>
      </w:r>
      <w:r w:rsidRPr="00552D79">
        <w:rPr>
          <w:rFonts w:ascii="Arial" w:eastAsia="Calibri" w:hAnsi="Arial" w:cs="Arial"/>
          <w:bCs/>
          <w:kern w:val="2"/>
          <w14:ligatures w14:val="standardContextual"/>
        </w:rPr>
        <w:t>202</w:t>
      </w:r>
      <w:r w:rsidR="001D3D06">
        <w:rPr>
          <w:rFonts w:ascii="Arial" w:eastAsia="Calibri" w:hAnsi="Arial" w:cs="Arial"/>
          <w:bCs/>
          <w:kern w:val="2"/>
          <w14:ligatures w14:val="standardContextual"/>
        </w:rPr>
        <w:t>4</w:t>
      </w:r>
    </w:p>
    <w:p w14:paraId="3D57EBC4" w14:textId="18CA8DB7" w:rsidR="00ED5F91" w:rsidRDefault="009E285A" w:rsidP="000A16E4">
      <w:pPr>
        <w:numPr>
          <w:ilvl w:val="0"/>
          <w:numId w:val="5"/>
        </w:numPr>
        <w:spacing w:after="120" w:line="240" w:lineRule="auto"/>
        <w:ind w:left="0" w:right="140" w:firstLine="0"/>
        <w:jc w:val="both"/>
        <w:rPr>
          <w:rFonts w:ascii="Arial" w:eastAsia="Calibri" w:hAnsi="Arial" w:cs="Arial"/>
          <w:bCs/>
          <w:kern w:val="2"/>
          <w14:ligatures w14:val="standardContextual"/>
        </w:rPr>
      </w:pPr>
      <w:r w:rsidRPr="00552D79">
        <w:rPr>
          <w:rFonts w:ascii="Arial" w:eastAsia="Calibri" w:hAnsi="Arial" w:cs="Arial"/>
          <w:kern w:val="2"/>
          <w14:ligatures w14:val="standardContextual"/>
        </w:rPr>
        <w:t xml:space="preserve">Ενοποιημένη Κατάσταση Ταμειακών Ροών για το τρίμηνο </w:t>
      </w:r>
      <w:r w:rsidRPr="00552D79">
        <w:rPr>
          <w:rFonts w:ascii="Arial" w:eastAsia="Calibri" w:hAnsi="Arial" w:cs="Arial"/>
          <w:bCs/>
          <w:kern w:val="2"/>
          <w14:ligatures w14:val="standardContextual"/>
        </w:rPr>
        <w:t xml:space="preserve">που έληξε στις </w:t>
      </w:r>
      <w:r w:rsidR="00BE21AD">
        <w:rPr>
          <w:rFonts w:ascii="Arial" w:eastAsia="Calibri" w:hAnsi="Arial" w:cs="Arial"/>
          <w:kern w:val="2"/>
          <w14:ligatures w14:val="standardContextual"/>
        </w:rPr>
        <w:t xml:space="preserve">30 </w:t>
      </w:r>
      <w:r w:rsidR="00D64EE4">
        <w:rPr>
          <w:rFonts w:ascii="Arial" w:eastAsia="Calibri" w:hAnsi="Arial" w:cs="Arial"/>
          <w:bCs/>
          <w:kern w:val="2"/>
          <w14:ligatures w14:val="standardContextual"/>
        </w:rPr>
        <w:t xml:space="preserve">Σεπτεμβρίου </w:t>
      </w:r>
      <w:r w:rsidR="00BE21AD" w:rsidRPr="00552D79">
        <w:rPr>
          <w:rFonts w:ascii="Arial" w:eastAsia="Calibri" w:hAnsi="Arial" w:cs="Arial"/>
          <w:bCs/>
          <w:kern w:val="2"/>
          <w14:ligatures w14:val="standardContextual"/>
        </w:rPr>
        <w:t>202</w:t>
      </w:r>
      <w:r w:rsidR="00BE21AD">
        <w:rPr>
          <w:rFonts w:ascii="Arial" w:eastAsia="Calibri" w:hAnsi="Arial" w:cs="Arial"/>
          <w:bCs/>
          <w:kern w:val="2"/>
          <w14:ligatures w14:val="standardContextual"/>
        </w:rPr>
        <w:t>5</w:t>
      </w:r>
      <w:r w:rsidR="00BE21AD" w:rsidRPr="00552D79">
        <w:rPr>
          <w:rFonts w:ascii="Arial" w:eastAsia="Calibri" w:hAnsi="Arial" w:cs="Arial"/>
          <w:bCs/>
          <w:kern w:val="2"/>
          <w14:ligatures w14:val="standardContextual"/>
        </w:rPr>
        <w:t xml:space="preserve"> </w:t>
      </w:r>
      <w:r w:rsidRPr="00552D79">
        <w:rPr>
          <w:rFonts w:ascii="Arial" w:eastAsia="Calibri" w:hAnsi="Arial" w:cs="Arial"/>
          <w:kern w:val="2"/>
          <w14:ligatures w14:val="standardContextual"/>
        </w:rPr>
        <w:t xml:space="preserve">και συγκριτική με το </w:t>
      </w:r>
      <w:r w:rsidRPr="00552D79">
        <w:rPr>
          <w:rFonts w:ascii="Arial" w:eastAsia="Calibri" w:hAnsi="Arial" w:cs="Arial"/>
          <w:bCs/>
          <w:kern w:val="2"/>
          <w14:ligatures w14:val="standardContextual"/>
        </w:rPr>
        <w:t>202</w:t>
      </w:r>
      <w:r w:rsidR="001D3D06">
        <w:rPr>
          <w:rFonts w:ascii="Arial" w:eastAsia="Calibri" w:hAnsi="Arial" w:cs="Arial"/>
          <w:bCs/>
          <w:kern w:val="2"/>
          <w14:ligatures w14:val="standardContextual"/>
        </w:rPr>
        <w:t>4</w:t>
      </w:r>
    </w:p>
    <w:p w14:paraId="30974ACB" w14:textId="2F83F81F" w:rsidR="003E408D" w:rsidRPr="00051E74" w:rsidRDefault="00ED5F91" w:rsidP="003E408D">
      <w:pPr>
        <w:spacing w:after="0" w:line="240" w:lineRule="auto"/>
        <w:jc w:val="both"/>
        <w:rPr>
          <w:rFonts w:ascii="Arial" w:eastAsia="Times New Roman" w:hAnsi="Arial" w:cs="Arial"/>
          <w:b/>
          <w:color w:val="00B0F0"/>
          <w:sz w:val="24"/>
          <w:szCs w:val="24"/>
        </w:rPr>
      </w:pPr>
      <w:r>
        <w:rPr>
          <w:rFonts w:ascii="Arial" w:eastAsia="Calibri" w:hAnsi="Arial" w:cs="Arial"/>
          <w:bCs/>
          <w:kern w:val="2"/>
          <w14:ligatures w14:val="standardContextual"/>
        </w:rPr>
        <w:br w:type="page"/>
      </w:r>
      <w:r w:rsidR="003E408D" w:rsidRPr="00FB20CB">
        <w:rPr>
          <w:rFonts w:ascii="Arial" w:eastAsia="Times New Roman" w:hAnsi="Arial" w:cs="Arial"/>
          <w:b/>
          <w:color w:val="004E9A"/>
          <w:sz w:val="24"/>
          <w:szCs w:val="24"/>
          <w:lang w:eastAsia="el-GR"/>
        </w:rPr>
        <w:lastRenderedPageBreak/>
        <w:t>Ι. ΕΝΑΛΛΑΚΤΙΚΟΙ ΔΕΙΚΤΕΣ ΜΕΤΡΗΣΗΣ ΑΠΟΔΟΣΗΣ</w:t>
      </w:r>
      <w:r w:rsidR="003E408D">
        <w:rPr>
          <w:rFonts w:ascii="Arial" w:eastAsia="Times New Roman" w:hAnsi="Arial" w:cs="Arial"/>
          <w:b/>
          <w:color w:val="00B0F0"/>
          <w:sz w:val="24"/>
          <w:szCs w:val="24"/>
        </w:rPr>
        <w:t xml:space="preserve"> </w:t>
      </w:r>
    </w:p>
    <w:p w14:paraId="371D14DB" w14:textId="77777777" w:rsidR="003E408D" w:rsidRPr="00806D3A" w:rsidRDefault="003E408D" w:rsidP="003E408D">
      <w:pPr>
        <w:spacing w:after="0" w:line="240" w:lineRule="auto"/>
        <w:jc w:val="both"/>
        <w:rPr>
          <w:rFonts w:ascii="Arial" w:eastAsia="Times New Roman" w:hAnsi="Arial" w:cs="Arial"/>
          <w:b/>
          <w:color w:val="00B0F0"/>
          <w:sz w:val="24"/>
          <w:szCs w:val="24"/>
        </w:rPr>
      </w:pPr>
      <w:r w:rsidRPr="00051E74">
        <w:rPr>
          <w:rFonts w:ascii="Arial" w:eastAsia="Times New Roman" w:hAnsi="Arial" w:cs="Arial"/>
          <w:b/>
          <w:noProof/>
          <w:color w:val="00B0F0"/>
          <w:sz w:val="24"/>
          <w:szCs w:val="24"/>
        </w:rPr>
        <mc:AlternateContent>
          <mc:Choice Requires="wps">
            <w:drawing>
              <wp:anchor distT="0" distB="0" distL="114300" distR="114300" simplePos="0" relativeHeight="251658242" behindDoc="0" locked="0" layoutInCell="1" allowOverlap="1" wp14:anchorId="6818F6FB" wp14:editId="20C7DEEA">
                <wp:simplePos x="0" y="0"/>
                <wp:positionH relativeFrom="column">
                  <wp:posOffset>2752</wp:posOffset>
                </wp:positionH>
                <wp:positionV relativeFrom="paragraph">
                  <wp:posOffset>11642</wp:posOffset>
                </wp:positionV>
                <wp:extent cx="6640830" cy="0"/>
                <wp:effectExtent l="0" t="0" r="0" b="0"/>
                <wp:wrapNone/>
                <wp:docPr id="24" name="Straight Connector 24"/>
                <wp:cNvGraphicFramePr/>
                <a:graphic xmlns:a="http://schemas.openxmlformats.org/drawingml/2006/main">
                  <a:graphicData uri="http://schemas.microsoft.com/office/word/2010/wordprocessingShape">
                    <wps:wsp>
                      <wps:cNvCnPr/>
                      <wps:spPr>
                        <a:xfrm flipV="1">
                          <a:off x="0" y="0"/>
                          <a:ext cx="6640830" cy="0"/>
                        </a:xfrm>
                        <a:prstGeom prst="line">
                          <a:avLst/>
                        </a:prstGeom>
                        <a:ln w="7620">
                          <a:solidFill>
                            <a:srgbClr val="00B0F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line w14:anchorId="3E49EBC6" id="Straight Connector 24" o:spid="_x0000_s1026" style="position:absolute;flip:y;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pt,.9pt" to="523.1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" strokecolor="#00b0f0" strokeweight=".6pt">
                <v:stroke joinstyle="miter"/>
              </v:line>
            </w:pict>
          </mc:Fallback>
        </mc:AlternateContent>
      </w:r>
    </w:p>
    <w:p w14:paraId="3D9CFE62" w14:textId="490E69B0" w:rsidR="00496229" w:rsidRPr="00CE2C10" w:rsidRDefault="00496229" w:rsidP="00DF789D">
      <w:pPr>
        <w:jc w:val="both"/>
        <w:rPr>
          <w:rFonts w:ascii="Arial" w:eastAsia="Calibri" w:hAnsi="Arial" w:cs="Arial"/>
          <w:kern w:val="2"/>
          <w14:ligatures w14:val="standardContextual"/>
        </w:rPr>
      </w:pPr>
      <w:bookmarkStart w:id="5" w:name="_Hlk127543148"/>
      <w:r w:rsidRPr="00496229">
        <w:rPr>
          <w:rFonts w:ascii="Arial" w:eastAsia="Calibri" w:hAnsi="Arial" w:cs="Arial"/>
          <w:kern w:val="2"/>
          <w14:ligatures w14:val="standardContextual"/>
        </w:rPr>
        <w:t xml:space="preserve">Ο Όμιλος χρησιμοποιεί Εναλλακτικούς Δείκτες Μέτρησης Απόδοσης («ΕΔΜΑ”) στο πλαίσιο λήψης αποφάσεων σχετικά με τον χρηματοοικονομικό, λειτουργικό και στρατηγικό σχεδιασμό του καθώς και για την αξιολόγηση και την αποτύπωση των επιδόσεών του. Οι ΕΔΜΑ καθώς και οι αντίστοιχοι προσαρμοσμένοι δείκτες υπολογίζονται χρησιμοποιώντας τα ποσά της ενοποιημένης χρηματοοικονομικής θέσης (πίνακας II), της ενοποιημένης κατάστασης αποτελεσμάτων (πίνακας III) και της ενοποιημένης κατάστασης ταμειακών ροών (πίνακας IV) καθώς και τα παρακάτω στοιχεία, τα οποία λόγω της φύσης τους επηρεάζουν την </w:t>
      </w:r>
      <w:proofErr w:type="spellStart"/>
      <w:r w:rsidRPr="00496229">
        <w:rPr>
          <w:rFonts w:ascii="Arial" w:eastAsia="Calibri" w:hAnsi="Arial" w:cs="Arial"/>
          <w:kern w:val="2"/>
          <w14:ligatures w14:val="standardContextual"/>
        </w:rPr>
        <w:t>συγκρισιμότητα</w:t>
      </w:r>
      <w:proofErr w:type="spellEnd"/>
      <w:r w:rsidRPr="00496229">
        <w:rPr>
          <w:rFonts w:ascii="Arial" w:eastAsia="Calibri" w:hAnsi="Arial" w:cs="Arial"/>
          <w:kern w:val="2"/>
          <w14:ligatures w14:val="standardContextual"/>
        </w:rPr>
        <w:t xml:space="preserve"> των μεγεθών. Δεδομένου ότι αυτά τα κόστη ή οι καταβολές είναι σημαντικού μεγέθους και μη περιοδικά, είναι κοινή πρακτική του κλάδου να εξαιρούνται από τον υπολογισμό των ΕΔΜΑ και των προσαρμοσμένων δεικτών ώστε να διευκολυνθεί η σύγκριση μεταξύ των εταιρειών της αγοράς τηλεπικοινωνιών και να κατανοήσει ο επενδυτής καλύτερα τις επιδόσεις του Ομίλου. Οι εναλλακτικοί δείκτες (ΕΔΜΑ) θα πρέπει να λαμβάνονται υπόψη πάντα σε συνδυασμό με τα οικονομικά αποτελέσματα που έχουν συνταχθεί σύμφωνα με τα ΔΠΧΑ και σε καμία περίπτωση δεν αντικαθιστούν αυτά.</w:t>
      </w:r>
    </w:p>
    <w:bookmarkEnd w:id="5"/>
    <w:p w14:paraId="31B1C66F" w14:textId="77777777" w:rsidR="009E285A" w:rsidRDefault="009E285A" w:rsidP="000A16E4">
      <w:pPr>
        <w:pStyle w:val="ListParagraph"/>
        <w:numPr>
          <w:ilvl w:val="0"/>
          <w:numId w:val="4"/>
        </w:numPr>
        <w:tabs>
          <w:tab w:val="left" w:pos="0"/>
        </w:tabs>
        <w:ind w:left="0" w:firstLine="0"/>
        <w:jc w:val="both"/>
        <w:rPr>
          <w:rFonts w:ascii="Arial" w:hAnsi="Arial" w:cs="Arial"/>
          <w:sz w:val="22"/>
          <w:szCs w:val="22"/>
          <w:lang w:val="el-GR"/>
        </w:rPr>
      </w:pPr>
      <w:r w:rsidRPr="00640F65">
        <w:rPr>
          <w:rFonts w:ascii="Arial" w:hAnsi="Arial" w:cs="Arial"/>
          <w:b/>
          <w:color w:val="004B87"/>
          <w:sz w:val="22"/>
          <w:szCs w:val="22"/>
          <w:u w:val="single"/>
          <w:lang w:val="el-GR"/>
        </w:rPr>
        <w:t>Κόστη ή καταβολές σχετιζόμενα με προγράμματα εθελούσιας αποχώρησης:</w:t>
      </w:r>
      <w:r w:rsidRPr="00AC512E">
        <w:rPr>
          <w:rFonts w:ascii="Arial" w:hAnsi="Arial" w:cs="Arial"/>
          <w:b/>
          <w:color w:val="004B87"/>
          <w:sz w:val="22"/>
          <w:szCs w:val="22"/>
          <w:lang w:val="el-GR"/>
        </w:rPr>
        <w:t xml:space="preserve"> </w:t>
      </w:r>
      <w:bookmarkStart w:id="6" w:name="_Hlk121913048"/>
      <w:r w:rsidRPr="00640F65">
        <w:rPr>
          <w:rFonts w:ascii="Arial" w:hAnsi="Arial" w:cs="Arial"/>
          <w:sz w:val="22"/>
          <w:szCs w:val="22"/>
          <w:lang w:val="el-GR"/>
        </w:rPr>
        <w:t xml:space="preserve">Τα κόστη ή καταβολές σχετιζόμενα με προγράμματα εθελούσιας αποχώρησης εμπεριέχουν το κόστος των κινήτρων που δίνονται στους εργαζόμενους για να συμμετέχουν στο πρόγραμμα, καθώς και τις εισφορές στο ταμείο κοινωνικής ασφάλισης για την αποχώρηση / συνταξιοδότηση των εργαζομένων πριν από το προβλεπόμενο έτος ηλικίας για πλήρη σύνταξη. Τα κόστη αυτά συμπεριλαμβάνονται στην κατάσταση αποτελεσμάτων καθώς και στην κατάσταση ταμειακών ροών στις γραμμές «Κόστη σχετιζόμενα με προγράμματα εθελούσιας αποχώρησης» και «καταβολές προγραμμάτων εθελούσιας αποχώρησης», αντίστοιχα. </w:t>
      </w:r>
      <w:bookmarkEnd w:id="6"/>
    </w:p>
    <w:p w14:paraId="0C165650" w14:textId="77777777" w:rsidR="009E285A" w:rsidRDefault="009E285A" w:rsidP="00413DFC">
      <w:pPr>
        <w:pStyle w:val="ListParagraph"/>
        <w:tabs>
          <w:tab w:val="left" w:pos="0"/>
        </w:tabs>
        <w:ind w:left="-709"/>
        <w:jc w:val="both"/>
        <w:rPr>
          <w:rFonts w:ascii="Arial" w:hAnsi="Arial" w:cs="Arial"/>
          <w:sz w:val="22"/>
          <w:szCs w:val="22"/>
          <w:lang w:val="el-GR"/>
        </w:rPr>
      </w:pPr>
    </w:p>
    <w:p w14:paraId="4FF9E133" w14:textId="77777777" w:rsidR="009E285A" w:rsidRPr="00C1017D" w:rsidRDefault="009E285A" w:rsidP="000A16E4">
      <w:pPr>
        <w:pStyle w:val="ListParagraph"/>
        <w:numPr>
          <w:ilvl w:val="0"/>
          <w:numId w:val="4"/>
        </w:numPr>
        <w:tabs>
          <w:tab w:val="left" w:pos="0"/>
        </w:tabs>
        <w:ind w:left="0" w:firstLine="0"/>
        <w:jc w:val="both"/>
        <w:rPr>
          <w:rFonts w:ascii="Arial" w:hAnsi="Arial" w:cs="Arial"/>
          <w:sz w:val="22"/>
          <w:szCs w:val="22"/>
          <w:lang w:val="el-GR"/>
        </w:rPr>
      </w:pPr>
      <w:r w:rsidRPr="00CA10F3">
        <w:rPr>
          <w:rFonts w:ascii="Arial" w:hAnsi="Arial" w:cs="Arial"/>
          <w:b/>
          <w:color w:val="004B87"/>
          <w:sz w:val="22"/>
          <w:szCs w:val="22"/>
          <w:u w:val="single"/>
          <w:lang w:val="el-GR"/>
        </w:rPr>
        <w:t>Έξοδα</w:t>
      </w:r>
      <w:r w:rsidRPr="00D7226D">
        <w:rPr>
          <w:rFonts w:ascii="Arial" w:hAnsi="Arial" w:cs="Arial"/>
          <w:b/>
          <w:color w:val="004B87"/>
          <w:sz w:val="22"/>
          <w:szCs w:val="22"/>
          <w:u w:val="single"/>
          <w:lang w:val="el-GR"/>
        </w:rPr>
        <w:t xml:space="preserve"> </w:t>
      </w:r>
      <w:r w:rsidRPr="00CA10F3">
        <w:rPr>
          <w:rFonts w:ascii="Arial" w:hAnsi="Arial" w:cs="Arial"/>
          <w:b/>
          <w:color w:val="004B87"/>
          <w:sz w:val="22"/>
          <w:szCs w:val="22"/>
          <w:u w:val="single"/>
          <w:lang w:val="el-GR"/>
        </w:rPr>
        <w:t>ή</w:t>
      </w:r>
      <w:r w:rsidRPr="00D7226D">
        <w:rPr>
          <w:rFonts w:ascii="Arial" w:hAnsi="Arial" w:cs="Arial"/>
          <w:b/>
          <w:color w:val="004B87"/>
          <w:sz w:val="22"/>
          <w:szCs w:val="22"/>
          <w:u w:val="single"/>
          <w:lang w:val="el-GR"/>
        </w:rPr>
        <w:t xml:space="preserve"> </w:t>
      </w:r>
      <w:r w:rsidRPr="00CA10F3">
        <w:rPr>
          <w:rFonts w:ascii="Arial" w:hAnsi="Arial" w:cs="Arial"/>
          <w:b/>
          <w:color w:val="004B87"/>
          <w:sz w:val="22"/>
          <w:szCs w:val="22"/>
          <w:u w:val="single"/>
          <w:lang w:val="el-GR"/>
        </w:rPr>
        <w:t>καταβολές</w:t>
      </w:r>
      <w:r w:rsidRPr="00D7226D">
        <w:rPr>
          <w:rFonts w:ascii="Arial" w:hAnsi="Arial" w:cs="Arial"/>
          <w:b/>
          <w:color w:val="004B87"/>
          <w:sz w:val="22"/>
          <w:szCs w:val="22"/>
          <w:u w:val="single"/>
          <w:lang w:val="el-GR"/>
        </w:rPr>
        <w:t xml:space="preserve"> </w:t>
      </w:r>
      <w:r w:rsidRPr="00CA10F3">
        <w:rPr>
          <w:rFonts w:ascii="Arial" w:hAnsi="Arial" w:cs="Arial"/>
          <w:b/>
          <w:color w:val="004B87"/>
          <w:sz w:val="22"/>
          <w:szCs w:val="22"/>
          <w:u w:val="single"/>
          <w:lang w:val="el-GR"/>
        </w:rPr>
        <w:t>σχετιζόμενα</w:t>
      </w:r>
      <w:r w:rsidRPr="00D7226D">
        <w:rPr>
          <w:rFonts w:ascii="Arial" w:hAnsi="Arial" w:cs="Arial"/>
          <w:b/>
          <w:color w:val="004B87"/>
          <w:sz w:val="22"/>
          <w:szCs w:val="22"/>
          <w:u w:val="single"/>
          <w:lang w:val="el-GR"/>
        </w:rPr>
        <w:t xml:space="preserve"> </w:t>
      </w:r>
      <w:r w:rsidRPr="00CA10F3">
        <w:rPr>
          <w:rFonts w:ascii="Arial" w:hAnsi="Arial" w:cs="Arial"/>
          <w:b/>
          <w:color w:val="004B87"/>
          <w:sz w:val="22"/>
          <w:szCs w:val="22"/>
          <w:u w:val="single"/>
          <w:lang w:val="el-GR"/>
        </w:rPr>
        <w:t>με</w:t>
      </w:r>
      <w:r w:rsidRPr="00D7226D">
        <w:rPr>
          <w:rFonts w:ascii="Arial" w:hAnsi="Arial" w:cs="Arial"/>
          <w:b/>
          <w:color w:val="004B87"/>
          <w:sz w:val="22"/>
          <w:szCs w:val="22"/>
          <w:u w:val="single"/>
          <w:lang w:val="el-GR"/>
        </w:rPr>
        <w:t xml:space="preserve"> </w:t>
      </w:r>
      <w:r w:rsidRPr="00CA10F3">
        <w:rPr>
          <w:rFonts w:ascii="Arial" w:hAnsi="Arial" w:cs="Arial"/>
          <w:b/>
          <w:color w:val="004B87"/>
          <w:sz w:val="22"/>
          <w:szCs w:val="22"/>
          <w:u w:val="single"/>
          <w:lang w:val="el-GR"/>
        </w:rPr>
        <w:t>λοιπά</w:t>
      </w:r>
      <w:r w:rsidRPr="00D7226D">
        <w:rPr>
          <w:rFonts w:ascii="Arial" w:hAnsi="Arial" w:cs="Arial"/>
          <w:b/>
          <w:color w:val="004B87"/>
          <w:sz w:val="22"/>
          <w:szCs w:val="22"/>
          <w:u w:val="single"/>
          <w:lang w:val="el-GR"/>
        </w:rPr>
        <w:t xml:space="preserve"> </w:t>
      </w:r>
      <w:r w:rsidRPr="00CA10F3">
        <w:rPr>
          <w:rFonts w:ascii="Arial" w:hAnsi="Arial" w:cs="Arial"/>
          <w:b/>
          <w:color w:val="004B87"/>
          <w:sz w:val="22"/>
          <w:szCs w:val="22"/>
          <w:u w:val="single"/>
          <w:lang w:val="el-GR"/>
        </w:rPr>
        <w:t>προγράμματα</w:t>
      </w:r>
      <w:r w:rsidRPr="00D7226D">
        <w:rPr>
          <w:rFonts w:ascii="Arial" w:hAnsi="Arial" w:cs="Arial"/>
          <w:b/>
          <w:color w:val="004B87"/>
          <w:sz w:val="22"/>
          <w:szCs w:val="22"/>
          <w:u w:val="single"/>
          <w:lang w:val="el-GR"/>
        </w:rPr>
        <w:t xml:space="preserve"> </w:t>
      </w:r>
      <w:r w:rsidRPr="00CA10F3">
        <w:rPr>
          <w:rFonts w:ascii="Arial" w:hAnsi="Arial" w:cs="Arial"/>
          <w:b/>
          <w:color w:val="004B87"/>
          <w:sz w:val="22"/>
          <w:szCs w:val="22"/>
          <w:u w:val="single"/>
          <w:lang w:val="el-GR"/>
        </w:rPr>
        <w:t>αναδιοργάνωσης</w:t>
      </w:r>
      <w:r w:rsidRPr="001A161D">
        <w:rPr>
          <w:rFonts w:ascii="Arial" w:hAnsi="Arial" w:cs="Arial"/>
          <w:b/>
          <w:color w:val="002060"/>
          <w:sz w:val="22"/>
          <w:szCs w:val="22"/>
          <w:lang w:val="el-GR"/>
        </w:rPr>
        <w:t>:</w:t>
      </w:r>
      <w:r w:rsidRPr="00AC512E">
        <w:rPr>
          <w:rFonts w:ascii="Arial" w:hAnsi="Arial" w:cs="Arial"/>
          <w:b/>
          <w:sz w:val="22"/>
          <w:szCs w:val="22"/>
          <w:lang w:val="el-GR"/>
        </w:rPr>
        <w:t xml:space="preserve"> </w:t>
      </w:r>
      <w:r w:rsidRPr="00D7226D">
        <w:rPr>
          <w:rFonts w:ascii="Arial" w:hAnsi="Arial" w:cs="Arial"/>
          <w:sz w:val="22"/>
          <w:szCs w:val="22"/>
          <w:lang w:val="el-GR"/>
        </w:rPr>
        <w:t>Τα έξοδα αναδιοργάνωσης περιλαμβάνουν κόστη που δεν σχετίζονται με την κύρια δραστηριότητα του Ομίλου, τα οποία προκύπτουν από σημαντικές αλλαγές στον τρόπο λειτουργίας της επιχείρησης. Αφορούν κυρίως έξοδα αναδιάρθρωσης που σχετίζονται με την διαχείριση του χαρτοφυλακίου του Ομίλου.</w:t>
      </w:r>
    </w:p>
    <w:p w14:paraId="624003B8" w14:textId="77777777" w:rsidR="000750F4" w:rsidRPr="00253DEA" w:rsidRDefault="000750F4" w:rsidP="00537848">
      <w:pPr>
        <w:pStyle w:val="Default"/>
        <w:jc w:val="both"/>
        <w:rPr>
          <w:rFonts w:ascii="Arial" w:hAnsi="Arial" w:cs="Arial"/>
          <w:color w:val="auto"/>
          <w:sz w:val="22"/>
          <w:szCs w:val="22"/>
        </w:rPr>
      </w:pPr>
    </w:p>
    <w:p w14:paraId="242D18B0" w14:textId="544D3EBA" w:rsidR="002E3511" w:rsidRDefault="009E285A" w:rsidP="000A16E4">
      <w:pPr>
        <w:pStyle w:val="ListParagraph"/>
        <w:numPr>
          <w:ilvl w:val="0"/>
          <w:numId w:val="4"/>
        </w:numPr>
        <w:tabs>
          <w:tab w:val="left" w:pos="0"/>
        </w:tabs>
        <w:ind w:left="0" w:firstLine="0"/>
        <w:jc w:val="both"/>
        <w:rPr>
          <w:rFonts w:ascii="Arial" w:hAnsi="Arial" w:cs="Arial"/>
          <w:sz w:val="22"/>
          <w:szCs w:val="22"/>
          <w:lang w:val="el-GR"/>
        </w:rPr>
      </w:pPr>
      <w:r w:rsidRPr="00D7226D">
        <w:rPr>
          <w:rFonts w:ascii="Arial" w:hAnsi="Arial" w:cs="Arial"/>
          <w:b/>
          <w:color w:val="004B87"/>
          <w:sz w:val="22"/>
          <w:szCs w:val="22"/>
          <w:u w:val="single"/>
          <w:lang w:val="el-GR"/>
        </w:rPr>
        <w:t>Καταβολές για αγορά φάσματος:</w:t>
      </w:r>
      <w:r w:rsidRPr="00AC512E">
        <w:rPr>
          <w:rFonts w:ascii="Arial" w:hAnsi="Arial" w:cs="Arial"/>
          <w:b/>
          <w:color w:val="004B87"/>
          <w:sz w:val="22"/>
          <w:szCs w:val="22"/>
          <w:lang w:val="el-GR"/>
        </w:rPr>
        <w:t xml:space="preserve"> </w:t>
      </w:r>
      <w:r w:rsidRPr="00D7226D">
        <w:rPr>
          <w:rFonts w:ascii="Arial" w:hAnsi="Arial" w:cs="Arial"/>
          <w:sz w:val="22"/>
          <w:szCs w:val="22"/>
          <w:lang w:val="el-GR"/>
        </w:rPr>
        <w:t>Οι καταβολές για αγορά φάσματος περιλαμβάνουν τα ποσά που πληρώθηκαν για την απόκτηση αδειών μέσω διαγωνισμών που διεξάγει η Ρυθμιστική Αρχή για τη μετάδοση σημάτων μέσω συγκεκριμένων ζωνών του ηλεκτρομαγνητικού φάσματος.</w:t>
      </w:r>
    </w:p>
    <w:p w14:paraId="41156888" w14:textId="77777777" w:rsidR="00A60448" w:rsidRPr="003B452A" w:rsidRDefault="00A60448" w:rsidP="00A60448">
      <w:pPr>
        <w:rPr>
          <w:rFonts w:ascii="Arial" w:hAnsi="Arial" w:cs="Arial"/>
        </w:rPr>
      </w:pPr>
    </w:p>
    <w:p w14:paraId="5D6FB6A8" w14:textId="47A97C41" w:rsidR="00A60448" w:rsidRPr="00FA32A1" w:rsidRDefault="004058B9" w:rsidP="00FA32A1">
      <w:pPr>
        <w:rPr>
          <w:rFonts w:ascii="Arial" w:eastAsia="Calibri" w:hAnsi="Arial" w:cs="Arial"/>
          <w:b/>
          <w:u w:val="single"/>
        </w:rPr>
      </w:pPr>
      <w:r w:rsidRPr="00FA32A1">
        <w:rPr>
          <w:rFonts w:ascii="Arial" w:eastAsia="Calibri" w:hAnsi="Arial" w:cs="Arial"/>
          <w:b/>
          <w:u w:val="single"/>
        </w:rPr>
        <w:t>ΟΡΙΣΜΟΙ ΚΑΙ ΣΥΜΦΩΝΙΑ ΤΩΝ ΕΝΑΛΛΑΚΤΙΚΩΝ ΔΕΙΚΤΩΝ ΜΕΤΡΗΣΗΣ ΑΠΟΔΟΣΗΣ (‘’ΕΔΜΑ’’)</w:t>
      </w:r>
    </w:p>
    <w:p w14:paraId="7118F033" w14:textId="795EBA66" w:rsidR="009E285A" w:rsidRPr="002E3511" w:rsidRDefault="009E285A" w:rsidP="00A6742C">
      <w:pPr>
        <w:rPr>
          <w:rFonts w:ascii="Arial" w:hAnsi="Arial" w:cs="Arial"/>
        </w:rPr>
      </w:pPr>
    </w:p>
    <w:p w14:paraId="266D824E" w14:textId="66F4DF13" w:rsidR="009E285A" w:rsidRPr="004C7B8A" w:rsidRDefault="009E285A" w:rsidP="0022549B">
      <w:pPr>
        <w:spacing w:after="0" w:line="240" w:lineRule="auto"/>
        <w:jc w:val="both"/>
        <w:rPr>
          <w:rFonts w:ascii="Arial" w:eastAsia="Times New Roman" w:hAnsi="Arial" w:cs="Arial"/>
          <w:b/>
          <w:color w:val="004B87"/>
        </w:rPr>
      </w:pPr>
      <w:bookmarkStart w:id="7" w:name="_Hlk126245861"/>
      <w:r w:rsidRPr="004C7B8A">
        <w:rPr>
          <w:rFonts w:ascii="Arial" w:eastAsia="Times New Roman" w:hAnsi="Arial" w:cs="Arial"/>
          <w:b/>
          <w:color w:val="004B87"/>
        </w:rPr>
        <w:t xml:space="preserve">Καθαρός Δανεισμός </w:t>
      </w:r>
    </w:p>
    <w:p w14:paraId="09886029" w14:textId="403A7ACD" w:rsidR="008E3861" w:rsidRDefault="009E285A" w:rsidP="00E22376">
      <w:pPr>
        <w:spacing w:line="280" w:lineRule="exact"/>
        <w:jc w:val="both"/>
        <w:rPr>
          <w:rFonts w:ascii="Arial" w:eastAsia="Times New Roman" w:hAnsi="Arial" w:cs="Arial"/>
        </w:rPr>
      </w:pPr>
      <w:r w:rsidRPr="0022549B">
        <w:rPr>
          <w:rFonts w:ascii="Arial" w:eastAsia="Times New Roman" w:hAnsi="Arial" w:cs="Arial"/>
          <w:lang w:val="en-US"/>
        </w:rPr>
        <w:t>O</w:t>
      </w:r>
      <w:r w:rsidRPr="001D7A36">
        <w:rPr>
          <w:rFonts w:ascii="Arial" w:eastAsia="Times New Roman" w:hAnsi="Arial" w:cs="Arial"/>
        </w:rPr>
        <w:t xml:space="preserve"> Καθαρός Δανεισμός χρησιμοποιείται για να αξιολογηθεί η κεφαλαιακή διάρθρωση του Ομίλου και η δυνατότητα </w:t>
      </w:r>
      <w:proofErr w:type="spellStart"/>
      <w:r w:rsidRPr="001D7A36">
        <w:rPr>
          <w:rFonts w:ascii="Arial" w:eastAsia="Times New Roman" w:hAnsi="Arial" w:cs="Arial"/>
        </w:rPr>
        <w:t>μόχλευσης</w:t>
      </w:r>
      <w:proofErr w:type="spellEnd"/>
      <w:r w:rsidRPr="001D7A36">
        <w:rPr>
          <w:rFonts w:ascii="Arial" w:eastAsia="Times New Roman" w:hAnsi="Arial" w:cs="Arial"/>
        </w:rPr>
        <w:t>. Ο καθαρός δανεισμός υπολογίζεται προσθέτοντας στα μακροπρόθεσμα δάνεια, το βραχυπρόθεσμο</w:t>
      </w:r>
      <w:r w:rsidR="001473A8" w:rsidRPr="001473A8">
        <w:rPr>
          <w:rFonts w:ascii="Arial" w:eastAsia="Times New Roman" w:hAnsi="Arial" w:cs="Arial"/>
        </w:rPr>
        <w:t xml:space="preserve"> </w:t>
      </w:r>
      <w:r w:rsidRPr="001D7A36">
        <w:rPr>
          <w:rFonts w:ascii="Arial" w:eastAsia="Times New Roman" w:hAnsi="Arial" w:cs="Arial"/>
        </w:rPr>
        <w:t>μέρος μακροπρόθεσμων δανείων,</w:t>
      </w:r>
      <w:r w:rsidR="001473A8" w:rsidRPr="001473A8">
        <w:rPr>
          <w:rFonts w:ascii="Arial" w:eastAsia="Times New Roman" w:hAnsi="Arial" w:cs="Arial"/>
        </w:rPr>
        <w:t xml:space="preserve"> </w:t>
      </w:r>
      <w:r w:rsidRPr="001D7A36">
        <w:rPr>
          <w:rFonts w:ascii="Arial" w:eastAsia="Times New Roman" w:hAnsi="Arial" w:cs="Arial"/>
        </w:rPr>
        <w:t>τα βραχυπρόθεσμα δάνεια, τις λοιπές χρηματοοικονομικές υποχρεώσεις και αφαιρώντας από το σύνολο τα ταμειακά διαθέσιμα και ισοδύναμα. Μετά την εφαρμογή του ΔΠΧΑ 16 οι χρηματοοικονομικές υποχρεώσεις που σχετίζονται με μισθώσεις περιλαμβάνονται στον υπολογισμό του Καθαρού Δανεισμού.</w:t>
      </w:r>
      <w:bookmarkEnd w:id="7"/>
    </w:p>
    <w:p w14:paraId="1E85EDE8" w14:textId="77777777" w:rsidR="008E3861" w:rsidRDefault="008E3861">
      <w:pPr>
        <w:rPr>
          <w:rFonts w:ascii="Arial" w:eastAsia="Times New Roman" w:hAnsi="Arial" w:cs="Arial"/>
        </w:rPr>
      </w:pPr>
      <w:r>
        <w:rPr>
          <w:rFonts w:ascii="Arial" w:eastAsia="Times New Roman" w:hAnsi="Arial" w:cs="Arial"/>
        </w:rPr>
        <w:br w:type="page"/>
      </w:r>
    </w:p>
    <w:p w14:paraId="40A976AC" w14:textId="39996061" w:rsidR="007D3E42" w:rsidRPr="00FB20CB" w:rsidRDefault="00DB55F6" w:rsidP="00BC2A75">
      <w:pPr>
        <w:pStyle w:val="Caption"/>
        <w:keepNext/>
        <w:rPr>
          <w:rFonts w:cs="Arial"/>
          <w:lang w:val="el-GR"/>
        </w:rPr>
      </w:pPr>
      <w:r w:rsidRPr="00FB20CB">
        <w:rPr>
          <w:rFonts w:cs="Arial"/>
          <w:lang w:val="el-GR"/>
        </w:rPr>
        <w:lastRenderedPageBreak/>
        <w:t>Καθαρός Δανεισμός</w:t>
      </w:r>
    </w:p>
    <w:tbl>
      <w:tblPr>
        <w:tblStyle w:val="TableGrid"/>
        <w:tblW w:w="10558" w:type="dxa"/>
        <w:tblBorders>
          <w:top w:val="single" w:sz="2" w:space="0" w:color="808080" w:themeColor="background1" w:themeShade="80"/>
          <w:left w:val="none" w:sz="0" w:space="0" w:color="auto"/>
          <w:bottom w:val="single" w:sz="2" w:space="0" w:color="808080" w:themeColor="background1" w:themeShade="80"/>
          <w:right w:val="none" w:sz="0" w:space="0" w:color="auto"/>
          <w:insideH w:val="none" w:sz="0" w:space="0" w:color="auto"/>
          <w:insideV w:val="none" w:sz="0" w:space="0" w:color="auto"/>
        </w:tblBorders>
        <w:tblLook w:val="04A0" w:firstRow="1" w:lastRow="0" w:firstColumn="1" w:lastColumn="0" w:noHBand="0" w:noVBand="1"/>
      </w:tblPr>
      <w:tblGrid>
        <w:gridCol w:w="6736"/>
        <w:gridCol w:w="1911"/>
        <w:gridCol w:w="1911"/>
      </w:tblGrid>
      <w:tr w:rsidR="00A3106A" w:rsidRPr="00452CE7" w14:paraId="177FEC44" w14:textId="77777777" w:rsidTr="00E93819">
        <w:trPr>
          <w:trHeight w:val="341"/>
        </w:trPr>
        <w:tc>
          <w:tcPr>
            <w:tcW w:w="6736" w:type="dxa"/>
            <w:tcBorders>
              <w:top w:val="single" w:sz="2" w:space="0" w:color="808080" w:themeColor="background1" w:themeShade="80"/>
              <w:bottom w:val="single" w:sz="2" w:space="0" w:color="808080" w:themeColor="background1" w:themeShade="80"/>
            </w:tcBorders>
            <w:vAlign w:val="center"/>
          </w:tcPr>
          <w:p w14:paraId="22658231" w14:textId="5BC78F23" w:rsidR="00A3106A" w:rsidRPr="007E2F7E" w:rsidRDefault="00A3106A" w:rsidP="00A3106A">
            <w:pPr>
              <w:pStyle w:val="ColorfulList-Accent11"/>
              <w:tabs>
                <w:tab w:val="left" w:pos="0"/>
                <w:tab w:val="left" w:pos="284"/>
              </w:tabs>
              <w:ind w:left="0" w:right="-90"/>
              <w:rPr>
                <w:rFonts w:ascii="Arial" w:hAnsi="Arial" w:cs="Arial"/>
                <w:b/>
                <w:color w:val="000000" w:themeColor="text1"/>
                <w:sz w:val="18"/>
                <w:szCs w:val="18"/>
              </w:rPr>
            </w:pPr>
            <w:proofErr w:type="spellStart"/>
            <w:r w:rsidRPr="00A7639D">
              <w:rPr>
                <w:rFonts w:ascii="Arial" w:hAnsi="Arial" w:cs="Arial"/>
                <w:b/>
                <w:sz w:val="18"/>
                <w:szCs w:val="18"/>
              </w:rPr>
              <w:t>Όμιλος</w:t>
            </w:r>
            <w:proofErr w:type="spellEnd"/>
            <w:r w:rsidRPr="00A7639D">
              <w:rPr>
                <w:rFonts w:ascii="Arial" w:hAnsi="Arial" w:cs="Arial"/>
                <w:b/>
                <w:sz w:val="18"/>
                <w:szCs w:val="18"/>
              </w:rPr>
              <w:t xml:space="preserve"> - (</w:t>
            </w:r>
            <w:proofErr w:type="spellStart"/>
            <w:r w:rsidRPr="00A7639D">
              <w:rPr>
                <w:rFonts w:ascii="Arial" w:hAnsi="Arial" w:cs="Arial"/>
                <w:b/>
                <w:sz w:val="18"/>
                <w:szCs w:val="18"/>
              </w:rPr>
              <w:t>Ευρώ</w:t>
            </w:r>
            <w:proofErr w:type="spellEnd"/>
            <w:r w:rsidRPr="00A7639D">
              <w:rPr>
                <w:rFonts w:ascii="Arial" w:hAnsi="Arial" w:cs="Arial"/>
                <w:b/>
                <w:sz w:val="18"/>
                <w:szCs w:val="18"/>
              </w:rPr>
              <w:t xml:space="preserve"> </w:t>
            </w:r>
            <w:proofErr w:type="spellStart"/>
            <w:r w:rsidRPr="00A7639D">
              <w:rPr>
                <w:rFonts w:ascii="Arial" w:hAnsi="Arial" w:cs="Arial"/>
                <w:b/>
                <w:sz w:val="18"/>
                <w:szCs w:val="18"/>
              </w:rPr>
              <w:t>εκ</w:t>
            </w:r>
            <w:proofErr w:type="spellEnd"/>
            <w:r w:rsidRPr="00A7639D">
              <w:rPr>
                <w:rFonts w:ascii="Arial" w:hAnsi="Arial" w:cs="Arial"/>
                <w:b/>
                <w:sz w:val="18"/>
                <w:szCs w:val="18"/>
              </w:rPr>
              <w:t>ατ.)</w:t>
            </w:r>
          </w:p>
        </w:tc>
        <w:tc>
          <w:tcPr>
            <w:tcW w:w="1911" w:type="dxa"/>
            <w:tcBorders>
              <w:top w:val="single" w:sz="2" w:space="0" w:color="808080" w:themeColor="background1" w:themeShade="80"/>
              <w:bottom w:val="single" w:sz="2" w:space="0" w:color="808080" w:themeColor="background1" w:themeShade="80"/>
            </w:tcBorders>
            <w:vAlign w:val="center"/>
          </w:tcPr>
          <w:p w14:paraId="40D15B3E" w14:textId="3168D1B1" w:rsidR="00A3106A" w:rsidRPr="00253DEA" w:rsidRDefault="00FD70C5" w:rsidP="00A3106A">
            <w:pPr>
              <w:pStyle w:val="ColorfulList-Accent11"/>
              <w:tabs>
                <w:tab w:val="left" w:pos="0"/>
                <w:tab w:val="left" w:pos="284"/>
              </w:tabs>
              <w:ind w:left="0" w:right="-90"/>
              <w:jc w:val="center"/>
              <w:rPr>
                <w:rFonts w:ascii="Arial" w:hAnsi="Arial" w:cs="Arial"/>
                <w:i/>
                <w:color w:val="000000" w:themeColor="text1"/>
                <w:sz w:val="18"/>
                <w:szCs w:val="18"/>
                <w:lang w:val="el-GR"/>
              </w:rPr>
            </w:pPr>
            <w:r>
              <w:rPr>
                <w:rFonts w:ascii="Arial" w:hAnsi="Arial" w:cs="Arial"/>
                <w:b/>
                <w:color w:val="000000" w:themeColor="text1"/>
                <w:sz w:val="18"/>
                <w:szCs w:val="18"/>
                <w:lang w:val="el-GR"/>
              </w:rPr>
              <w:t>30/0</w:t>
            </w:r>
            <w:r w:rsidR="008E3861">
              <w:rPr>
                <w:rFonts w:ascii="Arial" w:hAnsi="Arial" w:cs="Arial"/>
                <w:b/>
                <w:color w:val="000000" w:themeColor="text1"/>
                <w:sz w:val="18"/>
                <w:szCs w:val="18"/>
                <w:lang w:val="el-GR"/>
              </w:rPr>
              <w:t>9</w:t>
            </w:r>
            <w:r w:rsidR="00A3106A" w:rsidRPr="00253DEA">
              <w:rPr>
                <w:rFonts w:ascii="Arial" w:hAnsi="Arial" w:cs="Arial"/>
                <w:b/>
                <w:color w:val="000000" w:themeColor="text1"/>
                <w:sz w:val="18"/>
                <w:szCs w:val="18"/>
                <w:lang w:val="el-GR"/>
              </w:rPr>
              <w:t>/2025</w:t>
            </w:r>
          </w:p>
        </w:tc>
        <w:tc>
          <w:tcPr>
            <w:tcW w:w="1911" w:type="dxa"/>
            <w:tcBorders>
              <w:top w:val="single" w:sz="2" w:space="0" w:color="808080" w:themeColor="background1" w:themeShade="80"/>
              <w:bottom w:val="single" w:sz="2" w:space="0" w:color="808080" w:themeColor="background1" w:themeShade="80"/>
            </w:tcBorders>
            <w:vAlign w:val="center"/>
          </w:tcPr>
          <w:p w14:paraId="3AA643B3" w14:textId="6CEB933D" w:rsidR="00A3106A" w:rsidRPr="00253DEA" w:rsidRDefault="00FD70C5" w:rsidP="00A3106A">
            <w:pPr>
              <w:pStyle w:val="ColorfulList-Accent11"/>
              <w:tabs>
                <w:tab w:val="left" w:pos="0"/>
                <w:tab w:val="left" w:pos="284"/>
              </w:tabs>
              <w:ind w:left="0" w:right="-90"/>
              <w:jc w:val="center"/>
              <w:rPr>
                <w:rFonts w:ascii="Arial" w:hAnsi="Arial" w:cs="Arial"/>
                <w:i/>
                <w:color w:val="000000" w:themeColor="text1"/>
                <w:sz w:val="18"/>
                <w:szCs w:val="18"/>
                <w:lang w:val="el-GR"/>
              </w:rPr>
            </w:pPr>
            <w:r>
              <w:rPr>
                <w:rFonts w:ascii="Arial" w:hAnsi="Arial" w:cs="Arial"/>
                <w:b/>
                <w:color w:val="000000" w:themeColor="text1"/>
                <w:sz w:val="18"/>
                <w:szCs w:val="18"/>
                <w:lang w:val="el-GR"/>
              </w:rPr>
              <w:t>30/0</w:t>
            </w:r>
            <w:r w:rsidR="008E3861">
              <w:rPr>
                <w:rFonts w:ascii="Arial" w:hAnsi="Arial" w:cs="Arial"/>
                <w:b/>
                <w:color w:val="000000" w:themeColor="text1"/>
                <w:sz w:val="18"/>
                <w:szCs w:val="18"/>
                <w:lang w:val="el-GR"/>
              </w:rPr>
              <w:t>9</w:t>
            </w:r>
            <w:r w:rsidR="00A3106A" w:rsidRPr="00253DEA">
              <w:rPr>
                <w:rFonts w:ascii="Arial" w:hAnsi="Arial" w:cs="Arial"/>
                <w:b/>
                <w:color w:val="000000" w:themeColor="text1"/>
                <w:sz w:val="18"/>
                <w:szCs w:val="18"/>
              </w:rPr>
              <w:t>/202</w:t>
            </w:r>
            <w:r w:rsidR="00A3106A" w:rsidRPr="00253DEA">
              <w:rPr>
                <w:rFonts w:ascii="Arial" w:hAnsi="Arial" w:cs="Arial"/>
                <w:b/>
                <w:color w:val="000000" w:themeColor="text1"/>
                <w:sz w:val="18"/>
                <w:szCs w:val="18"/>
                <w:lang w:val="el-GR"/>
              </w:rPr>
              <w:t>4</w:t>
            </w:r>
          </w:p>
        </w:tc>
      </w:tr>
      <w:tr w:rsidR="00351C04" w:rsidRPr="00452CE7" w14:paraId="643CC7B4" w14:textId="77777777" w:rsidTr="00E93819">
        <w:trPr>
          <w:trHeight w:val="284"/>
        </w:trPr>
        <w:tc>
          <w:tcPr>
            <w:tcW w:w="6736" w:type="dxa"/>
            <w:tcBorders>
              <w:top w:val="single" w:sz="2" w:space="0" w:color="808080" w:themeColor="background1" w:themeShade="80"/>
            </w:tcBorders>
            <w:shd w:val="clear" w:color="auto" w:fill="FFFFFF" w:themeFill="background1"/>
            <w:vAlign w:val="center"/>
          </w:tcPr>
          <w:p w14:paraId="605985F3" w14:textId="11CB2AA7" w:rsidR="00351C04" w:rsidRPr="007E2F7E" w:rsidRDefault="00351C04" w:rsidP="00351C04">
            <w:pPr>
              <w:pStyle w:val="ColorfulList-Accent11"/>
              <w:tabs>
                <w:tab w:val="left" w:pos="0"/>
                <w:tab w:val="left" w:pos="284"/>
              </w:tabs>
              <w:ind w:left="0" w:right="-90"/>
              <w:rPr>
                <w:rFonts w:ascii="Arial" w:hAnsi="Arial" w:cs="Arial"/>
                <w:color w:val="000000" w:themeColor="text1"/>
                <w:sz w:val="18"/>
                <w:szCs w:val="18"/>
              </w:rPr>
            </w:pPr>
            <w:r w:rsidRPr="00A7639D">
              <w:rPr>
                <w:rFonts w:ascii="Arial" w:hAnsi="Arial" w:cs="Arial"/>
                <w:sz w:val="18"/>
                <w:szCs w:val="18"/>
              </w:rPr>
              <w:t>Μα</w:t>
            </w:r>
            <w:proofErr w:type="spellStart"/>
            <w:r w:rsidRPr="00A7639D">
              <w:rPr>
                <w:rFonts w:ascii="Arial" w:hAnsi="Arial" w:cs="Arial"/>
                <w:sz w:val="18"/>
                <w:szCs w:val="18"/>
              </w:rPr>
              <w:t>κρο</w:t>
            </w:r>
            <w:proofErr w:type="spellEnd"/>
            <w:r w:rsidRPr="00A7639D">
              <w:rPr>
                <w:rFonts w:ascii="Arial" w:hAnsi="Arial" w:cs="Arial"/>
                <w:sz w:val="18"/>
                <w:szCs w:val="18"/>
              </w:rPr>
              <w:t xml:space="preserve">πρόθεσμα </w:t>
            </w:r>
            <w:proofErr w:type="spellStart"/>
            <w:r w:rsidRPr="00A7639D">
              <w:rPr>
                <w:rFonts w:ascii="Arial" w:hAnsi="Arial" w:cs="Arial"/>
                <w:sz w:val="18"/>
                <w:szCs w:val="18"/>
              </w:rPr>
              <w:t>δάνει</w:t>
            </w:r>
            <w:proofErr w:type="spellEnd"/>
            <w:r w:rsidRPr="00A7639D">
              <w:rPr>
                <w:rFonts w:ascii="Arial" w:hAnsi="Arial" w:cs="Arial"/>
                <w:sz w:val="18"/>
                <w:szCs w:val="18"/>
              </w:rPr>
              <w:t>α</w:t>
            </w:r>
          </w:p>
        </w:tc>
        <w:tc>
          <w:tcPr>
            <w:tcW w:w="1911" w:type="dxa"/>
            <w:tcBorders>
              <w:top w:val="single" w:sz="2" w:space="0" w:color="808080" w:themeColor="background1" w:themeShade="80"/>
            </w:tcBorders>
            <w:shd w:val="clear" w:color="auto" w:fill="FFFFFF" w:themeFill="background1"/>
            <w:vAlign w:val="center"/>
          </w:tcPr>
          <w:p w14:paraId="5430309E" w14:textId="14036AF4" w:rsidR="00351C04" w:rsidRPr="00372611" w:rsidRDefault="00351C04" w:rsidP="00351C04">
            <w:pPr>
              <w:pStyle w:val="ColorfulList-Accent11"/>
              <w:tabs>
                <w:tab w:val="left" w:pos="0"/>
                <w:tab w:val="left" w:pos="284"/>
              </w:tabs>
              <w:ind w:left="0" w:right="-90"/>
              <w:jc w:val="center"/>
              <w:rPr>
                <w:rFonts w:ascii="Arial" w:hAnsi="Arial" w:cs="Arial"/>
                <w:i/>
                <w:color w:val="FF0000"/>
                <w:sz w:val="18"/>
                <w:szCs w:val="18"/>
              </w:rPr>
            </w:pPr>
            <w:r w:rsidRPr="00180F2A">
              <w:rPr>
                <w:rFonts w:ascii="Arial" w:hAnsi="Arial" w:cs="Arial"/>
                <w:sz w:val="18"/>
                <w:szCs w:val="18"/>
              </w:rPr>
              <w:t>350</w:t>
            </w:r>
            <w:r w:rsidR="00A86E60">
              <w:rPr>
                <w:rFonts w:ascii="Arial" w:hAnsi="Arial" w:cs="Arial"/>
                <w:sz w:val="18"/>
                <w:szCs w:val="18"/>
              </w:rPr>
              <w:t>,</w:t>
            </w:r>
            <w:r w:rsidRPr="00180F2A">
              <w:rPr>
                <w:rFonts w:ascii="Arial" w:hAnsi="Arial" w:cs="Arial"/>
                <w:sz w:val="18"/>
                <w:szCs w:val="18"/>
              </w:rPr>
              <w:t xml:space="preserve">0 </w:t>
            </w:r>
          </w:p>
        </w:tc>
        <w:tc>
          <w:tcPr>
            <w:tcW w:w="1911" w:type="dxa"/>
            <w:tcBorders>
              <w:top w:val="single" w:sz="2" w:space="0" w:color="808080" w:themeColor="background1" w:themeShade="80"/>
            </w:tcBorders>
            <w:shd w:val="clear" w:color="auto" w:fill="FFFFFF" w:themeFill="background1"/>
            <w:vAlign w:val="center"/>
          </w:tcPr>
          <w:p w14:paraId="57C60F10" w14:textId="1E5B3A6F" w:rsidR="00351C04" w:rsidRPr="00372611" w:rsidRDefault="00351C04" w:rsidP="00351C04">
            <w:pPr>
              <w:pStyle w:val="ColorfulList-Accent11"/>
              <w:tabs>
                <w:tab w:val="left" w:pos="0"/>
                <w:tab w:val="left" w:pos="284"/>
              </w:tabs>
              <w:ind w:left="0" w:right="-90"/>
              <w:jc w:val="center"/>
              <w:rPr>
                <w:rFonts w:ascii="Arial" w:hAnsi="Arial" w:cs="Arial"/>
                <w:i/>
                <w:color w:val="FF0000"/>
                <w:sz w:val="18"/>
                <w:szCs w:val="18"/>
              </w:rPr>
            </w:pPr>
            <w:r w:rsidRPr="00316528">
              <w:rPr>
                <w:rFonts w:ascii="Arial" w:hAnsi="Arial" w:cs="Arial"/>
                <w:sz w:val="18"/>
                <w:szCs w:val="18"/>
              </w:rPr>
              <w:t>848</w:t>
            </w:r>
            <w:r w:rsidR="00A86E60">
              <w:rPr>
                <w:rFonts w:ascii="Arial" w:hAnsi="Arial" w:cs="Arial"/>
                <w:sz w:val="18"/>
                <w:szCs w:val="18"/>
              </w:rPr>
              <w:t>,</w:t>
            </w:r>
            <w:r w:rsidRPr="00316528">
              <w:rPr>
                <w:rFonts w:ascii="Arial" w:hAnsi="Arial" w:cs="Arial"/>
                <w:sz w:val="18"/>
                <w:szCs w:val="18"/>
              </w:rPr>
              <w:t xml:space="preserve">3 </w:t>
            </w:r>
          </w:p>
        </w:tc>
      </w:tr>
      <w:tr w:rsidR="00351C04" w:rsidRPr="00452CE7" w14:paraId="78AFC0CC" w14:textId="77777777" w:rsidTr="00E93819">
        <w:trPr>
          <w:trHeight w:val="284"/>
        </w:trPr>
        <w:tc>
          <w:tcPr>
            <w:tcW w:w="6736" w:type="dxa"/>
            <w:shd w:val="clear" w:color="auto" w:fill="FFFFFF" w:themeFill="background1"/>
            <w:vAlign w:val="center"/>
          </w:tcPr>
          <w:p w14:paraId="2AFD3402" w14:textId="3A300297" w:rsidR="00351C04" w:rsidRPr="007E2F7E" w:rsidRDefault="00351C04" w:rsidP="00351C04">
            <w:pPr>
              <w:pStyle w:val="ColorfulList-Accent11"/>
              <w:tabs>
                <w:tab w:val="left" w:pos="0"/>
                <w:tab w:val="left" w:pos="284"/>
              </w:tabs>
              <w:ind w:left="0" w:right="-90"/>
              <w:rPr>
                <w:rFonts w:ascii="Arial" w:hAnsi="Arial" w:cs="Arial"/>
                <w:color w:val="000000" w:themeColor="text1"/>
                <w:sz w:val="18"/>
                <w:szCs w:val="18"/>
              </w:rPr>
            </w:pPr>
            <w:proofErr w:type="spellStart"/>
            <w:r w:rsidRPr="00A7639D">
              <w:rPr>
                <w:rFonts w:ascii="Arial" w:hAnsi="Arial" w:cs="Arial"/>
                <w:sz w:val="18"/>
                <w:szCs w:val="18"/>
              </w:rPr>
              <w:t>Βρ</w:t>
            </w:r>
            <w:proofErr w:type="spellEnd"/>
            <w:r w:rsidRPr="00A7639D">
              <w:rPr>
                <w:rFonts w:ascii="Arial" w:hAnsi="Arial" w:cs="Arial"/>
                <w:sz w:val="18"/>
                <w:szCs w:val="18"/>
              </w:rPr>
              <w:t xml:space="preserve">αχυπρόθεσμο </w:t>
            </w:r>
            <w:proofErr w:type="spellStart"/>
            <w:r w:rsidRPr="00A7639D">
              <w:rPr>
                <w:rFonts w:ascii="Arial" w:hAnsi="Arial" w:cs="Arial"/>
                <w:sz w:val="18"/>
                <w:szCs w:val="18"/>
              </w:rPr>
              <w:t>μέρος</w:t>
            </w:r>
            <w:proofErr w:type="spellEnd"/>
            <w:r w:rsidRPr="00A7639D">
              <w:rPr>
                <w:rFonts w:ascii="Arial" w:hAnsi="Arial" w:cs="Arial"/>
                <w:sz w:val="18"/>
                <w:szCs w:val="18"/>
              </w:rPr>
              <w:t xml:space="preserve"> μα</w:t>
            </w:r>
            <w:proofErr w:type="spellStart"/>
            <w:r w:rsidRPr="00A7639D">
              <w:rPr>
                <w:rFonts w:ascii="Arial" w:hAnsi="Arial" w:cs="Arial"/>
                <w:sz w:val="18"/>
                <w:szCs w:val="18"/>
              </w:rPr>
              <w:t>κρο</w:t>
            </w:r>
            <w:proofErr w:type="spellEnd"/>
            <w:r w:rsidRPr="00A7639D">
              <w:rPr>
                <w:rFonts w:ascii="Arial" w:hAnsi="Arial" w:cs="Arial"/>
                <w:sz w:val="18"/>
                <w:szCs w:val="18"/>
              </w:rPr>
              <w:t>πρόθεσμων δα</w:t>
            </w:r>
            <w:proofErr w:type="spellStart"/>
            <w:r w:rsidRPr="00A7639D">
              <w:rPr>
                <w:rFonts w:ascii="Arial" w:hAnsi="Arial" w:cs="Arial"/>
                <w:sz w:val="18"/>
                <w:szCs w:val="18"/>
              </w:rPr>
              <w:t>νείων</w:t>
            </w:r>
            <w:proofErr w:type="spellEnd"/>
          </w:p>
        </w:tc>
        <w:tc>
          <w:tcPr>
            <w:tcW w:w="1911" w:type="dxa"/>
            <w:shd w:val="clear" w:color="auto" w:fill="FFFFFF" w:themeFill="background1"/>
            <w:vAlign w:val="center"/>
          </w:tcPr>
          <w:p w14:paraId="72455845" w14:textId="480E90AD" w:rsidR="00351C04" w:rsidRPr="00372611" w:rsidRDefault="00351C04" w:rsidP="00351C04">
            <w:pPr>
              <w:pStyle w:val="ColorfulList-Accent11"/>
              <w:tabs>
                <w:tab w:val="left" w:pos="0"/>
                <w:tab w:val="left" w:pos="284"/>
              </w:tabs>
              <w:ind w:left="0" w:right="-90"/>
              <w:jc w:val="center"/>
              <w:rPr>
                <w:rFonts w:ascii="Arial" w:hAnsi="Arial" w:cs="Arial"/>
                <w:i/>
                <w:color w:val="FF0000"/>
                <w:sz w:val="18"/>
                <w:szCs w:val="18"/>
              </w:rPr>
            </w:pPr>
            <w:r w:rsidRPr="00180F2A">
              <w:rPr>
                <w:rFonts w:ascii="Arial" w:hAnsi="Arial" w:cs="Arial"/>
                <w:sz w:val="18"/>
                <w:szCs w:val="18"/>
              </w:rPr>
              <w:t>499</w:t>
            </w:r>
            <w:r w:rsidR="00A86E60">
              <w:rPr>
                <w:rFonts w:ascii="Arial" w:hAnsi="Arial" w:cs="Arial"/>
                <w:sz w:val="18"/>
                <w:szCs w:val="18"/>
              </w:rPr>
              <w:t>,</w:t>
            </w:r>
            <w:r w:rsidRPr="00180F2A">
              <w:rPr>
                <w:rFonts w:ascii="Arial" w:hAnsi="Arial" w:cs="Arial"/>
                <w:sz w:val="18"/>
                <w:szCs w:val="18"/>
              </w:rPr>
              <w:t xml:space="preserve">2 </w:t>
            </w:r>
          </w:p>
        </w:tc>
        <w:tc>
          <w:tcPr>
            <w:tcW w:w="1911" w:type="dxa"/>
            <w:shd w:val="clear" w:color="auto" w:fill="FFFFFF" w:themeFill="background1"/>
            <w:vAlign w:val="center"/>
          </w:tcPr>
          <w:p w14:paraId="695839D6" w14:textId="579008D1" w:rsidR="00351C04" w:rsidRPr="00372611" w:rsidRDefault="00100310" w:rsidP="00351C04">
            <w:pPr>
              <w:pStyle w:val="ColorfulList-Accent11"/>
              <w:tabs>
                <w:tab w:val="left" w:pos="0"/>
                <w:tab w:val="left" w:pos="284"/>
              </w:tabs>
              <w:ind w:left="0" w:right="-90"/>
              <w:jc w:val="center"/>
              <w:rPr>
                <w:rFonts w:ascii="Arial" w:hAnsi="Arial" w:cs="Arial"/>
                <w:i/>
                <w:color w:val="FF0000"/>
                <w:sz w:val="18"/>
                <w:szCs w:val="18"/>
              </w:rPr>
            </w:pPr>
            <w:r>
              <w:rPr>
                <w:rFonts w:ascii="Arial" w:hAnsi="Arial" w:cs="Arial"/>
                <w:sz w:val="18"/>
                <w:szCs w:val="18"/>
              </w:rPr>
              <w:t>-</w:t>
            </w:r>
            <w:r w:rsidR="00351C04" w:rsidRPr="00316528">
              <w:rPr>
                <w:rFonts w:ascii="Arial" w:hAnsi="Arial" w:cs="Arial"/>
                <w:sz w:val="18"/>
                <w:szCs w:val="18"/>
              </w:rPr>
              <w:t xml:space="preserve"> </w:t>
            </w:r>
          </w:p>
        </w:tc>
      </w:tr>
      <w:tr w:rsidR="00351C04" w:rsidRPr="00452CE7" w14:paraId="489C1C03" w14:textId="77777777" w:rsidTr="00E93819">
        <w:trPr>
          <w:trHeight w:val="284"/>
        </w:trPr>
        <w:tc>
          <w:tcPr>
            <w:tcW w:w="6736" w:type="dxa"/>
            <w:shd w:val="clear" w:color="auto" w:fill="FFFFFF" w:themeFill="background1"/>
            <w:vAlign w:val="center"/>
          </w:tcPr>
          <w:p w14:paraId="14D3572E" w14:textId="5EE01DFD" w:rsidR="00351C04" w:rsidRPr="007E2F7E" w:rsidRDefault="00351C04" w:rsidP="00351C04">
            <w:pPr>
              <w:pStyle w:val="ColorfulList-Accent11"/>
              <w:tabs>
                <w:tab w:val="left" w:pos="0"/>
                <w:tab w:val="left" w:pos="284"/>
              </w:tabs>
              <w:ind w:left="0" w:right="-90"/>
              <w:rPr>
                <w:rFonts w:ascii="Arial" w:hAnsi="Arial" w:cs="Arial"/>
                <w:color w:val="000000" w:themeColor="text1"/>
                <w:sz w:val="18"/>
                <w:szCs w:val="18"/>
              </w:rPr>
            </w:pPr>
            <w:proofErr w:type="spellStart"/>
            <w:r w:rsidRPr="00A7639D">
              <w:rPr>
                <w:rFonts w:ascii="Arial" w:hAnsi="Arial" w:cs="Arial"/>
                <w:sz w:val="18"/>
                <w:szCs w:val="18"/>
              </w:rPr>
              <w:t>Βρ</w:t>
            </w:r>
            <w:proofErr w:type="spellEnd"/>
            <w:r w:rsidRPr="00A7639D">
              <w:rPr>
                <w:rFonts w:ascii="Arial" w:hAnsi="Arial" w:cs="Arial"/>
                <w:sz w:val="18"/>
                <w:szCs w:val="18"/>
              </w:rPr>
              <w:t xml:space="preserve">αχυπρόθεσμα </w:t>
            </w:r>
            <w:proofErr w:type="spellStart"/>
            <w:r w:rsidRPr="00A7639D">
              <w:rPr>
                <w:rFonts w:ascii="Arial" w:hAnsi="Arial" w:cs="Arial"/>
                <w:sz w:val="18"/>
                <w:szCs w:val="18"/>
              </w:rPr>
              <w:t>δάνει</w:t>
            </w:r>
            <w:proofErr w:type="spellEnd"/>
            <w:r w:rsidRPr="00A7639D">
              <w:rPr>
                <w:rFonts w:ascii="Arial" w:hAnsi="Arial" w:cs="Arial"/>
                <w:sz w:val="18"/>
                <w:szCs w:val="18"/>
              </w:rPr>
              <w:t>α</w:t>
            </w:r>
          </w:p>
        </w:tc>
        <w:tc>
          <w:tcPr>
            <w:tcW w:w="1911" w:type="dxa"/>
            <w:shd w:val="clear" w:color="auto" w:fill="FFFFFF" w:themeFill="background1"/>
            <w:vAlign w:val="center"/>
          </w:tcPr>
          <w:p w14:paraId="33B87FD9" w14:textId="59910D39" w:rsidR="00351C04" w:rsidRPr="00372611" w:rsidRDefault="00351C04" w:rsidP="00351C04">
            <w:pPr>
              <w:pStyle w:val="ColorfulList-Accent11"/>
              <w:tabs>
                <w:tab w:val="left" w:pos="0"/>
                <w:tab w:val="left" w:pos="284"/>
              </w:tabs>
              <w:ind w:left="0" w:right="-90"/>
              <w:jc w:val="center"/>
              <w:rPr>
                <w:rFonts w:ascii="Arial" w:hAnsi="Arial" w:cs="Arial"/>
                <w:i/>
                <w:color w:val="FF0000"/>
                <w:sz w:val="18"/>
                <w:szCs w:val="18"/>
              </w:rPr>
            </w:pPr>
            <w:r w:rsidRPr="00180F2A">
              <w:rPr>
                <w:rFonts w:ascii="Arial" w:hAnsi="Arial" w:cs="Arial"/>
                <w:sz w:val="18"/>
                <w:szCs w:val="18"/>
              </w:rPr>
              <w:t>60</w:t>
            </w:r>
            <w:r w:rsidR="00A86E60">
              <w:rPr>
                <w:rFonts w:ascii="Arial" w:hAnsi="Arial" w:cs="Arial"/>
                <w:sz w:val="18"/>
                <w:szCs w:val="18"/>
              </w:rPr>
              <w:t>,</w:t>
            </w:r>
            <w:r w:rsidRPr="00180F2A">
              <w:rPr>
                <w:rFonts w:ascii="Arial" w:hAnsi="Arial" w:cs="Arial"/>
                <w:sz w:val="18"/>
                <w:szCs w:val="18"/>
              </w:rPr>
              <w:t xml:space="preserve">0 </w:t>
            </w:r>
          </w:p>
        </w:tc>
        <w:tc>
          <w:tcPr>
            <w:tcW w:w="1911" w:type="dxa"/>
            <w:shd w:val="clear" w:color="auto" w:fill="FFFFFF" w:themeFill="background1"/>
            <w:vAlign w:val="center"/>
          </w:tcPr>
          <w:p w14:paraId="480D7DB3" w14:textId="3AC57AD6" w:rsidR="00351C04" w:rsidRPr="00372611" w:rsidRDefault="00351C04" w:rsidP="00351C04">
            <w:pPr>
              <w:pStyle w:val="ColorfulList-Accent11"/>
              <w:tabs>
                <w:tab w:val="left" w:pos="0"/>
                <w:tab w:val="left" w:pos="284"/>
              </w:tabs>
              <w:ind w:left="0" w:right="-90"/>
              <w:jc w:val="center"/>
              <w:rPr>
                <w:rFonts w:ascii="Arial" w:hAnsi="Arial" w:cs="Arial"/>
                <w:i/>
                <w:color w:val="FF0000"/>
                <w:sz w:val="18"/>
                <w:szCs w:val="18"/>
              </w:rPr>
            </w:pPr>
            <w:r w:rsidRPr="00316528">
              <w:rPr>
                <w:rFonts w:ascii="Arial" w:hAnsi="Arial" w:cs="Arial"/>
                <w:sz w:val="18"/>
                <w:szCs w:val="18"/>
              </w:rPr>
              <w:t>40</w:t>
            </w:r>
            <w:r w:rsidR="00A86E60">
              <w:rPr>
                <w:rFonts w:ascii="Arial" w:hAnsi="Arial" w:cs="Arial"/>
                <w:sz w:val="18"/>
                <w:szCs w:val="18"/>
              </w:rPr>
              <w:t>,</w:t>
            </w:r>
            <w:r w:rsidRPr="00316528">
              <w:rPr>
                <w:rFonts w:ascii="Arial" w:hAnsi="Arial" w:cs="Arial"/>
                <w:sz w:val="18"/>
                <w:szCs w:val="18"/>
              </w:rPr>
              <w:t xml:space="preserve">0 </w:t>
            </w:r>
          </w:p>
        </w:tc>
      </w:tr>
      <w:tr w:rsidR="00351C04" w:rsidRPr="00452CE7" w14:paraId="4ED37732" w14:textId="77777777" w:rsidTr="00E93819">
        <w:trPr>
          <w:trHeight w:val="284"/>
        </w:trPr>
        <w:tc>
          <w:tcPr>
            <w:tcW w:w="6736" w:type="dxa"/>
            <w:shd w:val="clear" w:color="auto" w:fill="FFFFFF" w:themeFill="background1"/>
            <w:vAlign w:val="bottom"/>
          </w:tcPr>
          <w:p w14:paraId="4D7E02E9" w14:textId="56EB6985" w:rsidR="00351C04" w:rsidRPr="00E93819" w:rsidRDefault="00351C04" w:rsidP="00351C04">
            <w:pPr>
              <w:pStyle w:val="ColorfulList-Accent11"/>
              <w:tabs>
                <w:tab w:val="left" w:pos="0"/>
                <w:tab w:val="left" w:pos="284"/>
              </w:tabs>
              <w:ind w:left="0" w:right="-90"/>
              <w:rPr>
                <w:rFonts w:ascii="Arial" w:hAnsi="Arial" w:cs="Arial"/>
                <w:color w:val="000000" w:themeColor="text1"/>
                <w:sz w:val="18"/>
                <w:szCs w:val="18"/>
                <w:lang w:val="el-GR"/>
              </w:rPr>
            </w:pPr>
            <w:r w:rsidRPr="00A7639D">
              <w:rPr>
                <w:rFonts w:ascii="Arial" w:hAnsi="Arial" w:cs="Arial"/>
                <w:sz w:val="18"/>
                <w:szCs w:val="18"/>
                <w:lang w:val="el-GR"/>
              </w:rPr>
              <w:t>Υποχρεώσεις από μισθώσεις (μακροπρόθεσμο μέρος)</w:t>
            </w:r>
          </w:p>
        </w:tc>
        <w:tc>
          <w:tcPr>
            <w:tcW w:w="1911" w:type="dxa"/>
            <w:shd w:val="clear" w:color="auto" w:fill="FFFFFF" w:themeFill="background1"/>
            <w:vAlign w:val="center"/>
          </w:tcPr>
          <w:p w14:paraId="0DB68937" w14:textId="17F75706" w:rsidR="00351C04" w:rsidRPr="00372611" w:rsidRDefault="00351C04" w:rsidP="00351C04">
            <w:pPr>
              <w:pStyle w:val="ColorfulList-Accent11"/>
              <w:tabs>
                <w:tab w:val="left" w:pos="0"/>
                <w:tab w:val="left" w:pos="284"/>
              </w:tabs>
              <w:ind w:left="0" w:right="-90"/>
              <w:jc w:val="center"/>
              <w:rPr>
                <w:rFonts w:ascii="Arial" w:hAnsi="Arial" w:cs="Arial"/>
                <w:i/>
                <w:color w:val="FF0000"/>
                <w:sz w:val="18"/>
                <w:szCs w:val="18"/>
              </w:rPr>
            </w:pPr>
            <w:r w:rsidRPr="00180F2A">
              <w:rPr>
                <w:rFonts w:ascii="Arial" w:hAnsi="Arial" w:cs="Arial"/>
                <w:sz w:val="18"/>
                <w:szCs w:val="18"/>
              </w:rPr>
              <w:t>158</w:t>
            </w:r>
            <w:r w:rsidR="00A86E60">
              <w:rPr>
                <w:rFonts w:ascii="Arial" w:hAnsi="Arial" w:cs="Arial"/>
                <w:sz w:val="18"/>
                <w:szCs w:val="18"/>
              </w:rPr>
              <w:t>,</w:t>
            </w:r>
            <w:r w:rsidRPr="00180F2A">
              <w:rPr>
                <w:rFonts w:ascii="Arial" w:hAnsi="Arial" w:cs="Arial"/>
                <w:sz w:val="18"/>
                <w:szCs w:val="18"/>
              </w:rPr>
              <w:t xml:space="preserve">5 </w:t>
            </w:r>
          </w:p>
        </w:tc>
        <w:tc>
          <w:tcPr>
            <w:tcW w:w="1911" w:type="dxa"/>
            <w:shd w:val="clear" w:color="auto" w:fill="FFFFFF" w:themeFill="background1"/>
            <w:vAlign w:val="center"/>
          </w:tcPr>
          <w:p w14:paraId="2EBAC990" w14:textId="4B826873" w:rsidR="00351C04" w:rsidRPr="00372611" w:rsidRDefault="00351C04" w:rsidP="00351C04">
            <w:pPr>
              <w:pStyle w:val="ColorfulList-Accent11"/>
              <w:tabs>
                <w:tab w:val="left" w:pos="0"/>
                <w:tab w:val="left" w:pos="284"/>
              </w:tabs>
              <w:ind w:left="0" w:right="-90"/>
              <w:jc w:val="center"/>
              <w:rPr>
                <w:rFonts w:ascii="Arial" w:hAnsi="Arial" w:cs="Arial"/>
                <w:i/>
                <w:color w:val="FF0000"/>
                <w:sz w:val="18"/>
                <w:szCs w:val="18"/>
              </w:rPr>
            </w:pPr>
            <w:r w:rsidRPr="00316528">
              <w:rPr>
                <w:rFonts w:ascii="Arial" w:hAnsi="Arial" w:cs="Arial"/>
                <w:sz w:val="18"/>
                <w:szCs w:val="18"/>
              </w:rPr>
              <w:t>185</w:t>
            </w:r>
            <w:r w:rsidR="00A86E60">
              <w:rPr>
                <w:rFonts w:ascii="Arial" w:hAnsi="Arial" w:cs="Arial"/>
                <w:sz w:val="18"/>
                <w:szCs w:val="18"/>
              </w:rPr>
              <w:t>,</w:t>
            </w:r>
            <w:r w:rsidRPr="00316528">
              <w:rPr>
                <w:rFonts w:ascii="Arial" w:hAnsi="Arial" w:cs="Arial"/>
                <w:sz w:val="18"/>
                <w:szCs w:val="18"/>
              </w:rPr>
              <w:t xml:space="preserve">2 </w:t>
            </w:r>
          </w:p>
        </w:tc>
      </w:tr>
      <w:tr w:rsidR="00351C04" w:rsidRPr="00452CE7" w14:paraId="14977077" w14:textId="77777777" w:rsidTr="00E93819">
        <w:trPr>
          <w:trHeight w:val="284"/>
        </w:trPr>
        <w:tc>
          <w:tcPr>
            <w:tcW w:w="6736" w:type="dxa"/>
            <w:shd w:val="clear" w:color="auto" w:fill="FFFFFF" w:themeFill="background1"/>
            <w:vAlign w:val="bottom"/>
          </w:tcPr>
          <w:p w14:paraId="4567B518" w14:textId="203C01C3" w:rsidR="00351C04" w:rsidRPr="00E93819" w:rsidRDefault="00351C04" w:rsidP="00351C04">
            <w:pPr>
              <w:pStyle w:val="ColorfulList-Accent11"/>
              <w:tabs>
                <w:tab w:val="left" w:pos="0"/>
                <w:tab w:val="left" w:pos="284"/>
              </w:tabs>
              <w:ind w:left="0" w:right="-90"/>
              <w:rPr>
                <w:rFonts w:ascii="Arial" w:hAnsi="Arial" w:cs="Arial"/>
                <w:color w:val="000000" w:themeColor="text1"/>
                <w:sz w:val="18"/>
                <w:szCs w:val="18"/>
                <w:lang w:val="el-GR"/>
              </w:rPr>
            </w:pPr>
            <w:r w:rsidRPr="00A7639D">
              <w:rPr>
                <w:rFonts w:ascii="Arial" w:hAnsi="Arial" w:cs="Arial"/>
                <w:sz w:val="18"/>
                <w:szCs w:val="18"/>
                <w:lang w:val="el-GR"/>
              </w:rPr>
              <w:t>Υποχρεώσεις από μισθώσεις (βραχυπρόθεσμο μέρος)</w:t>
            </w:r>
          </w:p>
        </w:tc>
        <w:tc>
          <w:tcPr>
            <w:tcW w:w="1911" w:type="dxa"/>
            <w:shd w:val="clear" w:color="auto" w:fill="FFFFFF" w:themeFill="background1"/>
            <w:vAlign w:val="center"/>
          </w:tcPr>
          <w:p w14:paraId="45D11797" w14:textId="15671C0C" w:rsidR="00351C04" w:rsidRPr="00372611" w:rsidRDefault="00351C04" w:rsidP="00351C04">
            <w:pPr>
              <w:pStyle w:val="ColorfulList-Accent11"/>
              <w:tabs>
                <w:tab w:val="left" w:pos="0"/>
                <w:tab w:val="left" w:pos="284"/>
              </w:tabs>
              <w:ind w:left="0" w:right="-90"/>
              <w:jc w:val="center"/>
              <w:rPr>
                <w:rFonts w:ascii="Arial" w:hAnsi="Arial" w:cs="Arial"/>
                <w:i/>
                <w:color w:val="FF0000"/>
                <w:sz w:val="18"/>
                <w:szCs w:val="18"/>
              </w:rPr>
            </w:pPr>
            <w:r w:rsidRPr="00180F2A">
              <w:rPr>
                <w:rFonts w:ascii="Arial" w:hAnsi="Arial" w:cs="Arial"/>
                <w:sz w:val="18"/>
                <w:szCs w:val="18"/>
              </w:rPr>
              <w:t>46</w:t>
            </w:r>
            <w:r w:rsidR="00A86E60">
              <w:rPr>
                <w:rFonts w:ascii="Arial" w:hAnsi="Arial" w:cs="Arial"/>
                <w:sz w:val="18"/>
                <w:szCs w:val="18"/>
              </w:rPr>
              <w:t>,</w:t>
            </w:r>
            <w:r w:rsidRPr="00180F2A">
              <w:rPr>
                <w:rFonts w:ascii="Arial" w:hAnsi="Arial" w:cs="Arial"/>
                <w:sz w:val="18"/>
                <w:szCs w:val="18"/>
              </w:rPr>
              <w:t xml:space="preserve">9 </w:t>
            </w:r>
          </w:p>
        </w:tc>
        <w:tc>
          <w:tcPr>
            <w:tcW w:w="1911" w:type="dxa"/>
            <w:shd w:val="clear" w:color="auto" w:fill="FFFFFF" w:themeFill="background1"/>
            <w:vAlign w:val="center"/>
          </w:tcPr>
          <w:p w14:paraId="0182DE51" w14:textId="67E9228B" w:rsidR="00351C04" w:rsidRPr="00372611" w:rsidRDefault="00351C04" w:rsidP="00351C04">
            <w:pPr>
              <w:pStyle w:val="ColorfulList-Accent11"/>
              <w:tabs>
                <w:tab w:val="left" w:pos="0"/>
                <w:tab w:val="left" w:pos="284"/>
              </w:tabs>
              <w:ind w:left="0" w:right="-90"/>
              <w:jc w:val="center"/>
              <w:rPr>
                <w:rFonts w:ascii="Arial" w:hAnsi="Arial" w:cs="Arial"/>
                <w:i/>
                <w:color w:val="FF0000"/>
                <w:sz w:val="18"/>
                <w:szCs w:val="18"/>
              </w:rPr>
            </w:pPr>
            <w:r w:rsidRPr="00316528">
              <w:rPr>
                <w:rFonts w:ascii="Arial" w:hAnsi="Arial" w:cs="Arial"/>
                <w:sz w:val="18"/>
                <w:szCs w:val="18"/>
              </w:rPr>
              <w:t>64</w:t>
            </w:r>
            <w:r w:rsidR="00A86E60">
              <w:rPr>
                <w:rFonts w:ascii="Arial" w:hAnsi="Arial" w:cs="Arial"/>
                <w:sz w:val="18"/>
                <w:szCs w:val="18"/>
              </w:rPr>
              <w:t>,</w:t>
            </w:r>
            <w:r w:rsidRPr="00316528">
              <w:rPr>
                <w:rFonts w:ascii="Arial" w:hAnsi="Arial" w:cs="Arial"/>
                <w:sz w:val="18"/>
                <w:szCs w:val="18"/>
              </w:rPr>
              <w:t xml:space="preserve">1 </w:t>
            </w:r>
          </w:p>
        </w:tc>
      </w:tr>
      <w:tr w:rsidR="00351C04" w:rsidRPr="00452CE7" w14:paraId="6E8F0F40" w14:textId="77777777" w:rsidTr="00E93819">
        <w:trPr>
          <w:trHeight w:val="284"/>
        </w:trPr>
        <w:tc>
          <w:tcPr>
            <w:tcW w:w="6736" w:type="dxa"/>
            <w:shd w:val="clear" w:color="auto" w:fill="FFFFFF" w:themeFill="background1"/>
            <w:vAlign w:val="center"/>
          </w:tcPr>
          <w:p w14:paraId="59E4F626" w14:textId="391C65A4" w:rsidR="00351C04" w:rsidRPr="00E93819" w:rsidRDefault="00351C04" w:rsidP="00351C04">
            <w:pPr>
              <w:pStyle w:val="ColorfulList-Accent11"/>
              <w:tabs>
                <w:tab w:val="left" w:pos="0"/>
                <w:tab w:val="left" w:pos="284"/>
              </w:tabs>
              <w:ind w:left="0" w:right="-90"/>
              <w:rPr>
                <w:rFonts w:ascii="Arial" w:hAnsi="Arial" w:cs="Arial"/>
                <w:color w:val="000000" w:themeColor="text1"/>
                <w:sz w:val="18"/>
                <w:szCs w:val="18"/>
                <w:lang w:val="el-GR"/>
              </w:rPr>
            </w:pPr>
            <w:r w:rsidRPr="00A7639D">
              <w:rPr>
                <w:rFonts w:ascii="Arial" w:hAnsi="Arial" w:cs="Arial"/>
                <w:sz w:val="18"/>
                <w:szCs w:val="18"/>
                <w:lang w:val="el-GR"/>
              </w:rPr>
              <w:t>Χρηματοοικονομικές υποχρεώσεις σχετιζόμενες με ηλεκτρονικά πορτοφόλια</w:t>
            </w:r>
          </w:p>
        </w:tc>
        <w:tc>
          <w:tcPr>
            <w:tcW w:w="1911" w:type="dxa"/>
            <w:shd w:val="clear" w:color="auto" w:fill="FFFFFF" w:themeFill="background1"/>
            <w:vAlign w:val="center"/>
          </w:tcPr>
          <w:p w14:paraId="09AC8AE6" w14:textId="08DC7695" w:rsidR="00351C04" w:rsidRPr="00372611" w:rsidRDefault="00351C04" w:rsidP="00351C04">
            <w:pPr>
              <w:pStyle w:val="ColorfulList-Accent11"/>
              <w:tabs>
                <w:tab w:val="left" w:pos="0"/>
                <w:tab w:val="left" w:pos="284"/>
              </w:tabs>
              <w:ind w:left="0" w:right="-90"/>
              <w:jc w:val="center"/>
              <w:rPr>
                <w:rFonts w:ascii="Arial" w:hAnsi="Arial" w:cs="Arial"/>
                <w:i/>
                <w:color w:val="FF0000"/>
                <w:sz w:val="18"/>
                <w:szCs w:val="18"/>
              </w:rPr>
            </w:pPr>
            <w:r w:rsidRPr="00180F2A">
              <w:rPr>
                <w:rFonts w:ascii="Arial" w:hAnsi="Arial" w:cs="Arial"/>
                <w:sz w:val="18"/>
                <w:szCs w:val="18"/>
              </w:rPr>
              <w:t>9</w:t>
            </w:r>
            <w:r w:rsidR="00A86E60">
              <w:rPr>
                <w:rFonts w:ascii="Arial" w:hAnsi="Arial" w:cs="Arial"/>
                <w:sz w:val="18"/>
                <w:szCs w:val="18"/>
              </w:rPr>
              <w:t>,</w:t>
            </w:r>
            <w:r w:rsidRPr="00180F2A">
              <w:rPr>
                <w:rFonts w:ascii="Arial" w:hAnsi="Arial" w:cs="Arial"/>
                <w:sz w:val="18"/>
                <w:szCs w:val="18"/>
              </w:rPr>
              <w:t xml:space="preserve">8 </w:t>
            </w:r>
          </w:p>
        </w:tc>
        <w:tc>
          <w:tcPr>
            <w:tcW w:w="1911" w:type="dxa"/>
            <w:shd w:val="clear" w:color="auto" w:fill="FFFFFF" w:themeFill="background1"/>
            <w:vAlign w:val="center"/>
          </w:tcPr>
          <w:p w14:paraId="3B595E9A" w14:textId="6A8BCF15" w:rsidR="00351C04" w:rsidRPr="00372611" w:rsidRDefault="00351C04" w:rsidP="00351C04">
            <w:pPr>
              <w:pStyle w:val="ColorfulList-Accent11"/>
              <w:tabs>
                <w:tab w:val="left" w:pos="0"/>
                <w:tab w:val="left" w:pos="284"/>
              </w:tabs>
              <w:ind w:left="0" w:right="-90"/>
              <w:jc w:val="center"/>
              <w:rPr>
                <w:rFonts w:ascii="Arial" w:hAnsi="Arial" w:cs="Arial"/>
                <w:i/>
                <w:color w:val="FF0000"/>
                <w:sz w:val="18"/>
                <w:szCs w:val="18"/>
              </w:rPr>
            </w:pPr>
            <w:r w:rsidRPr="00316528">
              <w:rPr>
                <w:rFonts w:ascii="Arial" w:hAnsi="Arial" w:cs="Arial"/>
                <w:sz w:val="18"/>
                <w:szCs w:val="18"/>
              </w:rPr>
              <w:t>8</w:t>
            </w:r>
            <w:r w:rsidR="00A86E60">
              <w:rPr>
                <w:rFonts w:ascii="Arial" w:hAnsi="Arial" w:cs="Arial"/>
                <w:sz w:val="18"/>
                <w:szCs w:val="18"/>
              </w:rPr>
              <w:t>,</w:t>
            </w:r>
            <w:r w:rsidRPr="00316528">
              <w:rPr>
                <w:rFonts w:ascii="Arial" w:hAnsi="Arial" w:cs="Arial"/>
                <w:sz w:val="18"/>
                <w:szCs w:val="18"/>
              </w:rPr>
              <w:t xml:space="preserve">8 </w:t>
            </w:r>
          </w:p>
        </w:tc>
      </w:tr>
      <w:tr w:rsidR="00351C04" w:rsidRPr="00452CE7" w14:paraId="5A5CA289" w14:textId="77777777" w:rsidTr="00E93819">
        <w:trPr>
          <w:trHeight w:val="284"/>
        </w:trPr>
        <w:tc>
          <w:tcPr>
            <w:tcW w:w="6736" w:type="dxa"/>
            <w:shd w:val="clear" w:color="auto" w:fill="FFFFFF" w:themeFill="background1"/>
            <w:vAlign w:val="center"/>
          </w:tcPr>
          <w:p w14:paraId="16D0260E" w14:textId="11740937" w:rsidR="00351C04" w:rsidRPr="00E93819" w:rsidRDefault="00351C04" w:rsidP="00351C04">
            <w:pPr>
              <w:pStyle w:val="ColorfulList-Accent11"/>
              <w:tabs>
                <w:tab w:val="left" w:pos="0"/>
                <w:tab w:val="left" w:pos="284"/>
              </w:tabs>
              <w:ind w:left="0" w:right="-90"/>
              <w:rPr>
                <w:rFonts w:ascii="Arial" w:hAnsi="Arial" w:cs="Arial"/>
                <w:color w:val="000000" w:themeColor="text1"/>
                <w:sz w:val="18"/>
                <w:szCs w:val="18"/>
                <w:lang w:val="el-GR"/>
              </w:rPr>
            </w:pPr>
            <w:r w:rsidRPr="00A7639D">
              <w:rPr>
                <w:rFonts w:ascii="Arial" w:hAnsi="Arial" w:cs="Arial"/>
                <w:sz w:val="18"/>
                <w:szCs w:val="18"/>
                <w:lang w:val="el-GR"/>
              </w:rPr>
              <w:t>Ταμειακά διαθέσιμα και ταμειακά ισοδύναμα</w:t>
            </w:r>
          </w:p>
        </w:tc>
        <w:tc>
          <w:tcPr>
            <w:tcW w:w="1911" w:type="dxa"/>
            <w:shd w:val="clear" w:color="auto" w:fill="FFFFFF" w:themeFill="background1"/>
            <w:vAlign w:val="center"/>
          </w:tcPr>
          <w:p w14:paraId="661AE43D" w14:textId="2648F33E" w:rsidR="00351C04" w:rsidRPr="00372611" w:rsidRDefault="00351C04" w:rsidP="00351C04">
            <w:pPr>
              <w:pStyle w:val="ColorfulList-Accent11"/>
              <w:tabs>
                <w:tab w:val="left" w:pos="0"/>
                <w:tab w:val="left" w:pos="284"/>
              </w:tabs>
              <w:ind w:left="0" w:right="-90"/>
              <w:jc w:val="center"/>
              <w:rPr>
                <w:rFonts w:ascii="Arial" w:hAnsi="Arial" w:cs="Arial"/>
                <w:i/>
                <w:color w:val="FF0000"/>
                <w:sz w:val="18"/>
                <w:szCs w:val="18"/>
              </w:rPr>
            </w:pPr>
            <w:r w:rsidRPr="00180F2A">
              <w:rPr>
                <w:rFonts w:ascii="Arial" w:hAnsi="Arial" w:cs="Arial"/>
                <w:sz w:val="18"/>
                <w:szCs w:val="18"/>
              </w:rPr>
              <w:t>(426</w:t>
            </w:r>
            <w:r w:rsidR="00A86E60">
              <w:rPr>
                <w:rFonts w:ascii="Arial" w:hAnsi="Arial" w:cs="Arial"/>
                <w:sz w:val="18"/>
                <w:szCs w:val="18"/>
              </w:rPr>
              <w:t>,</w:t>
            </w:r>
            <w:r w:rsidRPr="00180F2A">
              <w:rPr>
                <w:rFonts w:ascii="Arial" w:hAnsi="Arial" w:cs="Arial"/>
                <w:sz w:val="18"/>
                <w:szCs w:val="18"/>
              </w:rPr>
              <w:t>3)</w:t>
            </w:r>
          </w:p>
        </w:tc>
        <w:tc>
          <w:tcPr>
            <w:tcW w:w="1911" w:type="dxa"/>
            <w:shd w:val="clear" w:color="auto" w:fill="FFFFFF" w:themeFill="background1"/>
            <w:vAlign w:val="center"/>
          </w:tcPr>
          <w:p w14:paraId="30B2E735" w14:textId="7034C299" w:rsidR="00351C04" w:rsidRPr="00372611" w:rsidRDefault="00351C04" w:rsidP="00351C04">
            <w:pPr>
              <w:pStyle w:val="ColorfulList-Accent11"/>
              <w:tabs>
                <w:tab w:val="left" w:pos="0"/>
                <w:tab w:val="left" w:pos="284"/>
              </w:tabs>
              <w:ind w:left="0" w:right="-90"/>
              <w:jc w:val="center"/>
              <w:rPr>
                <w:rFonts w:ascii="Arial" w:hAnsi="Arial" w:cs="Arial"/>
                <w:i/>
                <w:color w:val="FF0000"/>
                <w:sz w:val="18"/>
                <w:szCs w:val="18"/>
              </w:rPr>
            </w:pPr>
            <w:r w:rsidRPr="00316528">
              <w:rPr>
                <w:rFonts w:ascii="Arial" w:hAnsi="Arial" w:cs="Arial"/>
                <w:sz w:val="18"/>
                <w:szCs w:val="18"/>
              </w:rPr>
              <w:t>(462</w:t>
            </w:r>
            <w:r w:rsidR="00A86E60">
              <w:rPr>
                <w:rFonts w:ascii="Arial" w:hAnsi="Arial" w:cs="Arial"/>
                <w:sz w:val="18"/>
                <w:szCs w:val="18"/>
              </w:rPr>
              <w:t>,</w:t>
            </w:r>
            <w:r w:rsidRPr="00316528">
              <w:rPr>
                <w:rFonts w:ascii="Arial" w:hAnsi="Arial" w:cs="Arial"/>
                <w:sz w:val="18"/>
                <w:szCs w:val="18"/>
              </w:rPr>
              <w:t>1)</w:t>
            </w:r>
          </w:p>
        </w:tc>
      </w:tr>
      <w:tr w:rsidR="00351C04" w:rsidRPr="00452CE7" w14:paraId="004D0CFD" w14:textId="77777777" w:rsidTr="00E93819">
        <w:trPr>
          <w:trHeight w:val="284"/>
        </w:trPr>
        <w:tc>
          <w:tcPr>
            <w:tcW w:w="6736" w:type="dxa"/>
            <w:shd w:val="clear" w:color="auto" w:fill="F2F2F2" w:themeFill="background1" w:themeFillShade="F2"/>
            <w:vAlign w:val="center"/>
          </w:tcPr>
          <w:p w14:paraId="0348B119" w14:textId="2B924525" w:rsidR="00351C04" w:rsidRPr="007E2F7E" w:rsidRDefault="00351C04" w:rsidP="00351C04">
            <w:pPr>
              <w:pStyle w:val="ColorfulList-Accent11"/>
              <w:tabs>
                <w:tab w:val="left" w:pos="0"/>
                <w:tab w:val="left" w:pos="284"/>
              </w:tabs>
              <w:ind w:left="0" w:right="-90"/>
              <w:rPr>
                <w:rFonts w:ascii="Arial" w:hAnsi="Arial" w:cs="Arial"/>
                <w:b/>
                <w:color w:val="000000" w:themeColor="text1"/>
                <w:sz w:val="18"/>
                <w:szCs w:val="18"/>
              </w:rPr>
            </w:pPr>
            <w:r w:rsidRPr="00A7639D">
              <w:rPr>
                <w:rFonts w:ascii="Arial" w:hAnsi="Arial" w:cs="Arial"/>
                <w:b/>
                <w:sz w:val="18"/>
                <w:szCs w:val="18"/>
              </w:rPr>
              <w:t>Καθα</w:t>
            </w:r>
            <w:proofErr w:type="spellStart"/>
            <w:r w:rsidRPr="00A7639D">
              <w:rPr>
                <w:rFonts w:ascii="Arial" w:hAnsi="Arial" w:cs="Arial"/>
                <w:b/>
                <w:sz w:val="18"/>
                <w:szCs w:val="18"/>
              </w:rPr>
              <w:t>ρός</w:t>
            </w:r>
            <w:proofErr w:type="spellEnd"/>
            <w:r w:rsidRPr="00A7639D">
              <w:rPr>
                <w:rFonts w:ascii="Arial" w:hAnsi="Arial" w:cs="Arial"/>
                <w:b/>
                <w:sz w:val="18"/>
                <w:szCs w:val="18"/>
              </w:rPr>
              <w:t xml:space="preserve"> Δα</w:t>
            </w:r>
            <w:proofErr w:type="spellStart"/>
            <w:r w:rsidRPr="00A7639D">
              <w:rPr>
                <w:rFonts w:ascii="Arial" w:hAnsi="Arial" w:cs="Arial"/>
                <w:b/>
                <w:sz w:val="18"/>
                <w:szCs w:val="18"/>
              </w:rPr>
              <w:t>νεισμός</w:t>
            </w:r>
            <w:proofErr w:type="spellEnd"/>
          </w:p>
        </w:tc>
        <w:tc>
          <w:tcPr>
            <w:tcW w:w="1911" w:type="dxa"/>
            <w:shd w:val="clear" w:color="auto" w:fill="F2F2F2" w:themeFill="background1" w:themeFillShade="F2"/>
            <w:vAlign w:val="center"/>
          </w:tcPr>
          <w:p w14:paraId="212D4842" w14:textId="134C46F7" w:rsidR="00351C04" w:rsidRPr="00372611" w:rsidRDefault="00351C04" w:rsidP="00351C04">
            <w:pPr>
              <w:pStyle w:val="ColorfulList-Accent11"/>
              <w:tabs>
                <w:tab w:val="left" w:pos="0"/>
                <w:tab w:val="left" w:pos="284"/>
              </w:tabs>
              <w:ind w:left="0" w:right="-90"/>
              <w:jc w:val="center"/>
              <w:rPr>
                <w:rFonts w:ascii="Arial" w:hAnsi="Arial" w:cs="Arial"/>
                <w:i/>
                <w:color w:val="FF0000"/>
                <w:sz w:val="18"/>
                <w:szCs w:val="18"/>
              </w:rPr>
            </w:pPr>
            <w:r>
              <w:rPr>
                <w:rFonts w:ascii="Arial" w:hAnsi="Arial" w:cs="Arial"/>
                <w:b/>
                <w:bCs/>
                <w:color w:val="000000"/>
              </w:rPr>
              <w:t>698</w:t>
            </w:r>
            <w:r w:rsidR="00A86E60">
              <w:rPr>
                <w:rFonts w:ascii="Arial" w:hAnsi="Arial" w:cs="Arial"/>
                <w:b/>
                <w:bCs/>
                <w:color w:val="000000"/>
              </w:rPr>
              <w:t>,</w:t>
            </w:r>
            <w:r>
              <w:rPr>
                <w:rFonts w:ascii="Arial" w:hAnsi="Arial" w:cs="Arial"/>
                <w:b/>
                <w:bCs/>
                <w:color w:val="000000"/>
              </w:rPr>
              <w:t xml:space="preserve">1 </w:t>
            </w:r>
          </w:p>
        </w:tc>
        <w:tc>
          <w:tcPr>
            <w:tcW w:w="1911" w:type="dxa"/>
            <w:shd w:val="clear" w:color="auto" w:fill="F2F2F2" w:themeFill="background1" w:themeFillShade="F2"/>
            <w:vAlign w:val="center"/>
          </w:tcPr>
          <w:p w14:paraId="6139C525" w14:textId="0E2710B2" w:rsidR="00351C04" w:rsidRPr="00372611" w:rsidRDefault="00351C04" w:rsidP="00351C04">
            <w:pPr>
              <w:pStyle w:val="ColorfulList-Accent11"/>
              <w:tabs>
                <w:tab w:val="left" w:pos="0"/>
                <w:tab w:val="left" w:pos="284"/>
              </w:tabs>
              <w:ind w:left="0" w:right="-90"/>
              <w:jc w:val="center"/>
              <w:rPr>
                <w:rFonts w:ascii="Arial" w:hAnsi="Arial" w:cs="Arial"/>
                <w:i/>
                <w:color w:val="FF0000"/>
                <w:sz w:val="18"/>
                <w:szCs w:val="18"/>
              </w:rPr>
            </w:pPr>
            <w:r w:rsidRPr="00316528">
              <w:rPr>
                <w:rFonts w:ascii="Arial" w:hAnsi="Arial" w:cs="Arial"/>
                <w:b/>
                <w:bCs/>
                <w:color w:val="000000"/>
              </w:rPr>
              <w:t>684</w:t>
            </w:r>
            <w:r w:rsidR="00A86E60">
              <w:rPr>
                <w:rFonts w:ascii="Arial" w:hAnsi="Arial" w:cs="Arial"/>
                <w:b/>
                <w:bCs/>
                <w:color w:val="000000"/>
              </w:rPr>
              <w:t>,</w:t>
            </w:r>
            <w:r w:rsidRPr="00316528">
              <w:rPr>
                <w:rFonts w:ascii="Arial" w:hAnsi="Arial" w:cs="Arial"/>
                <w:b/>
                <w:bCs/>
                <w:color w:val="000000"/>
              </w:rPr>
              <w:t xml:space="preserve">3 </w:t>
            </w:r>
          </w:p>
        </w:tc>
      </w:tr>
    </w:tbl>
    <w:p w14:paraId="0E467534" w14:textId="77777777" w:rsidR="007D3E42" w:rsidRDefault="007D3E42" w:rsidP="00413DFC">
      <w:pPr>
        <w:pStyle w:val="ListParagraph"/>
        <w:tabs>
          <w:tab w:val="left" w:pos="0"/>
        </w:tabs>
        <w:ind w:left="0"/>
        <w:jc w:val="both"/>
        <w:rPr>
          <w:rFonts w:ascii="Arial" w:hAnsi="Arial" w:cs="Arial"/>
          <w:b/>
          <w:color w:val="004B87"/>
          <w:sz w:val="22"/>
          <w:szCs w:val="22"/>
          <w:lang w:val="el-GR"/>
        </w:rPr>
      </w:pPr>
    </w:p>
    <w:p w14:paraId="312129A5" w14:textId="77777777" w:rsidR="00E026B6" w:rsidRPr="00E026B6" w:rsidRDefault="00004A74" w:rsidP="00E026B6">
      <w:pPr>
        <w:pStyle w:val="ListParagraph"/>
        <w:tabs>
          <w:tab w:val="left" w:pos="0"/>
        </w:tabs>
        <w:ind w:left="0"/>
        <w:jc w:val="both"/>
        <w:rPr>
          <w:rFonts w:ascii="Arial" w:hAnsi="Arial" w:cs="Arial"/>
          <w:b/>
          <w:color w:val="004B87"/>
          <w:sz w:val="22"/>
          <w:szCs w:val="22"/>
        </w:rPr>
      </w:pPr>
      <w:r w:rsidRPr="00E026B6">
        <w:rPr>
          <w:rFonts w:ascii="Arial" w:hAnsi="Arial" w:cs="Arial"/>
          <w:b/>
          <w:color w:val="004B87"/>
          <w:sz w:val="22"/>
          <w:szCs w:val="22"/>
        </w:rPr>
        <w:t>EBIT</w:t>
      </w:r>
    </w:p>
    <w:p w14:paraId="31860334" w14:textId="35F2728C" w:rsidR="007D3E42" w:rsidRPr="00787EE2" w:rsidRDefault="00305A1A" w:rsidP="00E026B6">
      <w:pPr>
        <w:jc w:val="both"/>
        <w:rPr>
          <w:rFonts w:ascii="Arial" w:hAnsi="Arial" w:cs="Arial"/>
        </w:rPr>
      </w:pPr>
      <w:r w:rsidRPr="00E026B6">
        <w:rPr>
          <w:rFonts w:ascii="Arial" w:eastAsia="Times New Roman" w:hAnsi="Arial" w:cs="Arial"/>
        </w:rPr>
        <w:t>Τα Κέρδη προ τόκων και φόρων (</w:t>
      </w:r>
      <w:r w:rsidRPr="00E026B6">
        <w:rPr>
          <w:rFonts w:ascii="Arial" w:eastAsia="Times New Roman" w:hAnsi="Arial" w:cs="Arial"/>
          <w:lang w:val="en-US"/>
        </w:rPr>
        <w:t>EBIT</w:t>
      </w:r>
      <w:r w:rsidRPr="00E026B6">
        <w:rPr>
          <w:rFonts w:ascii="Arial" w:eastAsia="Times New Roman" w:hAnsi="Arial" w:cs="Arial"/>
        </w:rPr>
        <w:t>) προκύπτουν απευθείας από τις χρηματοοικονομικές καταστάσεις του Ομίλου, γραμμή «</w:t>
      </w:r>
      <w:r w:rsidR="00787EE2" w:rsidRPr="00E026B6">
        <w:rPr>
          <w:rFonts w:ascii="Arial" w:eastAsia="Times New Roman" w:hAnsi="Arial" w:cs="Arial"/>
        </w:rPr>
        <w:t>Λειτουργικά κέρδη προ χρηματοοικονομικών και επενδυτικών δραστηριοτήτων</w:t>
      </w:r>
      <w:r w:rsidRPr="00E026B6">
        <w:rPr>
          <w:rFonts w:ascii="Arial" w:eastAsia="Times New Roman" w:hAnsi="Arial" w:cs="Arial"/>
        </w:rPr>
        <w:t>» της κατάστασης Αποτελεσμάτων.</w:t>
      </w:r>
      <w:r w:rsidR="00787EE2" w:rsidRPr="00E026B6">
        <w:rPr>
          <w:rFonts w:ascii="Arial" w:eastAsia="Times New Roman" w:hAnsi="Arial" w:cs="Arial"/>
        </w:rPr>
        <w:t xml:space="preserve"> </w:t>
      </w:r>
      <w:r w:rsidR="00787EE2" w:rsidRPr="001D7A36">
        <w:rPr>
          <w:rFonts w:ascii="Arial" w:eastAsia="Times New Roman" w:hAnsi="Arial" w:cs="Arial"/>
        </w:rPr>
        <w:t xml:space="preserve">Ο δείκτης </w:t>
      </w:r>
      <w:r w:rsidR="00787EE2" w:rsidRPr="00E026B6">
        <w:rPr>
          <w:rFonts w:ascii="Arial" w:eastAsia="Times New Roman" w:hAnsi="Arial" w:cs="Arial"/>
          <w:lang w:val="en-US"/>
        </w:rPr>
        <w:t>EBIT</w:t>
      </w:r>
      <w:r w:rsidR="00787EE2" w:rsidRPr="001D7A36">
        <w:rPr>
          <w:rFonts w:ascii="Arial" w:eastAsia="Times New Roman" w:hAnsi="Arial" w:cs="Arial"/>
        </w:rPr>
        <w:t xml:space="preserve"> παρέχει χρήσιμη πληροφόρηση για την ανάλυση της λειτουργικής απόδοσης του Ομίλου</w:t>
      </w:r>
      <w:r w:rsidR="00787EE2" w:rsidRPr="00787EE2">
        <w:rPr>
          <w:rFonts w:ascii="Arial" w:hAnsi="Arial" w:cs="Arial"/>
        </w:rPr>
        <w:t>.</w:t>
      </w:r>
    </w:p>
    <w:p w14:paraId="0FBDBA23" w14:textId="77777777" w:rsidR="007D3E42" w:rsidRDefault="007D3E42" w:rsidP="00413DFC">
      <w:pPr>
        <w:pStyle w:val="ListParagraph"/>
        <w:tabs>
          <w:tab w:val="left" w:pos="0"/>
        </w:tabs>
        <w:ind w:left="0"/>
        <w:jc w:val="both"/>
        <w:rPr>
          <w:rFonts w:ascii="Arial" w:hAnsi="Arial" w:cs="Arial"/>
          <w:b/>
          <w:color w:val="004B87"/>
          <w:sz w:val="22"/>
          <w:szCs w:val="22"/>
          <w:lang w:val="el-GR"/>
        </w:rPr>
      </w:pPr>
    </w:p>
    <w:p w14:paraId="1EA3BD71" w14:textId="7D35B069" w:rsidR="009E285A" w:rsidRPr="003C24E3" w:rsidRDefault="009E285A" w:rsidP="00413DFC">
      <w:pPr>
        <w:pStyle w:val="ListParagraph"/>
        <w:tabs>
          <w:tab w:val="left" w:pos="0"/>
        </w:tabs>
        <w:ind w:left="0"/>
        <w:jc w:val="both"/>
        <w:rPr>
          <w:rFonts w:ascii="Arial" w:hAnsi="Arial" w:cs="Arial"/>
          <w:b/>
          <w:color w:val="004B87"/>
          <w:sz w:val="22"/>
          <w:szCs w:val="22"/>
          <w:lang w:val="el-GR"/>
        </w:rPr>
      </w:pPr>
      <w:r w:rsidRPr="003C24E3">
        <w:rPr>
          <w:rFonts w:ascii="Arial" w:hAnsi="Arial" w:cs="Arial"/>
          <w:b/>
          <w:color w:val="004B87"/>
          <w:sz w:val="22"/>
          <w:szCs w:val="22"/>
        </w:rPr>
        <w:t>EBITDA</w:t>
      </w:r>
      <w:r w:rsidRPr="004C7B8A">
        <w:rPr>
          <w:rFonts w:ascii="Arial" w:hAnsi="Arial" w:cs="Arial"/>
          <w:b/>
          <w:color w:val="004B87"/>
          <w:sz w:val="22"/>
          <w:szCs w:val="22"/>
          <w:lang w:val="el-GR"/>
        </w:rPr>
        <w:t xml:space="preserve"> - Προσαρμοσμένο </w:t>
      </w:r>
      <w:r w:rsidRPr="003C24E3">
        <w:rPr>
          <w:rFonts w:ascii="Arial" w:hAnsi="Arial" w:cs="Arial"/>
          <w:b/>
          <w:color w:val="004B87"/>
          <w:sz w:val="22"/>
          <w:szCs w:val="22"/>
        </w:rPr>
        <w:t>EBITDA</w:t>
      </w:r>
      <w:r w:rsidRPr="004C7B8A">
        <w:rPr>
          <w:rFonts w:ascii="Arial" w:hAnsi="Arial" w:cs="Arial"/>
          <w:b/>
          <w:color w:val="004B87"/>
          <w:sz w:val="22"/>
          <w:szCs w:val="22"/>
          <w:lang w:val="el-GR"/>
        </w:rPr>
        <w:t xml:space="preserve"> - Προσαρμοσμένο </w:t>
      </w:r>
      <w:r w:rsidRPr="003C24E3">
        <w:rPr>
          <w:rFonts w:ascii="Arial" w:hAnsi="Arial" w:cs="Arial"/>
          <w:b/>
          <w:color w:val="004B87"/>
          <w:sz w:val="22"/>
          <w:szCs w:val="22"/>
        </w:rPr>
        <w:t>EBITDA</w:t>
      </w:r>
      <w:r w:rsidRPr="004C7B8A">
        <w:rPr>
          <w:rFonts w:ascii="Arial" w:hAnsi="Arial" w:cs="Arial"/>
          <w:b/>
          <w:color w:val="004B87"/>
          <w:sz w:val="22"/>
          <w:szCs w:val="22"/>
          <w:lang w:val="el-GR"/>
        </w:rPr>
        <w:t xml:space="preserve"> μετά από μισθώσεις (</w:t>
      </w:r>
      <w:r w:rsidRPr="003C24E3">
        <w:rPr>
          <w:rFonts w:ascii="Arial" w:hAnsi="Arial" w:cs="Arial"/>
          <w:b/>
          <w:color w:val="004B87"/>
          <w:sz w:val="22"/>
          <w:szCs w:val="22"/>
        </w:rPr>
        <w:t>AL</w:t>
      </w:r>
      <w:r w:rsidRPr="004C7B8A">
        <w:rPr>
          <w:rFonts w:ascii="Arial" w:hAnsi="Arial" w:cs="Arial"/>
          <w:b/>
          <w:color w:val="004B87"/>
          <w:sz w:val="22"/>
          <w:szCs w:val="22"/>
          <w:lang w:val="el-GR"/>
        </w:rPr>
        <w:t>)</w:t>
      </w:r>
    </w:p>
    <w:p w14:paraId="0AA766BB" w14:textId="77777777" w:rsidR="009E285A" w:rsidRPr="001D7A36" w:rsidRDefault="009E285A" w:rsidP="000A16E4">
      <w:pPr>
        <w:pStyle w:val="ListParagraph"/>
        <w:numPr>
          <w:ilvl w:val="0"/>
          <w:numId w:val="6"/>
        </w:numPr>
        <w:spacing w:after="160" w:line="280" w:lineRule="exact"/>
        <w:ind w:left="340" w:hanging="340"/>
        <w:jc w:val="both"/>
        <w:rPr>
          <w:rFonts w:ascii="Arial" w:hAnsi="Arial" w:cs="Arial"/>
          <w:sz w:val="22"/>
          <w:szCs w:val="22"/>
          <w:lang w:val="el-GR"/>
        </w:rPr>
      </w:pPr>
      <w:r w:rsidRPr="001D7A36">
        <w:rPr>
          <w:rFonts w:ascii="Arial" w:hAnsi="Arial" w:cs="Arial"/>
          <w:sz w:val="22"/>
          <w:szCs w:val="22"/>
          <w:lang w:val="el-GR"/>
        </w:rPr>
        <w:t xml:space="preserve">Ο δείκτης </w:t>
      </w:r>
      <w:r w:rsidRPr="00E026B6">
        <w:rPr>
          <w:rFonts w:ascii="Arial" w:hAnsi="Arial" w:cs="Arial"/>
          <w:b/>
          <w:bCs/>
          <w:sz w:val="22"/>
          <w:szCs w:val="22"/>
        </w:rPr>
        <w:t>EBITDA</w:t>
      </w:r>
      <w:r w:rsidRPr="001D7A36">
        <w:rPr>
          <w:rFonts w:ascii="Arial" w:hAnsi="Arial" w:cs="Arial"/>
          <w:sz w:val="22"/>
          <w:szCs w:val="22"/>
          <w:lang w:val="el-GR"/>
        </w:rPr>
        <w:t xml:space="preserve"> προέρχεται απευθείας από τις χρηματοοικονομικές καταστάσεις του Ομίλου, γραμμή «Λειτουργικά κέρδη προ χρηματοοικονομικών και επενδυτικών δραστηριοτήτων, αποσβέσεων και </w:t>
      </w:r>
      <w:proofErr w:type="spellStart"/>
      <w:r w:rsidRPr="001D7A36">
        <w:rPr>
          <w:rFonts w:ascii="Arial" w:hAnsi="Arial" w:cs="Arial"/>
          <w:sz w:val="22"/>
          <w:szCs w:val="22"/>
          <w:lang w:val="el-GR"/>
        </w:rPr>
        <w:t>απομειώσεων</w:t>
      </w:r>
      <w:proofErr w:type="spellEnd"/>
      <w:r w:rsidRPr="001D7A36">
        <w:rPr>
          <w:rFonts w:ascii="Arial" w:hAnsi="Arial" w:cs="Arial"/>
          <w:sz w:val="22"/>
          <w:szCs w:val="22"/>
          <w:lang w:val="el-GR"/>
        </w:rPr>
        <w:t xml:space="preserve">» της Κατάστασης Αποτελεσμάτων. Ο δείκτης </w:t>
      </w:r>
      <w:r w:rsidRPr="00E026B6">
        <w:rPr>
          <w:rFonts w:ascii="Arial" w:hAnsi="Arial" w:cs="Arial"/>
          <w:sz w:val="22"/>
          <w:szCs w:val="22"/>
        </w:rPr>
        <w:t>EBITDA</w:t>
      </w:r>
      <w:r w:rsidRPr="001D7A36">
        <w:rPr>
          <w:rFonts w:ascii="Arial" w:hAnsi="Arial" w:cs="Arial"/>
          <w:sz w:val="22"/>
          <w:szCs w:val="22"/>
          <w:lang w:val="el-GR"/>
        </w:rPr>
        <w:t xml:space="preserve"> ορίζεται ως το σύνολο του κύκλου εργασιών συν τα λοιπά λειτουργικά έσοδα μείον το σύνολο των λειτουργικών εξόδων πριν από αποσβέσεις και </w:t>
      </w:r>
      <w:proofErr w:type="spellStart"/>
      <w:r w:rsidRPr="001D7A36">
        <w:rPr>
          <w:rFonts w:ascii="Arial" w:hAnsi="Arial" w:cs="Arial"/>
          <w:sz w:val="22"/>
          <w:szCs w:val="22"/>
          <w:lang w:val="el-GR"/>
        </w:rPr>
        <w:t>απομειώσεις</w:t>
      </w:r>
      <w:proofErr w:type="spellEnd"/>
      <w:r w:rsidRPr="001D7A36">
        <w:rPr>
          <w:rFonts w:ascii="Arial" w:hAnsi="Arial" w:cs="Arial"/>
          <w:sz w:val="22"/>
          <w:szCs w:val="22"/>
          <w:lang w:val="el-GR"/>
        </w:rPr>
        <w:t xml:space="preserve">. Ο δείκτης </w:t>
      </w:r>
      <w:r w:rsidRPr="00E026B6">
        <w:rPr>
          <w:rFonts w:ascii="Arial" w:hAnsi="Arial" w:cs="Arial"/>
          <w:sz w:val="22"/>
          <w:szCs w:val="22"/>
        </w:rPr>
        <w:t>EBITDA</w:t>
      </w:r>
      <w:r w:rsidRPr="001D7A36">
        <w:rPr>
          <w:rFonts w:ascii="Arial" w:hAnsi="Arial" w:cs="Arial"/>
          <w:sz w:val="22"/>
          <w:szCs w:val="22"/>
          <w:lang w:val="el-GR"/>
        </w:rPr>
        <w:t xml:space="preserve"> εξυπηρετεί στην καλύτερη ανάλυση των λειτουργικών αποτελεσμάτων του Ομίλου.</w:t>
      </w:r>
    </w:p>
    <w:p w14:paraId="531CBCC5" w14:textId="64363938" w:rsidR="009E285A" w:rsidRPr="001D7A36" w:rsidRDefault="009E285A" w:rsidP="000A16E4">
      <w:pPr>
        <w:pStyle w:val="ListParagraph"/>
        <w:numPr>
          <w:ilvl w:val="0"/>
          <w:numId w:val="6"/>
        </w:numPr>
        <w:spacing w:after="160" w:line="280" w:lineRule="exact"/>
        <w:ind w:left="340" w:hanging="340"/>
        <w:jc w:val="both"/>
        <w:rPr>
          <w:rFonts w:ascii="Arial" w:hAnsi="Arial" w:cs="Arial"/>
          <w:sz w:val="22"/>
          <w:szCs w:val="22"/>
          <w:lang w:val="el-GR"/>
        </w:rPr>
      </w:pPr>
      <w:r w:rsidRPr="001D7A36">
        <w:rPr>
          <w:rFonts w:ascii="Arial" w:hAnsi="Arial" w:cs="Arial"/>
          <w:sz w:val="22"/>
          <w:szCs w:val="22"/>
          <w:lang w:val="el-GR"/>
        </w:rPr>
        <w:t xml:space="preserve">Το </w:t>
      </w:r>
      <w:r w:rsidRPr="001D7A36">
        <w:rPr>
          <w:rFonts w:ascii="Arial" w:hAnsi="Arial" w:cs="Arial"/>
          <w:b/>
          <w:bCs/>
          <w:sz w:val="22"/>
          <w:szCs w:val="22"/>
          <w:lang w:val="el-GR"/>
        </w:rPr>
        <w:t xml:space="preserve">προσαρμοσμένο </w:t>
      </w:r>
      <w:r w:rsidRPr="00E026B6">
        <w:rPr>
          <w:rFonts w:ascii="Arial" w:hAnsi="Arial" w:cs="Arial"/>
          <w:b/>
          <w:bCs/>
          <w:sz w:val="22"/>
          <w:szCs w:val="22"/>
        </w:rPr>
        <w:t>EBITDA</w:t>
      </w:r>
      <w:r w:rsidRPr="001D7A36">
        <w:rPr>
          <w:rFonts w:ascii="Arial" w:hAnsi="Arial" w:cs="Arial"/>
          <w:sz w:val="22"/>
          <w:szCs w:val="22"/>
          <w:lang w:val="el-GR"/>
        </w:rPr>
        <w:t xml:space="preserve"> υπολογίζεται εξαιρώντας την επίδραση από τα κόστη σχετιζόμενα με προγράμματα εθελ</w:t>
      </w:r>
      <w:bookmarkStart w:id="8" w:name="_Hlt127543518"/>
      <w:bookmarkStart w:id="9" w:name="_Hlt127543519"/>
      <w:r w:rsidRPr="001D7A36">
        <w:rPr>
          <w:rFonts w:ascii="Arial" w:hAnsi="Arial" w:cs="Arial"/>
          <w:sz w:val="22"/>
          <w:szCs w:val="22"/>
          <w:lang w:val="el-GR"/>
        </w:rPr>
        <w:t>ο</w:t>
      </w:r>
      <w:bookmarkEnd w:id="8"/>
      <w:bookmarkEnd w:id="9"/>
      <w:r w:rsidRPr="001D7A36">
        <w:rPr>
          <w:rFonts w:ascii="Arial" w:hAnsi="Arial" w:cs="Arial"/>
          <w:sz w:val="22"/>
          <w:szCs w:val="22"/>
          <w:lang w:val="el-GR"/>
        </w:rPr>
        <w:t>ύσιας αποχώρησης</w:t>
      </w:r>
      <w:r w:rsidR="00162BAC">
        <w:rPr>
          <w:rFonts w:ascii="Arial" w:hAnsi="Arial" w:cs="Arial"/>
          <w:sz w:val="22"/>
          <w:szCs w:val="22"/>
          <w:lang w:val="el-GR"/>
        </w:rPr>
        <w:t xml:space="preserve"> και </w:t>
      </w:r>
      <w:r w:rsidRPr="001D7A36">
        <w:rPr>
          <w:rFonts w:ascii="Arial" w:hAnsi="Arial" w:cs="Arial"/>
          <w:sz w:val="22"/>
          <w:szCs w:val="22"/>
          <w:lang w:val="el-GR"/>
        </w:rPr>
        <w:t>λοιπά έξοδα αναδιοργάνωσης</w:t>
      </w:r>
      <w:r w:rsidR="00B75283" w:rsidRPr="00B75283">
        <w:rPr>
          <w:rFonts w:ascii="Arial" w:hAnsi="Arial" w:cs="Arial"/>
          <w:sz w:val="22"/>
          <w:szCs w:val="22"/>
          <w:lang w:val="el-GR"/>
        </w:rPr>
        <w:t>.</w:t>
      </w:r>
    </w:p>
    <w:p w14:paraId="1082AB2F" w14:textId="77777777" w:rsidR="009E285A" w:rsidRPr="001D7A36" w:rsidRDefault="009E285A" w:rsidP="000A16E4">
      <w:pPr>
        <w:pStyle w:val="ListParagraph"/>
        <w:numPr>
          <w:ilvl w:val="0"/>
          <w:numId w:val="6"/>
        </w:numPr>
        <w:spacing w:after="160" w:line="280" w:lineRule="exact"/>
        <w:ind w:left="340" w:hanging="340"/>
        <w:jc w:val="both"/>
        <w:rPr>
          <w:rFonts w:ascii="Arial" w:hAnsi="Arial" w:cs="Arial"/>
          <w:sz w:val="22"/>
          <w:szCs w:val="22"/>
          <w:lang w:val="el-GR"/>
        </w:rPr>
      </w:pPr>
      <w:r w:rsidRPr="001D7A36">
        <w:rPr>
          <w:rFonts w:ascii="Arial" w:hAnsi="Arial" w:cs="Arial"/>
          <w:b/>
          <w:bCs/>
          <w:sz w:val="22"/>
          <w:szCs w:val="22"/>
          <w:lang w:val="el-GR"/>
        </w:rPr>
        <w:t xml:space="preserve">Προσαρμοσμένο </w:t>
      </w:r>
      <w:r w:rsidRPr="00E026B6">
        <w:rPr>
          <w:rFonts w:ascii="Arial" w:hAnsi="Arial" w:cs="Arial"/>
          <w:b/>
          <w:bCs/>
          <w:sz w:val="22"/>
          <w:szCs w:val="22"/>
        </w:rPr>
        <w:t>EBITDA</w:t>
      </w:r>
      <w:r w:rsidRPr="001D7A36">
        <w:rPr>
          <w:rFonts w:ascii="Arial" w:hAnsi="Arial" w:cs="Arial"/>
          <w:b/>
          <w:bCs/>
          <w:sz w:val="22"/>
          <w:szCs w:val="22"/>
          <w:lang w:val="el-GR"/>
        </w:rPr>
        <w:t xml:space="preserve"> μετά από μισθώσεις (</w:t>
      </w:r>
      <w:r w:rsidRPr="00E026B6">
        <w:rPr>
          <w:rFonts w:ascii="Arial" w:hAnsi="Arial" w:cs="Arial"/>
          <w:b/>
          <w:bCs/>
          <w:sz w:val="22"/>
          <w:szCs w:val="22"/>
        </w:rPr>
        <w:t>AL</w:t>
      </w:r>
      <w:r w:rsidRPr="001D7A36">
        <w:rPr>
          <w:rFonts w:ascii="Arial" w:hAnsi="Arial" w:cs="Arial"/>
          <w:b/>
          <w:bCs/>
          <w:sz w:val="22"/>
          <w:szCs w:val="22"/>
          <w:lang w:val="el-GR"/>
        </w:rPr>
        <w:t>):</w:t>
      </w:r>
      <w:r w:rsidRPr="001D7A36">
        <w:rPr>
          <w:rFonts w:ascii="Arial" w:hAnsi="Arial" w:cs="Arial"/>
          <w:sz w:val="22"/>
          <w:szCs w:val="22"/>
          <w:lang w:val="el-GR"/>
        </w:rPr>
        <w:t xml:space="preserve"> </w:t>
      </w:r>
      <w:r w:rsidRPr="00E026B6">
        <w:rPr>
          <w:rFonts w:ascii="Arial" w:hAnsi="Arial" w:cs="Arial"/>
          <w:sz w:val="22"/>
          <w:szCs w:val="22"/>
        </w:rPr>
        <w:t>M</w:t>
      </w:r>
      <w:proofErr w:type="spellStart"/>
      <w:r w:rsidRPr="001D7A36">
        <w:rPr>
          <w:rFonts w:ascii="Arial" w:hAnsi="Arial" w:cs="Arial"/>
          <w:sz w:val="22"/>
          <w:szCs w:val="22"/>
          <w:lang w:val="el-GR"/>
        </w:rPr>
        <w:t>ετά</w:t>
      </w:r>
      <w:proofErr w:type="spellEnd"/>
      <w:r w:rsidRPr="001D7A36">
        <w:rPr>
          <w:rFonts w:ascii="Arial" w:hAnsi="Arial" w:cs="Arial"/>
          <w:sz w:val="22"/>
          <w:szCs w:val="22"/>
          <w:lang w:val="el-GR"/>
        </w:rPr>
        <w:t xml:space="preserve"> την εφαρμογή του ΔΠΧΑ 16 σχετικά με τις μισθώσεις, είναι κοινή πρακτική του κλάδου η χρήση του </w:t>
      </w:r>
      <w:r w:rsidRPr="00E026B6">
        <w:rPr>
          <w:rFonts w:ascii="Arial" w:hAnsi="Arial" w:cs="Arial"/>
          <w:sz w:val="22"/>
          <w:szCs w:val="22"/>
        </w:rPr>
        <w:t>EBITDA</w:t>
      </w:r>
      <w:r w:rsidRPr="001D7A36">
        <w:rPr>
          <w:rFonts w:ascii="Arial" w:hAnsi="Arial" w:cs="Arial"/>
          <w:sz w:val="22"/>
          <w:szCs w:val="22"/>
          <w:lang w:val="el-GR"/>
        </w:rPr>
        <w:t xml:space="preserve"> μετά από μισθώσεις (</w:t>
      </w:r>
      <w:r w:rsidRPr="00E026B6">
        <w:rPr>
          <w:rFonts w:ascii="Arial" w:hAnsi="Arial" w:cs="Arial"/>
          <w:sz w:val="22"/>
          <w:szCs w:val="22"/>
        </w:rPr>
        <w:t>AL</w:t>
      </w:r>
      <w:r w:rsidRPr="001D7A36">
        <w:rPr>
          <w:rFonts w:ascii="Arial" w:hAnsi="Arial" w:cs="Arial"/>
          <w:sz w:val="22"/>
          <w:szCs w:val="22"/>
          <w:lang w:val="el-GR"/>
        </w:rPr>
        <w:t xml:space="preserve">) ή του Προσαρμοσμένου </w:t>
      </w:r>
      <w:r w:rsidRPr="00E026B6">
        <w:rPr>
          <w:rFonts w:ascii="Arial" w:hAnsi="Arial" w:cs="Arial"/>
          <w:sz w:val="22"/>
          <w:szCs w:val="22"/>
        </w:rPr>
        <w:t>EBITDA</w:t>
      </w:r>
      <w:r w:rsidRPr="001D7A36">
        <w:rPr>
          <w:rFonts w:ascii="Arial" w:hAnsi="Arial" w:cs="Arial"/>
          <w:sz w:val="22"/>
          <w:szCs w:val="22"/>
          <w:lang w:val="el-GR"/>
        </w:rPr>
        <w:t xml:space="preserve"> μετά από μισθώσεις (</w:t>
      </w:r>
      <w:r w:rsidRPr="00E026B6">
        <w:rPr>
          <w:rFonts w:ascii="Arial" w:hAnsi="Arial" w:cs="Arial"/>
          <w:sz w:val="22"/>
          <w:szCs w:val="22"/>
        </w:rPr>
        <w:t>AL</w:t>
      </w:r>
      <w:r w:rsidRPr="001D7A36">
        <w:rPr>
          <w:rFonts w:ascii="Arial" w:hAnsi="Arial" w:cs="Arial"/>
          <w:sz w:val="22"/>
          <w:szCs w:val="22"/>
          <w:lang w:val="el-GR"/>
        </w:rPr>
        <w:t xml:space="preserve">) προκειμένου να διευκολυνθεί η σύγκριση μεταξύ των εταιρειών της αγοράς τηλεπικοινωνιών καθώς και η σύγκριση με τα ιστορικά στοιχεία. Το Προσαρμοσμένο </w:t>
      </w:r>
      <w:r w:rsidRPr="00E026B6">
        <w:rPr>
          <w:rFonts w:ascii="Arial" w:hAnsi="Arial" w:cs="Arial"/>
          <w:sz w:val="22"/>
          <w:szCs w:val="22"/>
        </w:rPr>
        <w:t>EBITDA</w:t>
      </w:r>
      <w:r w:rsidRPr="001D7A36">
        <w:rPr>
          <w:rFonts w:ascii="Arial" w:hAnsi="Arial" w:cs="Arial"/>
          <w:sz w:val="22"/>
          <w:szCs w:val="22"/>
          <w:lang w:val="el-GR"/>
        </w:rPr>
        <w:t xml:space="preserve"> μετά από μισθώσεις (</w:t>
      </w:r>
      <w:r w:rsidRPr="00E026B6">
        <w:rPr>
          <w:rFonts w:ascii="Arial" w:hAnsi="Arial" w:cs="Arial"/>
          <w:sz w:val="22"/>
          <w:szCs w:val="22"/>
        </w:rPr>
        <w:t>AL</w:t>
      </w:r>
      <w:r w:rsidRPr="001D7A36">
        <w:rPr>
          <w:rFonts w:ascii="Arial" w:hAnsi="Arial" w:cs="Arial"/>
          <w:sz w:val="22"/>
          <w:szCs w:val="22"/>
          <w:lang w:val="el-GR"/>
        </w:rPr>
        <w:t xml:space="preserve">) ορίζεται ως το Προσαρμοσμένο </w:t>
      </w:r>
      <w:r w:rsidRPr="00E026B6">
        <w:rPr>
          <w:rFonts w:ascii="Arial" w:hAnsi="Arial" w:cs="Arial"/>
          <w:sz w:val="22"/>
          <w:szCs w:val="22"/>
        </w:rPr>
        <w:t>EBITDA</w:t>
      </w:r>
      <w:r w:rsidRPr="001D7A36">
        <w:rPr>
          <w:rFonts w:ascii="Arial" w:hAnsi="Arial" w:cs="Arial"/>
          <w:sz w:val="22"/>
          <w:szCs w:val="22"/>
          <w:lang w:val="el-GR"/>
        </w:rPr>
        <w:t xml:space="preserve"> αφαιρώντας τις αποσβέσεις και τους τόκους που σχετίζονται με μισθώσεις. </w:t>
      </w:r>
    </w:p>
    <w:p w14:paraId="7FEDE6D6" w14:textId="58CB6E3C" w:rsidR="00A32CE2" w:rsidRDefault="009E285A" w:rsidP="00E026B6">
      <w:pPr>
        <w:spacing w:after="0" w:line="240" w:lineRule="auto"/>
        <w:jc w:val="both"/>
        <w:rPr>
          <w:rFonts w:ascii="Arial" w:eastAsia="Times New Roman" w:hAnsi="Arial" w:cs="Arial"/>
        </w:rPr>
      </w:pPr>
      <w:r w:rsidRPr="00E026B6">
        <w:rPr>
          <w:rFonts w:ascii="Arial" w:eastAsia="Times New Roman" w:hAnsi="Arial" w:cs="Arial"/>
        </w:rPr>
        <w:t xml:space="preserve">Τα περιθώρια </w:t>
      </w:r>
      <w:r w:rsidRPr="00E026B6">
        <w:rPr>
          <w:rFonts w:ascii="Arial" w:eastAsia="Times New Roman" w:hAnsi="Arial" w:cs="Arial"/>
          <w:lang w:val="en-US"/>
        </w:rPr>
        <w:t>EBITDA</w:t>
      </w:r>
      <w:r w:rsidRPr="00E026B6">
        <w:rPr>
          <w:rFonts w:ascii="Arial" w:eastAsia="Times New Roman" w:hAnsi="Arial" w:cs="Arial"/>
        </w:rPr>
        <w:t xml:space="preserve">, Προσαρμοσμένο </w:t>
      </w:r>
      <w:r w:rsidRPr="00E026B6">
        <w:rPr>
          <w:rFonts w:ascii="Arial" w:eastAsia="Times New Roman" w:hAnsi="Arial" w:cs="Arial"/>
          <w:lang w:val="en-US"/>
        </w:rPr>
        <w:t>EBITDA</w:t>
      </w:r>
      <w:r w:rsidRPr="00E026B6">
        <w:rPr>
          <w:rFonts w:ascii="Arial" w:eastAsia="Times New Roman" w:hAnsi="Arial" w:cs="Arial"/>
        </w:rPr>
        <w:t xml:space="preserve"> και Προσαρμοσμένο </w:t>
      </w:r>
      <w:r w:rsidRPr="00E026B6">
        <w:rPr>
          <w:rFonts w:ascii="Arial" w:eastAsia="Times New Roman" w:hAnsi="Arial" w:cs="Arial"/>
          <w:lang w:val="en-US"/>
        </w:rPr>
        <w:t>EBITDA</w:t>
      </w:r>
      <w:r w:rsidRPr="00E026B6">
        <w:rPr>
          <w:rFonts w:ascii="Arial" w:eastAsia="Times New Roman" w:hAnsi="Arial" w:cs="Arial"/>
        </w:rPr>
        <w:t xml:space="preserve"> μετά από μισθώσεις (</w:t>
      </w:r>
      <w:r w:rsidRPr="00E026B6">
        <w:rPr>
          <w:rFonts w:ascii="Arial" w:eastAsia="Times New Roman" w:hAnsi="Arial" w:cs="Arial"/>
          <w:lang w:val="en-US"/>
        </w:rPr>
        <w:t>AL</w:t>
      </w:r>
      <w:r w:rsidRPr="00E026B6">
        <w:rPr>
          <w:rFonts w:ascii="Arial" w:eastAsia="Times New Roman" w:hAnsi="Arial" w:cs="Arial"/>
        </w:rPr>
        <w:t xml:space="preserve">) (%) υπολογίζονται διαιρώντας τα αντίστοιχα </w:t>
      </w:r>
      <w:r w:rsidRPr="00E026B6">
        <w:rPr>
          <w:rFonts w:ascii="Arial" w:eastAsia="Times New Roman" w:hAnsi="Arial" w:cs="Arial"/>
          <w:lang w:val="en-US"/>
        </w:rPr>
        <w:t>EBITDA</w:t>
      </w:r>
      <w:r w:rsidRPr="00E026B6">
        <w:rPr>
          <w:rFonts w:ascii="Arial" w:eastAsia="Times New Roman" w:hAnsi="Arial" w:cs="Arial"/>
        </w:rPr>
        <w:t xml:space="preserve"> με το σύνολο του κύκλου εργασιών. </w:t>
      </w:r>
    </w:p>
    <w:p w14:paraId="0F50E085" w14:textId="77777777" w:rsidR="00A32CE2" w:rsidRDefault="00A32CE2">
      <w:pPr>
        <w:rPr>
          <w:rFonts w:ascii="Arial" w:eastAsia="Times New Roman" w:hAnsi="Arial" w:cs="Arial"/>
        </w:rPr>
      </w:pPr>
      <w:r>
        <w:rPr>
          <w:rFonts w:ascii="Arial" w:eastAsia="Times New Roman" w:hAnsi="Arial" w:cs="Arial"/>
        </w:rPr>
        <w:br w:type="page"/>
      </w:r>
    </w:p>
    <w:p w14:paraId="55BDD01B" w14:textId="5FA1F3C6" w:rsidR="00386EA0" w:rsidRPr="00FB20CB" w:rsidRDefault="00BC2A75" w:rsidP="00BC2A75">
      <w:pPr>
        <w:pStyle w:val="Caption"/>
        <w:keepNext/>
        <w:rPr>
          <w:rFonts w:cs="Arial"/>
          <w:lang w:val="el-GR"/>
        </w:rPr>
      </w:pPr>
      <w:r w:rsidRPr="00FB20CB">
        <w:rPr>
          <w:rFonts w:cs="Arial"/>
        </w:rPr>
        <w:lastRenderedPageBreak/>
        <w:t xml:space="preserve">EBITDA </w:t>
      </w:r>
    </w:p>
    <w:tbl>
      <w:tblPr>
        <w:tblStyle w:val="TableGrid"/>
        <w:tblW w:w="10562" w:type="dxa"/>
        <w:tblBorders>
          <w:top w:val="single" w:sz="2" w:space="0" w:color="BFBFBF" w:themeColor="background1" w:themeShade="BF"/>
          <w:left w:val="none" w:sz="0" w:space="0" w:color="auto"/>
          <w:bottom w:val="single" w:sz="2" w:space="0" w:color="BFBFBF" w:themeColor="background1" w:themeShade="BF"/>
          <w:right w:val="none" w:sz="0" w:space="0" w:color="auto"/>
          <w:insideH w:val="none" w:sz="0" w:space="0" w:color="auto"/>
          <w:insideV w:val="none" w:sz="0" w:space="0" w:color="auto"/>
        </w:tblBorders>
        <w:tblLook w:val="04A0" w:firstRow="1" w:lastRow="0" w:firstColumn="1" w:lastColumn="0" w:noHBand="0" w:noVBand="1"/>
      </w:tblPr>
      <w:tblGrid>
        <w:gridCol w:w="4186"/>
        <w:gridCol w:w="1594"/>
        <w:gridCol w:w="1594"/>
        <w:gridCol w:w="1594"/>
        <w:gridCol w:w="1594"/>
      </w:tblGrid>
      <w:tr w:rsidR="00A32CE2" w14:paraId="1BE20998" w14:textId="77777777" w:rsidTr="001F1F41">
        <w:trPr>
          <w:trHeight w:val="402"/>
          <w:tblHeader/>
        </w:trPr>
        <w:tc>
          <w:tcPr>
            <w:tcW w:w="4186" w:type="dxa"/>
            <w:tcBorders>
              <w:top w:val="single" w:sz="2" w:space="0" w:color="BFBFBF" w:themeColor="background1" w:themeShade="BF"/>
              <w:bottom w:val="single" w:sz="2" w:space="0" w:color="BFBFBF" w:themeColor="background1" w:themeShade="BF"/>
              <w:right w:val="single" w:sz="2" w:space="0" w:color="BFBFBF" w:themeColor="background1" w:themeShade="BF"/>
            </w:tcBorders>
            <w:vAlign w:val="center"/>
          </w:tcPr>
          <w:p w14:paraId="695DCBDF" w14:textId="7B0BBC83" w:rsidR="00A32CE2" w:rsidRPr="00FB20CB" w:rsidRDefault="00B249DB" w:rsidP="001F1F41">
            <w:pPr>
              <w:rPr>
                <w:rFonts w:ascii="Arial" w:hAnsi="Arial" w:cs="Arial"/>
                <w:szCs w:val="22"/>
                <w:lang w:eastAsia="el-GR"/>
              </w:rPr>
            </w:pPr>
            <w:bookmarkStart w:id="10" w:name="_Hlk125459013"/>
            <w:proofErr w:type="spellStart"/>
            <w:r w:rsidRPr="00A7639D">
              <w:rPr>
                <w:rFonts w:ascii="Arial" w:hAnsi="Arial" w:cs="Arial"/>
                <w:b/>
                <w:sz w:val="18"/>
                <w:szCs w:val="18"/>
              </w:rPr>
              <w:t>Όμιλος</w:t>
            </w:r>
            <w:proofErr w:type="spellEnd"/>
            <w:r w:rsidRPr="00A7639D">
              <w:rPr>
                <w:rFonts w:ascii="Arial" w:hAnsi="Arial" w:cs="Arial"/>
                <w:b/>
                <w:sz w:val="18"/>
                <w:szCs w:val="18"/>
              </w:rPr>
              <w:t xml:space="preserve"> ΟΤΕ </w:t>
            </w:r>
            <w:r>
              <w:rPr>
                <w:rFonts w:ascii="Arial" w:hAnsi="Arial" w:cs="Arial"/>
                <w:b/>
                <w:sz w:val="18"/>
                <w:szCs w:val="18"/>
              </w:rPr>
              <w:t>(</w:t>
            </w:r>
            <w:proofErr w:type="spellStart"/>
            <w:r w:rsidRPr="00A7639D">
              <w:rPr>
                <w:rFonts w:ascii="Arial" w:hAnsi="Arial" w:cs="Arial"/>
                <w:b/>
                <w:sz w:val="18"/>
                <w:szCs w:val="18"/>
              </w:rPr>
              <w:t>Ευρώ</w:t>
            </w:r>
            <w:proofErr w:type="spellEnd"/>
            <w:r w:rsidRPr="00A7639D">
              <w:rPr>
                <w:rFonts w:ascii="Arial" w:hAnsi="Arial" w:cs="Arial"/>
                <w:b/>
                <w:sz w:val="18"/>
                <w:szCs w:val="18"/>
              </w:rPr>
              <w:t xml:space="preserve"> </w:t>
            </w:r>
            <w:proofErr w:type="spellStart"/>
            <w:r w:rsidRPr="00A7639D">
              <w:rPr>
                <w:rFonts w:ascii="Arial" w:hAnsi="Arial" w:cs="Arial"/>
                <w:b/>
                <w:sz w:val="18"/>
                <w:szCs w:val="18"/>
              </w:rPr>
              <w:t>εκ</w:t>
            </w:r>
            <w:proofErr w:type="spellEnd"/>
            <w:r w:rsidRPr="00A7639D">
              <w:rPr>
                <w:rFonts w:ascii="Arial" w:hAnsi="Arial" w:cs="Arial"/>
                <w:b/>
                <w:sz w:val="18"/>
                <w:szCs w:val="18"/>
              </w:rPr>
              <w:t>ατ.)</w:t>
            </w:r>
          </w:p>
        </w:tc>
        <w:tc>
          <w:tcPr>
            <w:tcW w:w="1594" w:type="dxa"/>
            <w:tcBorders>
              <w:top w:val="single" w:sz="2" w:space="0" w:color="BFBFBF" w:themeColor="background1" w:themeShade="BF"/>
              <w:left w:val="single" w:sz="2" w:space="0" w:color="BFBFBF" w:themeColor="background1" w:themeShade="BF"/>
              <w:bottom w:val="single" w:sz="2" w:space="0" w:color="BFBFBF" w:themeColor="background1" w:themeShade="BF"/>
            </w:tcBorders>
            <w:vAlign w:val="center"/>
          </w:tcPr>
          <w:p w14:paraId="4E630A85" w14:textId="77777777" w:rsidR="00A32CE2" w:rsidRPr="00FB20CB" w:rsidRDefault="00A32CE2" w:rsidP="001F1F41">
            <w:pPr>
              <w:jc w:val="right"/>
              <w:rPr>
                <w:rFonts w:ascii="Arial" w:hAnsi="Arial" w:cs="Arial"/>
                <w:b/>
                <w:color w:val="000000"/>
                <w:szCs w:val="22"/>
                <w:lang w:val="el-GR" w:eastAsia="el-GR"/>
              </w:rPr>
            </w:pPr>
            <w:r w:rsidRPr="00047C99">
              <w:rPr>
                <w:rFonts w:ascii="Arial" w:hAnsi="Arial" w:cs="Arial"/>
                <w:b/>
                <w:sz w:val="18"/>
              </w:rPr>
              <w:t>Q</w:t>
            </w:r>
            <w:r>
              <w:rPr>
                <w:rFonts w:ascii="Arial" w:hAnsi="Arial" w:cs="Arial"/>
                <w:b/>
                <w:sz w:val="18"/>
              </w:rPr>
              <w:t>3</w:t>
            </w:r>
            <w:r w:rsidRPr="00047C99">
              <w:rPr>
                <w:rFonts w:ascii="Arial" w:hAnsi="Arial" w:cs="Arial"/>
                <w:b/>
                <w:sz w:val="18"/>
              </w:rPr>
              <w:t>'25</w:t>
            </w:r>
          </w:p>
        </w:tc>
        <w:tc>
          <w:tcPr>
            <w:tcW w:w="1594" w:type="dxa"/>
            <w:tcBorders>
              <w:top w:val="single" w:sz="2" w:space="0" w:color="BFBFBF" w:themeColor="background1" w:themeShade="BF"/>
              <w:bottom w:val="single" w:sz="2" w:space="0" w:color="BFBFBF" w:themeColor="background1" w:themeShade="BF"/>
              <w:right w:val="single" w:sz="2" w:space="0" w:color="BFBFBF" w:themeColor="background1" w:themeShade="BF"/>
            </w:tcBorders>
            <w:vAlign w:val="center"/>
          </w:tcPr>
          <w:p w14:paraId="4897685B" w14:textId="77777777" w:rsidR="00A32CE2" w:rsidRPr="00FB20CB" w:rsidRDefault="00A32CE2" w:rsidP="001F1F41">
            <w:pPr>
              <w:jc w:val="right"/>
              <w:rPr>
                <w:rFonts w:ascii="Arial" w:hAnsi="Arial" w:cs="Arial"/>
                <w:b/>
                <w:color w:val="000000"/>
                <w:szCs w:val="22"/>
                <w:lang w:val="el-GR" w:eastAsia="el-GR"/>
              </w:rPr>
            </w:pPr>
            <w:r w:rsidRPr="00047C99">
              <w:rPr>
                <w:rFonts w:ascii="Arial" w:hAnsi="Arial" w:cs="Arial"/>
                <w:b/>
                <w:sz w:val="18"/>
              </w:rPr>
              <w:t>Q</w:t>
            </w:r>
            <w:r>
              <w:rPr>
                <w:rFonts w:ascii="Arial" w:hAnsi="Arial" w:cs="Arial"/>
                <w:b/>
                <w:sz w:val="18"/>
              </w:rPr>
              <w:t>3</w:t>
            </w:r>
            <w:r w:rsidRPr="00047C99">
              <w:rPr>
                <w:rFonts w:ascii="Arial" w:hAnsi="Arial" w:cs="Arial"/>
                <w:b/>
                <w:sz w:val="18"/>
              </w:rPr>
              <w:t>'24</w:t>
            </w:r>
          </w:p>
        </w:tc>
        <w:tc>
          <w:tcPr>
            <w:tcW w:w="1594" w:type="dxa"/>
            <w:tcBorders>
              <w:top w:val="single" w:sz="2" w:space="0" w:color="BFBFBF" w:themeColor="background1" w:themeShade="BF"/>
              <w:left w:val="single" w:sz="2" w:space="0" w:color="BFBFBF" w:themeColor="background1" w:themeShade="BF"/>
              <w:bottom w:val="single" w:sz="2" w:space="0" w:color="BFBFBF" w:themeColor="background1" w:themeShade="BF"/>
            </w:tcBorders>
            <w:vAlign w:val="center"/>
          </w:tcPr>
          <w:p w14:paraId="738B554E" w14:textId="77777777" w:rsidR="00A32CE2" w:rsidRPr="00FB20CB" w:rsidRDefault="00A32CE2" w:rsidP="001F1F41">
            <w:pPr>
              <w:jc w:val="right"/>
              <w:rPr>
                <w:rFonts w:ascii="Arial" w:hAnsi="Arial" w:cs="Arial"/>
                <w:b/>
                <w:color w:val="000000"/>
                <w:szCs w:val="22"/>
                <w:lang w:val="el-GR" w:eastAsia="el-GR"/>
              </w:rPr>
            </w:pPr>
            <w:r>
              <w:rPr>
                <w:rFonts w:ascii="Arial" w:hAnsi="Arial" w:cs="Arial"/>
                <w:b/>
                <w:sz w:val="18"/>
              </w:rPr>
              <w:t>9</w:t>
            </w:r>
            <w:r w:rsidRPr="00214FE3">
              <w:rPr>
                <w:rFonts w:ascii="Arial" w:hAnsi="Arial" w:cs="Arial"/>
                <w:b/>
                <w:sz w:val="18"/>
              </w:rPr>
              <w:t>M'25</w:t>
            </w:r>
          </w:p>
        </w:tc>
        <w:tc>
          <w:tcPr>
            <w:tcW w:w="1594" w:type="dxa"/>
            <w:tcBorders>
              <w:top w:val="single" w:sz="2" w:space="0" w:color="BFBFBF" w:themeColor="background1" w:themeShade="BF"/>
              <w:bottom w:val="single" w:sz="2" w:space="0" w:color="BFBFBF" w:themeColor="background1" w:themeShade="BF"/>
            </w:tcBorders>
            <w:vAlign w:val="center"/>
          </w:tcPr>
          <w:p w14:paraId="435480E7" w14:textId="77777777" w:rsidR="00A32CE2" w:rsidRPr="00FB20CB" w:rsidRDefault="00A32CE2" w:rsidP="001F1F41">
            <w:pPr>
              <w:jc w:val="right"/>
              <w:rPr>
                <w:rFonts w:ascii="Arial" w:hAnsi="Arial" w:cs="Arial"/>
                <w:b/>
                <w:color w:val="000000"/>
                <w:szCs w:val="22"/>
                <w:lang w:val="el-GR" w:eastAsia="el-GR"/>
              </w:rPr>
            </w:pPr>
            <w:r>
              <w:rPr>
                <w:rFonts w:ascii="Arial" w:hAnsi="Arial" w:cs="Arial"/>
                <w:b/>
                <w:sz w:val="18"/>
              </w:rPr>
              <w:t>9</w:t>
            </w:r>
            <w:r w:rsidRPr="00214FE3">
              <w:rPr>
                <w:rFonts w:ascii="Arial" w:hAnsi="Arial" w:cs="Arial"/>
                <w:b/>
                <w:sz w:val="18"/>
              </w:rPr>
              <w:t>M’24</w:t>
            </w:r>
          </w:p>
        </w:tc>
      </w:tr>
      <w:tr w:rsidR="00A32CE2" w14:paraId="3B467EF4" w14:textId="77777777" w:rsidTr="001F1F41">
        <w:trPr>
          <w:trHeight w:val="252"/>
        </w:trPr>
        <w:tc>
          <w:tcPr>
            <w:tcW w:w="4186" w:type="dxa"/>
            <w:tcBorders>
              <w:top w:val="single" w:sz="2" w:space="0" w:color="BFBFBF" w:themeColor="background1" w:themeShade="BF"/>
              <w:bottom w:val="nil"/>
              <w:right w:val="single" w:sz="2" w:space="0" w:color="BFBFBF" w:themeColor="background1" w:themeShade="BF"/>
            </w:tcBorders>
            <w:shd w:val="clear" w:color="auto" w:fill="F2F2F2" w:themeFill="background1" w:themeFillShade="F2"/>
            <w:vAlign w:val="center"/>
          </w:tcPr>
          <w:p w14:paraId="4996C05E" w14:textId="023CCABC" w:rsidR="00A32CE2" w:rsidRPr="00FB20CB" w:rsidRDefault="00A32CE2" w:rsidP="001F1F41">
            <w:pPr>
              <w:rPr>
                <w:rFonts w:ascii="Arial" w:hAnsi="Arial" w:cs="Arial"/>
                <w:szCs w:val="22"/>
                <w:lang w:eastAsia="el-GR"/>
              </w:rPr>
            </w:pPr>
            <w:r>
              <w:rPr>
                <w:rFonts w:ascii="Arial" w:hAnsi="Arial" w:cs="Arial"/>
                <w:b/>
                <w:bCs/>
                <w:sz w:val="18"/>
                <w:szCs w:val="18"/>
                <w:lang w:val="el-GR"/>
              </w:rPr>
              <w:t>Σύνολο κύκλου εργασιών</w:t>
            </w:r>
          </w:p>
        </w:tc>
        <w:tc>
          <w:tcPr>
            <w:tcW w:w="1594" w:type="dxa"/>
            <w:tcBorders>
              <w:top w:val="single" w:sz="2" w:space="0" w:color="BFBFBF" w:themeColor="background1" w:themeShade="BF"/>
              <w:left w:val="single" w:sz="2" w:space="0" w:color="BFBFBF" w:themeColor="background1" w:themeShade="BF"/>
              <w:bottom w:val="nil"/>
            </w:tcBorders>
            <w:shd w:val="clear" w:color="auto" w:fill="F2F2F2" w:themeFill="background1" w:themeFillShade="F2"/>
            <w:vAlign w:val="center"/>
          </w:tcPr>
          <w:p w14:paraId="375EC02C" w14:textId="6B64E683" w:rsidR="00A32CE2" w:rsidRPr="00FB20CB" w:rsidRDefault="00A32CE2" w:rsidP="001F1F41">
            <w:pPr>
              <w:jc w:val="right"/>
              <w:rPr>
                <w:rFonts w:ascii="Arial" w:hAnsi="Arial" w:cs="Arial"/>
                <w:color w:val="000000"/>
                <w:szCs w:val="22"/>
                <w:lang w:val="el-GR" w:eastAsia="el-GR"/>
              </w:rPr>
            </w:pPr>
            <w:r>
              <w:rPr>
                <w:rFonts w:ascii="Arial" w:hAnsi="Arial" w:cs="Arial"/>
                <w:color w:val="000000"/>
                <w:sz w:val="18"/>
                <w:szCs w:val="18"/>
              </w:rPr>
              <w:t>874</w:t>
            </w:r>
            <w:r w:rsidR="008E4D94">
              <w:rPr>
                <w:rFonts w:ascii="Arial" w:hAnsi="Arial" w:cs="Arial"/>
                <w:color w:val="000000"/>
                <w:sz w:val="18"/>
                <w:szCs w:val="18"/>
              </w:rPr>
              <w:t>,</w:t>
            </w:r>
            <w:r>
              <w:rPr>
                <w:rFonts w:ascii="Arial" w:hAnsi="Arial" w:cs="Arial"/>
                <w:color w:val="000000"/>
                <w:sz w:val="18"/>
                <w:szCs w:val="18"/>
              </w:rPr>
              <w:t>0</w:t>
            </w:r>
          </w:p>
        </w:tc>
        <w:tc>
          <w:tcPr>
            <w:tcW w:w="1594" w:type="dxa"/>
            <w:tcBorders>
              <w:top w:val="single" w:sz="2" w:space="0" w:color="BFBFBF" w:themeColor="background1" w:themeShade="BF"/>
              <w:bottom w:val="nil"/>
              <w:right w:val="single" w:sz="2" w:space="0" w:color="BFBFBF" w:themeColor="background1" w:themeShade="BF"/>
            </w:tcBorders>
            <w:shd w:val="clear" w:color="auto" w:fill="F2F2F2" w:themeFill="background1" w:themeFillShade="F2"/>
            <w:vAlign w:val="center"/>
          </w:tcPr>
          <w:p w14:paraId="48FF32A6" w14:textId="34F5B2E5" w:rsidR="00A32CE2" w:rsidRPr="00FB20CB" w:rsidRDefault="00A32CE2" w:rsidP="001F1F41">
            <w:pPr>
              <w:jc w:val="right"/>
              <w:rPr>
                <w:rFonts w:ascii="Arial" w:hAnsi="Arial" w:cs="Arial"/>
                <w:color w:val="000000"/>
                <w:szCs w:val="22"/>
                <w:lang w:val="el-GR" w:eastAsia="el-GR"/>
              </w:rPr>
            </w:pPr>
            <w:r>
              <w:rPr>
                <w:rFonts w:ascii="Arial" w:hAnsi="Arial" w:cs="Arial"/>
                <w:color w:val="000000"/>
                <w:sz w:val="18"/>
                <w:szCs w:val="18"/>
              </w:rPr>
              <w:t>832</w:t>
            </w:r>
            <w:r w:rsidR="008E4D94">
              <w:rPr>
                <w:rFonts w:ascii="Arial" w:hAnsi="Arial" w:cs="Arial"/>
                <w:color w:val="000000"/>
                <w:sz w:val="18"/>
                <w:szCs w:val="18"/>
              </w:rPr>
              <w:t>,</w:t>
            </w:r>
            <w:r>
              <w:rPr>
                <w:rFonts w:ascii="Arial" w:hAnsi="Arial" w:cs="Arial"/>
                <w:color w:val="000000"/>
                <w:sz w:val="18"/>
                <w:szCs w:val="18"/>
              </w:rPr>
              <w:t>5</w:t>
            </w:r>
          </w:p>
        </w:tc>
        <w:tc>
          <w:tcPr>
            <w:tcW w:w="1594" w:type="dxa"/>
            <w:tcBorders>
              <w:top w:val="single" w:sz="2" w:space="0" w:color="BFBFBF" w:themeColor="background1" w:themeShade="BF"/>
              <w:left w:val="single" w:sz="2" w:space="0" w:color="BFBFBF" w:themeColor="background1" w:themeShade="BF"/>
              <w:bottom w:val="nil"/>
            </w:tcBorders>
            <w:shd w:val="clear" w:color="auto" w:fill="F2F2F2" w:themeFill="background1" w:themeFillShade="F2"/>
            <w:vAlign w:val="center"/>
          </w:tcPr>
          <w:p w14:paraId="0146DBE8" w14:textId="416CD685" w:rsidR="00A32CE2" w:rsidRPr="00FB20CB" w:rsidRDefault="00A32CE2" w:rsidP="001F1F41">
            <w:pPr>
              <w:jc w:val="right"/>
              <w:rPr>
                <w:rFonts w:ascii="Arial" w:hAnsi="Arial" w:cs="Arial"/>
                <w:color w:val="000000"/>
                <w:szCs w:val="22"/>
                <w:lang w:val="el-GR" w:eastAsia="el-GR"/>
              </w:rPr>
            </w:pPr>
            <w:r>
              <w:rPr>
                <w:rFonts w:ascii="Arial" w:hAnsi="Arial" w:cs="Arial"/>
                <w:color w:val="000000"/>
                <w:sz w:val="18"/>
                <w:szCs w:val="18"/>
              </w:rPr>
              <w:t>2</w:t>
            </w:r>
            <w:r w:rsidR="008E4D94">
              <w:rPr>
                <w:rFonts w:ascii="Arial" w:hAnsi="Arial" w:cs="Arial"/>
                <w:color w:val="000000"/>
                <w:sz w:val="18"/>
                <w:szCs w:val="18"/>
              </w:rPr>
              <w:t>.</w:t>
            </w:r>
            <w:r>
              <w:rPr>
                <w:rFonts w:ascii="Arial" w:hAnsi="Arial" w:cs="Arial"/>
                <w:color w:val="000000"/>
                <w:sz w:val="18"/>
                <w:szCs w:val="18"/>
              </w:rPr>
              <w:t>548</w:t>
            </w:r>
            <w:r w:rsidR="008E4D94">
              <w:rPr>
                <w:rFonts w:ascii="Arial" w:hAnsi="Arial" w:cs="Arial"/>
                <w:color w:val="000000"/>
                <w:sz w:val="18"/>
                <w:szCs w:val="18"/>
              </w:rPr>
              <w:t>,</w:t>
            </w:r>
            <w:r>
              <w:rPr>
                <w:rFonts w:ascii="Arial" w:hAnsi="Arial" w:cs="Arial"/>
                <w:color w:val="000000"/>
                <w:sz w:val="18"/>
                <w:szCs w:val="18"/>
              </w:rPr>
              <w:t>0</w:t>
            </w:r>
          </w:p>
        </w:tc>
        <w:tc>
          <w:tcPr>
            <w:tcW w:w="1594" w:type="dxa"/>
            <w:tcBorders>
              <w:top w:val="single" w:sz="2" w:space="0" w:color="BFBFBF" w:themeColor="background1" w:themeShade="BF"/>
              <w:bottom w:val="nil"/>
            </w:tcBorders>
            <w:shd w:val="clear" w:color="auto" w:fill="F2F2F2" w:themeFill="background1" w:themeFillShade="F2"/>
            <w:vAlign w:val="center"/>
          </w:tcPr>
          <w:p w14:paraId="166EFF58" w14:textId="36769A32" w:rsidR="00A32CE2" w:rsidRPr="00FB20CB" w:rsidRDefault="00A32CE2" w:rsidP="001F1F41">
            <w:pPr>
              <w:jc w:val="right"/>
              <w:rPr>
                <w:rFonts w:ascii="Arial" w:hAnsi="Arial" w:cs="Arial"/>
                <w:color w:val="000000"/>
                <w:szCs w:val="22"/>
                <w:lang w:val="el-GR" w:eastAsia="el-GR"/>
              </w:rPr>
            </w:pPr>
            <w:r>
              <w:rPr>
                <w:rFonts w:ascii="Arial" w:hAnsi="Arial" w:cs="Arial"/>
                <w:color w:val="000000"/>
                <w:sz w:val="18"/>
                <w:szCs w:val="18"/>
              </w:rPr>
              <w:t>2</w:t>
            </w:r>
            <w:r w:rsidR="008E4D94">
              <w:rPr>
                <w:rFonts w:ascii="Arial" w:hAnsi="Arial" w:cs="Arial"/>
                <w:color w:val="000000"/>
                <w:sz w:val="18"/>
                <w:szCs w:val="18"/>
              </w:rPr>
              <w:t>.</w:t>
            </w:r>
            <w:r>
              <w:rPr>
                <w:rFonts w:ascii="Arial" w:hAnsi="Arial" w:cs="Arial"/>
                <w:color w:val="000000"/>
                <w:sz w:val="18"/>
                <w:szCs w:val="18"/>
              </w:rPr>
              <w:t>490</w:t>
            </w:r>
            <w:r w:rsidR="008E4D94">
              <w:rPr>
                <w:rFonts w:ascii="Arial" w:hAnsi="Arial" w:cs="Arial"/>
                <w:color w:val="000000"/>
                <w:sz w:val="18"/>
                <w:szCs w:val="18"/>
              </w:rPr>
              <w:t>,</w:t>
            </w:r>
            <w:r>
              <w:rPr>
                <w:rFonts w:ascii="Arial" w:hAnsi="Arial" w:cs="Arial"/>
                <w:color w:val="000000"/>
                <w:sz w:val="18"/>
                <w:szCs w:val="18"/>
              </w:rPr>
              <w:t>9</w:t>
            </w:r>
          </w:p>
        </w:tc>
      </w:tr>
      <w:tr w:rsidR="00A32CE2" w14:paraId="46126C63" w14:textId="77777777" w:rsidTr="001F1F41">
        <w:trPr>
          <w:trHeight w:val="252"/>
        </w:trPr>
        <w:tc>
          <w:tcPr>
            <w:tcW w:w="4186" w:type="dxa"/>
            <w:tcBorders>
              <w:top w:val="nil"/>
              <w:right w:val="single" w:sz="2" w:space="0" w:color="BFBFBF" w:themeColor="background1" w:themeShade="BF"/>
            </w:tcBorders>
            <w:vAlign w:val="center"/>
          </w:tcPr>
          <w:p w14:paraId="1A812D86" w14:textId="3C4CC43F" w:rsidR="00A32CE2" w:rsidRPr="00FB20CB" w:rsidRDefault="00A32CE2" w:rsidP="00A32CE2">
            <w:pPr>
              <w:rPr>
                <w:rFonts w:ascii="Arial" w:hAnsi="Arial" w:cs="Arial"/>
                <w:color w:val="000000"/>
                <w:szCs w:val="22"/>
                <w:lang w:val="el-GR" w:eastAsia="el-GR"/>
              </w:rPr>
            </w:pPr>
            <w:r w:rsidRPr="00583090">
              <w:rPr>
                <w:rFonts w:ascii="Arial" w:hAnsi="Arial" w:cs="Arial"/>
                <w:iCs/>
                <w:sz w:val="18"/>
                <w:szCs w:val="18"/>
                <w:lang w:val="el-GR"/>
              </w:rPr>
              <w:t>Λοιπά λειτουργικά έσοδα</w:t>
            </w:r>
          </w:p>
        </w:tc>
        <w:tc>
          <w:tcPr>
            <w:tcW w:w="1594" w:type="dxa"/>
            <w:tcBorders>
              <w:top w:val="nil"/>
              <w:left w:val="single" w:sz="2" w:space="0" w:color="BFBFBF" w:themeColor="background1" w:themeShade="BF"/>
            </w:tcBorders>
            <w:vAlign w:val="center"/>
          </w:tcPr>
          <w:p w14:paraId="68BC256D" w14:textId="2D5AD0AB" w:rsidR="00A32CE2" w:rsidRPr="00FB20CB" w:rsidRDefault="00A32CE2" w:rsidP="00A32CE2">
            <w:pPr>
              <w:jc w:val="right"/>
              <w:rPr>
                <w:rFonts w:ascii="Arial" w:hAnsi="Arial" w:cs="Arial"/>
                <w:color w:val="000000"/>
                <w:szCs w:val="22"/>
                <w:lang w:val="el-GR" w:eastAsia="el-GR"/>
              </w:rPr>
            </w:pPr>
            <w:r>
              <w:rPr>
                <w:rFonts w:ascii="Arial" w:hAnsi="Arial" w:cs="Arial"/>
                <w:color w:val="000000"/>
                <w:sz w:val="18"/>
                <w:szCs w:val="18"/>
              </w:rPr>
              <w:t>1</w:t>
            </w:r>
            <w:r w:rsidR="008E4D94">
              <w:rPr>
                <w:rFonts w:ascii="Arial" w:hAnsi="Arial" w:cs="Arial"/>
                <w:color w:val="000000"/>
                <w:sz w:val="18"/>
                <w:szCs w:val="18"/>
              </w:rPr>
              <w:t>,</w:t>
            </w:r>
            <w:r>
              <w:rPr>
                <w:rFonts w:ascii="Arial" w:hAnsi="Arial" w:cs="Arial"/>
                <w:color w:val="000000"/>
                <w:sz w:val="18"/>
                <w:szCs w:val="18"/>
              </w:rPr>
              <w:t>5</w:t>
            </w:r>
          </w:p>
        </w:tc>
        <w:tc>
          <w:tcPr>
            <w:tcW w:w="1594" w:type="dxa"/>
            <w:tcBorders>
              <w:top w:val="nil"/>
              <w:right w:val="single" w:sz="2" w:space="0" w:color="BFBFBF" w:themeColor="background1" w:themeShade="BF"/>
            </w:tcBorders>
            <w:vAlign w:val="center"/>
          </w:tcPr>
          <w:p w14:paraId="14F4A5D6" w14:textId="04C88203" w:rsidR="00A32CE2" w:rsidRPr="00FB20CB" w:rsidRDefault="00A32CE2" w:rsidP="00A32CE2">
            <w:pPr>
              <w:jc w:val="right"/>
              <w:rPr>
                <w:rFonts w:ascii="Arial" w:hAnsi="Arial" w:cs="Arial"/>
                <w:color w:val="000000"/>
                <w:szCs w:val="22"/>
                <w:lang w:val="el-GR" w:eastAsia="el-GR"/>
              </w:rPr>
            </w:pPr>
            <w:r>
              <w:rPr>
                <w:rFonts w:ascii="Arial" w:hAnsi="Arial" w:cs="Arial"/>
                <w:color w:val="000000"/>
                <w:sz w:val="18"/>
                <w:szCs w:val="18"/>
              </w:rPr>
              <w:t>0</w:t>
            </w:r>
            <w:r w:rsidR="008E4D94">
              <w:rPr>
                <w:rFonts w:ascii="Arial" w:hAnsi="Arial" w:cs="Arial"/>
                <w:color w:val="000000"/>
                <w:sz w:val="18"/>
                <w:szCs w:val="18"/>
              </w:rPr>
              <w:t>,</w:t>
            </w:r>
            <w:r>
              <w:rPr>
                <w:rFonts w:ascii="Arial" w:hAnsi="Arial" w:cs="Arial"/>
                <w:color w:val="000000"/>
                <w:sz w:val="18"/>
                <w:szCs w:val="18"/>
              </w:rPr>
              <w:t>9</w:t>
            </w:r>
          </w:p>
        </w:tc>
        <w:tc>
          <w:tcPr>
            <w:tcW w:w="1594" w:type="dxa"/>
            <w:tcBorders>
              <w:top w:val="nil"/>
              <w:left w:val="single" w:sz="2" w:space="0" w:color="BFBFBF" w:themeColor="background1" w:themeShade="BF"/>
            </w:tcBorders>
            <w:vAlign w:val="center"/>
          </w:tcPr>
          <w:p w14:paraId="088AB10D" w14:textId="2799C782" w:rsidR="00A32CE2" w:rsidRPr="00FB20CB" w:rsidRDefault="00A32CE2" w:rsidP="00A32CE2">
            <w:pPr>
              <w:jc w:val="right"/>
              <w:rPr>
                <w:rFonts w:ascii="Arial" w:hAnsi="Arial" w:cs="Arial"/>
                <w:color w:val="000000"/>
                <w:szCs w:val="22"/>
                <w:lang w:val="el-GR" w:eastAsia="el-GR"/>
              </w:rPr>
            </w:pPr>
            <w:r>
              <w:rPr>
                <w:rFonts w:ascii="Arial" w:hAnsi="Arial" w:cs="Arial"/>
                <w:color w:val="000000"/>
                <w:sz w:val="18"/>
                <w:szCs w:val="18"/>
              </w:rPr>
              <w:t>3</w:t>
            </w:r>
            <w:r w:rsidR="008E4D94">
              <w:rPr>
                <w:rFonts w:ascii="Arial" w:hAnsi="Arial" w:cs="Arial"/>
                <w:color w:val="000000"/>
                <w:sz w:val="18"/>
                <w:szCs w:val="18"/>
              </w:rPr>
              <w:t>,</w:t>
            </w:r>
            <w:r>
              <w:rPr>
                <w:rFonts w:ascii="Arial" w:hAnsi="Arial" w:cs="Arial"/>
                <w:color w:val="000000"/>
                <w:sz w:val="18"/>
                <w:szCs w:val="18"/>
              </w:rPr>
              <w:t xml:space="preserve">7 </w:t>
            </w:r>
          </w:p>
        </w:tc>
        <w:tc>
          <w:tcPr>
            <w:tcW w:w="1594" w:type="dxa"/>
            <w:tcBorders>
              <w:top w:val="nil"/>
            </w:tcBorders>
            <w:vAlign w:val="center"/>
          </w:tcPr>
          <w:p w14:paraId="4BB6FCF0" w14:textId="58799BDA" w:rsidR="00A32CE2" w:rsidRPr="00FB20CB" w:rsidRDefault="00A32CE2" w:rsidP="00A32CE2">
            <w:pPr>
              <w:jc w:val="right"/>
              <w:rPr>
                <w:rFonts w:ascii="Arial" w:hAnsi="Arial" w:cs="Arial"/>
                <w:color w:val="000000"/>
                <w:szCs w:val="22"/>
                <w:lang w:val="el-GR" w:eastAsia="el-GR"/>
              </w:rPr>
            </w:pPr>
            <w:r>
              <w:rPr>
                <w:rFonts w:ascii="Arial" w:hAnsi="Arial" w:cs="Arial"/>
                <w:color w:val="000000"/>
                <w:sz w:val="18"/>
                <w:szCs w:val="18"/>
              </w:rPr>
              <w:t>4</w:t>
            </w:r>
            <w:r w:rsidR="008E4D94">
              <w:rPr>
                <w:rFonts w:ascii="Arial" w:hAnsi="Arial" w:cs="Arial"/>
                <w:color w:val="000000"/>
                <w:sz w:val="18"/>
                <w:szCs w:val="18"/>
              </w:rPr>
              <w:t>,</w:t>
            </w:r>
            <w:r>
              <w:rPr>
                <w:rFonts w:ascii="Arial" w:hAnsi="Arial" w:cs="Arial"/>
                <w:color w:val="000000"/>
                <w:sz w:val="18"/>
                <w:szCs w:val="18"/>
              </w:rPr>
              <w:t xml:space="preserve">0 </w:t>
            </w:r>
          </w:p>
        </w:tc>
      </w:tr>
      <w:tr w:rsidR="00A32CE2" w14:paraId="6774AD97" w14:textId="77777777" w:rsidTr="001F1F41">
        <w:trPr>
          <w:trHeight w:val="252"/>
        </w:trPr>
        <w:tc>
          <w:tcPr>
            <w:tcW w:w="4186" w:type="dxa"/>
            <w:tcBorders>
              <w:bottom w:val="nil"/>
              <w:right w:val="single" w:sz="2" w:space="0" w:color="BFBFBF" w:themeColor="background1" w:themeShade="BF"/>
            </w:tcBorders>
            <w:vAlign w:val="center"/>
          </w:tcPr>
          <w:p w14:paraId="4BD4ECB4" w14:textId="7EF01D00" w:rsidR="00A32CE2" w:rsidRPr="00FB20CB" w:rsidRDefault="00A32CE2" w:rsidP="00A32CE2">
            <w:pPr>
              <w:rPr>
                <w:rFonts w:ascii="Arial" w:hAnsi="Arial" w:cs="Arial"/>
                <w:color w:val="000000"/>
                <w:szCs w:val="22"/>
                <w:lang w:val="el-GR" w:eastAsia="el-GR"/>
              </w:rPr>
            </w:pPr>
            <w:r>
              <w:rPr>
                <w:rFonts w:ascii="Arial" w:hAnsi="Arial" w:cs="Arial"/>
                <w:sz w:val="18"/>
                <w:szCs w:val="18"/>
                <w:lang w:val="el-GR"/>
              </w:rPr>
              <w:t xml:space="preserve">Σύνολο </w:t>
            </w:r>
            <w:r w:rsidRPr="00A7639D">
              <w:rPr>
                <w:rFonts w:ascii="Arial" w:hAnsi="Arial" w:cs="Arial"/>
                <w:sz w:val="18"/>
                <w:szCs w:val="18"/>
                <w:lang w:val="el-GR"/>
              </w:rPr>
              <w:t xml:space="preserve">λειτουργικών εξόδων πριν από αποσβέσεις και </w:t>
            </w:r>
            <w:proofErr w:type="spellStart"/>
            <w:r w:rsidRPr="00A7639D">
              <w:rPr>
                <w:rFonts w:ascii="Arial" w:hAnsi="Arial" w:cs="Arial"/>
                <w:sz w:val="18"/>
                <w:szCs w:val="18"/>
                <w:lang w:val="el-GR"/>
              </w:rPr>
              <w:t>απομειώσεις</w:t>
            </w:r>
            <w:proofErr w:type="spellEnd"/>
          </w:p>
        </w:tc>
        <w:tc>
          <w:tcPr>
            <w:tcW w:w="1594" w:type="dxa"/>
            <w:tcBorders>
              <w:left w:val="single" w:sz="2" w:space="0" w:color="BFBFBF" w:themeColor="background1" w:themeShade="BF"/>
              <w:bottom w:val="nil"/>
            </w:tcBorders>
            <w:vAlign w:val="center"/>
          </w:tcPr>
          <w:p w14:paraId="42898DF5" w14:textId="1FBAF4E5" w:rsidR="00A32CE2" w:rsidRPr="00FB20CB" w:rsidRDefault="00A32CE2" w:rsidP="00A32CE2">
            <w:pPr>
              <w:jc w:val="right"/>
              <w:rPr>
                <w:rFonts w:ascii="Arial" w:hAnsi="Arial" w:cs="Arial"/>
                <w:color w:val="000000"/>
                <w:szCs w:val="22"/>
                <w:lang w:eastAsia="el-GR"/>
              </w:rPr>
            </w:pPr>
            <w:r>
              <w:rPr>
                <w:rFonts w:ascii="Arial" w:hAnsi="Arial" w:cs="Arial"/>
                <w:color w:val="000000"/>
                <w:sz w:val="18"/>
                <w:szCs w:val="18"/>
              </w:rPr>
              <w:t>(504</w:t>
            </w:r>
            <w:r w:rsidR="008E4D94">
              <w:rPr>
                <w:rFonts w:ascii="Arial" w:hAnsi="Arial" w:cs="Arial"/>
                <w:color w:val="000000"/>
                <w:sz w:val="18"/>
                <w:szCs w:val="18"/>
              </w:rPr>
              <w:t>,</w:t>
            </w:r>
            <w:r>
              <w:rPr>
                <w:rFonts w:ascii="Arial" w:hAnsi="Arial" w:cs="Arial"/>
                <w:color w:val="000000"/>
                <w:sz w:val="18"/>
                <w:szCs w:val="18"/>
              </w:rPr>
              <w:t>4)</w:t>
            </w:r>
          </w:p>
        </w:tc>
        <w:tc>
          <w:tcPr>
            <w:tcW w:w="1594" w:type="dxa"/>
            <w:tcBorders>
              <w:bottom w:val="nil"/>
              <w:right w:val="single" w:sz="2" w:space="0" w:color="BFBFBF" w:themeColor="background1" w:themeShade="BF"/>
            </w:tcBorders>
            <w:vAlign w:val="center"/>
          </w:tcPr>
          <w:p w14:paraId="3217BE4E" w14:textId="7158FE72" w:rsidR="00A32CE2" w:rsidRPr="00FB20CB" w:rsidRDefault="00A32CE2" w:rsidP="00A32CE2">
            <w:pPr>
              <w:jc w:val="right"/>
              <w:rPr>
                <w:rFonts w:ascii="Arial" w:hAnsi="Arial" w:cs="Arial"/>
                <w:color w:val="000000"/>
                <w:szCs w:val="22"/>
                <w:lang w:eastAsia="el-GR"/>
              </w:rPr>
            </w:pPr>
            <w:r>
              <w:rPr>
                <w:rFonts w:ascii="Arial" w:hAnsi="Arial" w:cs="Arial"/>
                <w:color w:val="000000"/>
                <w:sz w:val="18"/>
                <w:szCs w:val="18"/>
              </w:rPr>
              <w:t>(469</w:t>
            </w:r>
            <w:r w:rsidR="008E4D94">
              <w:rPr>
                <w:rFonts w:ascii="Arial" w:hAnsi="Arial" w:cs="Arial"/>
                <w:color w:val="000000"/>
                <w:sz w:val="18"/>
                <w:szCs w:val="18"/>
              </w:rPr>
              <w:t>,</w:t>
            </w:r>
            <w:r>
              <w:rPr>
                <w:rFonts w:ascii="Arial" w:hAnsi="Arial" w:cs="Arial"/>
                <w:color w:val="000000"/>
                <w:sz w:val="18"/>
                <w:szCs w:val="18"/>
              </w:rPr>
              <w:t>7)</w:t>
            </w:r>
          </w:p>
        </w:tc>
        <w:tc>
          <w:tcPr>
            <w:tcW w:w="1594" w:type="dxa"/>
            <w:tcBorders>
              <w:left w:val="single" w:sz="2" w:space="0" w:color="BFBFBF" w:themeColor="background1" w:themeShade="BF"/>
              <w:bottom w:val="nil"/>
            </w:tcBorders>
            <w:vAlign w:val="center"/>
          </w:tcPr>
          <w:p w14:paraId="53EC890E" w14:textId="1FC0D7B8" w:rsidR="00A32CE2" w:rsidRPr="00FB20CB" w:rsidRDefault="00A32CE2" w:rsidP="00A32CE2">
            <w:pPr>
              <w:jc w:val="right"/>
              <w:rPr>
                <w:rFonts w:ascii="Arial" w:hAnsi="Arial" w:cs="Arial"/>
                <w:color w:val="000000"/>
                <w:szCs w:val="22"/>
                <w:lang w:eastAsia="el-GR"/>
              </w:rPr>
            </w:pPr>
            <w:r>
              <w:rPr>
                <w:rFonts w:ascii="Arial" w:hAnsi="Arial" w:cs="Arial"/>
                <w:color w:val="000000"/>
                <w:sz w:val="18"/>
                <w:szCs w:val="18"/>
              </w:rPr>
              <w:t>(1</w:t>
            </w:r>
            <w:r w:rsidR="008E4D94">
              <w:rPr>
                <w:rFonts w:ascii="Arial" w:hAnsi="Arial" w:cs="Arial"/>
                <w:color w:val="000000"/>
                <w:sz w:val="18"/>
                <w:szCs w:val="18"/>
              </w:rPr>
              <w:t>.</w:t>
            </w:r>
            <w:r>
              <w:rPr>
                <w:rFonts w:ascii="Arial" w:hAnsi="Arial" w:cs="Arial"/>
                <w:color w:val="000000"/>
                <w:sz w:val="18"/>
                <w:szCs w:val="18"/>
              </w:rPr>
              <w:t>513</w:t>
            </w:r>
            <w:r w:rsidR="008E4D94">
              <w:rPr>
                <w:rFonts w:ascii="Arial" w:hAnsi="Arial" w:cs="Arial"/>
                <w:color w:val="000000"/>
                <w:sz w:val="18"/>
                <w:szCs w:val="18"/>
              </w:rPr>
              <w:t>,</w:t>
            </w:r>
            <w:r>
              <w:rPr>
                <w:rFonts w:ascii="Arial" w:hAnsi="Arial" w:cs="Arial"/>
                <w:color w:val="000000"/>
                <w:sz w:val="18"/>
                <w:szCs w:val="18"/>
              </w:rPr>
              <w:t>4)</w:t>
            </w:r>
          </w:p>
        </w:tc>
        <w:tc>
          <w:tcPr>
            <w:tcW w:w="1594" w:type="dxa"/>
            <w:tcBorders>
              <w:bottom w:val="nil"/>
            </w:tcBorders>
            <w:vAlign w:val="center"/>
          </w:tcPr>
          <w:p w14:paraId="3452CC4E" w14:textId="29F49072" w:rsidR="00A32CE2" w:rsidRPr="00FB20CB" w:rsidRDefault="00A32CE2" w:rsidP="00A32CE2">
            <w:pPr>
              <w:jc w:val="right"/>
              <w:rPr>
                <w:rFonts w:ascii="Arial" w:hAnsi="Arial" w:cs="Arial"/>
                <w:color w:val="000000"/>
                <w:szCs w:val="22"/>
                <w:lang w:eastAsia="el-GR"/>
              </w:rPr>
            </w:pPr>
            <w:r>
              <w:rPr>
                <w:rFonts w:ascii="Arial" w:hAnsi="Arial" w:cs="Arial"/>
                <w:color w:val="000000"/>
                <w:sz w:val="18"/>
                <w:szCs w:val="18"/>
              </w:rPr>
              <w:t>(1</w:t>
            </w:r>
            <w:r w:rsidR="008E4D94">
              <w:rPr>
                <w:rFonts w:ascii="Arial" w:hAnsi="Arial" w:cs="Arial"/>
                <w:color w:val="000000"/>
                <w:sz w:val="18"/>
                <w:szCs w:val="18"/>
              </w:rPr>
              <w:t>.</w:t>
            </w:r>
            <w:r>
              <w:rPr>
                <w:rFonts w:ascii="Arial" w:hAnsi="Arial" w:cs="Arial"/>
                <w:color w:val="000000"/>
                <w:sz w:val="18"/>
                <w:szCs w:val="18"/>
              </w:rPr>
              <w:t>482</w:t>
            </w:r>
            <w:r w:rsidR="008E4D94">
              <w:rPr>
                <w:rFonts w:ascii="Arial" w:hAnsi="Arial" w:cs="Arial"/>
                <w:color w:val="000000"/>
                <w:sz w:val="18"/>
                <w:szCs w:val="18"/>
              </w:rPr>
              <w:t>,</w:t>
            </w:r>
            <w:r>
              <w:rPr>
                <w:rFonts w:ascii="Arial" w:hAnsi="Arial" w:cs="Arial"/>
                <w:color w:val="000000"/>
                <w:sz w:val="18"/>
                <w:szCs w:val="18"/>
              </w:rPr>
              <w:t>1)</w:t>
            </w:r>
          </w:p>
        </w:tc>
      </w:tr>
      <w:tr w:rsidR="00A32CE2" w14:paraId="16141E5E" w14:textId="77777777" w:rsidTr="001F1F41">
        <w:trPr>
          <w:trHeight w:val="252"/>
        </w:trPr>
        <w:tc>
          <w:tcPr>
            <w:tcW w:w="4186" w:type="dxa"/>
            <w:tcBorders>
              <w:top w:val="nil"/>
              <w:bottom w:val="nil"/>
              <w:right w:val="single" w:sz="2" w:space="0" w:color="BFBFBF" w:themeColor="background1" w:themeShade="BF"/>
            </w:tcBorders>
            <w:shd w:val="clear" w:color="auto" w:fill="F2F2F2" w:themeFill="background1" w:themeFillShade="F2"/>
            <w:vAlign w:val="center"/>
          </w:tcPr>
          <w:p w14:paraId="02347138" w14:textId="77777777" w:rsidR="00A32CE2" w:rsidRPr="00FB20CB" w:rsidRDefault="00A32CE2" w:rsidP="001F1F41">
            <w:pPr>
              <w:rPr>
                <w:rFonts w:ascii="Arial" w:hAnsi="Arial" w:cs="Arial"/>
                <w:color w:val="000000"/>
                <w:szCs w:val="22"/>
                <w:lang w:val="el-GR" w:eastAsia="el-GR"/>
              </w:rPr>
            </w:pPr>
            <w:r w:rsidRPr="001865E9">
              <w:rPr>
                <w:rFonts w:ascii="Arial" w:hAnsi="Arial" w:cs="Arial"/>
                <w:b/>
                <w:sz w:val="18"/>
                <w:szCs w:val="18"/>
              </w:rPr>
              <w:t>EBITDA</w:t>
            </w:r>
          </w:p>
        </w:tc>
        <w:tc>
          <w:tcPr>
            <w:tcW w:w="1594" w:type="dxa"/>
            <w:tcBorders>
              <w:top w:val="nil"/>
              <w:left w:val="single" w:sz="2" w:space="0" w:color="BFBFBF" w:themeColor="background1" w:themeShade="BF"/>
              <w:bottom w:val="nil"/>
            </w:tcBorders>
            <w:shd w:val="clear" w:color="auto" w:fill="F2F2F2" w:themeFill="background1" w:themeFillShade="F2"/>
            <w:vAlign w:val="center"/>
          </w:tcPr>
          <w:p w14:paraId="30E83262" w14:textId="51E89EC6" w:rsidR="00A32CE2" w:rsidRPr="00FB20CB" w:rsidRDefault="00A32CE2" w:rsidP="001F1F41">
            <w:pPr>
              <w:jc w:val="right"/>
              <w:rPr>
                <w:rFonts w:ascii="Arial" w:hAnsi="Arial" w:cs="Arial"/>
                <w:color w:val="000000"/>
                <w:szCs w:val="22"/>
                <w:lang w:val="el-GR" w:eastAsia="el-GR"/>
              </w:rPr>
            </w:pPr>
            <w:r>
              <w:rPr>
                <w:rFonts w:ascii="Arial" w:hAnsi="Arial" w:cs="Arial"/>
                <w:b/>
                <w:bCs/>
                <w:color w:val="000000"/>
                <w:sz w:val="18"/>
                <w:szCs w:val="18"/>
              </w:rPr>
              <w:t>371</w:t>
            </w:r>
            <w:r w:rsidR="008E4D94">
              <w:rPr>
                <w:rFonts w:ascii="Arial" w:hAnsi="Arial" w:cs="Arial"/>
                <w:b/>
                <w:bCs/>
                <w:color w:val="000000"/>
                <w:sz w:val="18"/>
                <w:szCs w:val="18"/>
              </w:rPr>
              <w:t>,</w:t>
            </w:r>
            <w:r>
              <w:rPr>
                <w:rFonts w:ascii="Arial" w:hAnsi="Arial" w:cs="Arial"/>
                <w:b/>
                <w:bCs/>
                <w:color w:val="000000"/>
                <w:sz w:val="18"/>
                <w:szCs w:val="18"/>
              </w:rPr>
              <w:t>1</w:t>
            </w:r>
          </w:p>
        </w:tc>
        <w:tc>
          <w:tcPr>
            <w:tcW w:w="1594" w:type="dxa"/>
            <w:tcBorders>
              <w:top w:val="nil"/>
              <w:bottom w:val="nil"/>
              <w:right w:val="single" w:sz="2" w:space="0" w:color="BFBFBF" w:themeColor="background1" w:themeShade="BF"/>
            </w:tcBorders>
            <w:shd w:val="clear" w:color="auto" w:fill="F2F2F2" w:themeFill="background1" w:themeFillShade="F2"/>
            <w:vAlign w:val="center"/>
          </w:tcPr>
          <w:p w14:paraId="56E1A68E" w14:textId="374E7A1E" w:rsidR="00A32CE2" w:rsidRPr="00FB20CB" w:rsidRDefault="00A32CE2" w:rsidP="001F1F41">
            <w:pPr>
              <w:jc w:val="right"/>
              <w:rPr>
                <w:rFonts w:ascii="Arial" w:hAnsi="Arial" w:cs="Arial"/>
                <w:color w:val="000000"/>
                <w:szCs w:val="22"/>
                <w:lang w:val="el-GR" w:eastAsia="el-GR"/>
              </w:rPr>
            </w:pPr>
            <w:r>
              <w:rPr>
                <w:rFonts w:ascii="Arial" w:hAnsi="Arial" w:cs="Arial"/>
                <w:b/>
                <w:bCs/>
                <w:color w:val="000000"/>
                <w:sz w:val="18"/>
                <w:szCs w:val="18"/>
              </w:rPr>
              <w:t>363</w:t>
            </w:r>
            <w:r w:rsidR="008E4D94">
              <w:rPr>
                <w:rFonts w:ascii="Arial" w:hAnsi="Arial" w:cs="Arial"/>
                <w:b/>
                <w:bCs/>
                <w:color w:val="000000"/>
                <w:sz w:val="18"/>
                <w:szCs w:val="18"/>
              </w:rPr>
              <w:t>,</w:t>
            </w:r>
            <w:r>
              <w:rPr>
                <w:rFonts w:ascii="Arial" w:hAnsi="Arial" w:cs="Arial"/>
                <w:b/>
                <w:bCs/>
                <w:color w:val="000000"/>
                <w:sz w:val="18"/>
                <w:szCs w:val="18"/>
              </w:rPr>
              <w:t>7</w:t>
            </w:r>
          </w:p>
        </w:tc>
        <w:tc>
          <w:tcPr>
            <w:tcW w:w="1594" w:type="dxa"/>
            <w:tcBorders>
              <w:top w:val="nil"/>
              <w:left w:val="single" w:sz="2" w:space="0" w:color="BFBFBF" w:themeColor="background1" w:themeShade="BF"/>
              <w:bottom w:val="nil"/>
            </w:tcBorders>
            <w:shd w:val="clear" w:color="auto" w:fill="F2F2F2" w:themeFill="background1" w:themeFillShade="F2"/>
            <w:vAlign w:val="center"/>
          </w:tcPr>
          <w:p w14:paraId="29BF74F9" w14:textId="676C585D" w:rsidR="00A32CE2" w:rsidRPr="00FB20CB" w:rsidRDefault="00A32CE2" w:rsidP="001F1F41">
            <w:pPr>
              <w:jc w:val="right"/>
              <w:rPr>
                <w:rFonts w:ascii="Arial" w:hAnsi="Arial" w:cs="Arial"/>
                <w:color w:val="000000"/>
                <w:szCs w:val="22"/>
                <w:lang w:val="el-GR" w:eastAsia="el-GR"/>
              </w:rPr>
            </w:pPr>
            <w:r>
              <w:rPr>
                <w:rFonts w:ascii="Arial" w:hAnsi="Arial" w:cs="Arial"/>
                <w:b/>
                <w:bCs/>
                <w:color w:val="000000"/>
                <w:sz w:val="18"/>
                <w:szCs w:val="18"/>
              </w:rPr>
              <w:t>1</w:t>
            </w:r>
            <w:r w:rsidR="008E4D94">
              <w:rPr>
                <w:rFonts w:ascii="Arial" w:hAnsi="Arial" w:cs="Arial"/>
                <w:b/>
                <w:bCs/>
                <w:color w:val="000000"/>
                <w:sz w:val="18"/>
                <w:szCs w:val="18"/>
              </w:rPr>
              <w:t>.</w:t>
            </w:r>
            <w:r>
              <w:rPr>
                <w:rFonts w:ascii="Arial" w:hAnsi="Arial" w:cs="Arial"/>
                <w:b/>
                <w:bCs/>
                <w:color w:val="000000"/>
                <w:sz w:val="18"/>
                <w:szCs w:val="18"/>
              </w:rPr>
              <w:t>038</w:t>
            </w:r>
            <w:r w:rsidR="008E4D94">
              <w:rPr>
                <w:rFonts w:ascii="Arial" w:hAnsi="Arial" w:cs="Arial"/>
                <w:b/>
                <w:bCs/>
                <w:color w:val="000000"/>
                <w:sz w:val="18"/>
                <w:szCs w:val="18"/>
              </w:rPr>
              <w:t>,</w:t>
            </w:r>
            <w:r>
              <w:rPr>
                <w:rFonts w:ascii="Arial" w:hAnsi="Arial" w:cs="Arial"/>
                <w:b/>
                <w:bCs/>
                <w:color w:val="000000"/>
                <w:sz w:val="18"/>
                <w:szCs w:val="18"/>
              </w:rPr>
              <w:t>3</w:t>
            </w:r>
          </w:p>
        </w:tc>
        <w:tc>
          <w:tcPr>
            <w:tcW w:w="1594" w:type="dxa"/>
            <w:tcBorders>
              <w:top w:val="nil"/>
              <w:bottom w:val="nil"/>
            </w:tcBorders>
            <w:shd w:val="clear" w:color="auto" w:fill="F2F2F2" w:themeFill="background1" w:themeFillShade="F2"/>
            <w:vAlign w:val="center"/>
          </w:tcPr>
          <w:p w14:paraId="30F730B3" w14:textId="48F80F31" w:rsidR="00A32CE2" w:rsidRPr="00FB20CB" w:rsidRDefault="00A32CE2" w:rsidP="001F1F41">
            <w:pPr>
              <w:jc w:val="right"/>
              <w:rPr>
                <w:rFonts w:ascii="Arial" w:hAnsi="Arial" w:cs="Arial"/>
                <w:color w:val="000000"/>
                <w:szCs w:val="22"/>
                <w:lang w:val="el-GR" w:eastAsia="el-GR"/>
              </w:rPr>
            </w:pPr>
            <w:r>
              <w:rPr>
                <w:rFonts w:ascii="Arial" w:hAnsi="Arial" w:cs="Arial"/>
                <w:b/>
                <w:bCs/>
                <w:color w:val="000000"/>
                <w:sz w:val="18"/>
                <w:szCs w:val="18"/>
              </w:rPr>
              <w:t>1</w:t>
            </w:r>
            <w:r w:rsidR="008E4D94">
              <w:rPr>
                <w:rFonts w:ascii="Arial" w:hAnsi="Arial" w:cs="Arial"/>
                <w:b/>
                <w:bCs/>
                <w:color w:val="000000"/>
                <w:sz w:val="18"/>
                <w:szCs w:val="18"/>
              </w:rPr>
              <w:t>.</w:t>
            </w:r>
            <w:r>
              <w:rPr>
                <w:rFonts w:ascii="Arial" w:hAnsi="Arial" w:cs="Arial"/>
                <w:b/>
                <w:bCs/>
                <w:color w:val="000000"/>
                <w:sz w:val="18"/>
                <w:szCs w:val="18"/>
              </w:rPr>
              <w:t>012</w:t>
            </w:r>
            <w:r w:rsidR="008E4D94">
              <w:rPr>
                <w:rFonts w:ascii="Arial" w:hAnsi="Arial" w:cs="Arial"/>
                <w:b/>
                <w:bCs/>
                <w:color w:val="000000"/>
                <w:sz w:val="18"/>
                <w:szCs w:val="18"/>
              </w:rPr>
              <w:t>,</w:t>
            </w:r>
            <w:r>
              <w:rPr>
                <w:rFonts w:ascii="Arial" w:hAnsi="Arial" w:cs="Arial"/>
                <w:b/>
                <w:bCs/>
                <w:color w:val="000000"/>
                <w:sz w:val="18"/>
                <w:szCs w:val="18"/>
              </w:rPr>
              <w:t>8</w:t>
            </w:r>
          </w:p>
        </w:tc>
      </w:tr>
      <w:tr w:rsidR="00A32CE2" w14:paraId="33A5B550" w14:textId="77777777" w:rsidTr="001F1F41">
        <w:trPr>
          <w:trHeight w:val="252"/>
        </w:trPr>
        <w:tc>
          <w:tcPr>
            <w:tcW w:w="4186" w:type="dxa"/>
            <w:tcBorders>
              <w:top w:val="nil"/>
              <w:right w:val="single" w:sz="2" w:space="0" w:color="BFBFBF" w:themeColor="background1" w:themeShade="BF"/>
            </w:tcBorders>
            <w:vAlign w:val="center"/>
          </w:tcPr>
          <w:p w14:paraId="1CDDBFBC" w14:textId="3CB1E488" w:rsidR="00A32CE2" w:rsidRPr="00FB20CB" w:rsidRDefault="00A32CE2" w:rsidP="00A32CE2">
            <w:pPr>
              <w:rPr>
                <w:rFonts w:ascii="Arial" w:hAnsi="Arial" w:cs="Arial"/>
                <w:color w:val="000000"/>
                <w:szCs w:val="22"/>
                <w:lang w:val="el-GR" w:eastAsia="el-GR"/>
              </w:rPr>
            </w:pPr>
            <w:r w:rsidRPr="00A7639D">
              <w:rPr>
                <w:rFonts w:ascii="Arial" w:hAnsi="Arial" w:cs="Arial"/>
                <w:sz w:val="18"/>
                <w:szCs w:val="18"/>
                <w:lang w:val="el-GR"/>
              </w:rPr>
              <w:t>Κόστη σχετιζόμενα με προγράμματα εθελούσιας αποχώρησης</w:t>
            </w:r>
          </w:p>
        </w:tc>
        <w:tc>
          <w:tcPr>
            <w:tcW w:w="1594" w:type="dxa"/>
            <w:tcBorders>
              <w:top w:val="nil"/>
              <w:left w:val="single" w:sz="2" w:space="0" w:color="BFBFBF" w:themeColor="background1" w:themeShade="BF"/>
            </w:tcBorders>
            <w:vAlign w:val="center"/>
          </w:tcPr>
          <w:p w14:paraId="021162FF" w14:textId="0DFA0BE0" w:rsidR="00A32CE2" w:rsidRPr="00FB20CB" w:rsidRDefault="00A32CE2" w:rsidP="00A32CE2">
            <w:pPr>
              <w:jc w:val="right"/>
              <w:rPr>
                <w:rFonts w:ascii="Arial" w:hAnsi="Arial" w:cs="Arial"/>
                <w:color w:val="000000"/>
                <w:szCs w:val="22"/>
                <w:lang w:eastAsia="el-GR"/>
              </w:rPr>
            </w:pPr>
            <w:r>
              <w:rPr>
                <w:rFonts w:ascii="Arial" w:hAnsi="Arial" w:cs="Arial"/>
                <w:color w:val="000000"/>
                <w:sz w:val="18"/>
                <w:szCs w:val="18"/>
              </w:rPr>
              <w:t>3</w:t>
            </w:r>
            <w:r w:rsidR="008E4D94">
              <w:rPr>
                <w:rFonts w:ascii="Arial" w:hAnsi="Arial" w:cs="Arial"/>
                <w:color w:val="000000"/>
                <w:sz w:val="18"/>
                <w:szCs w:val="18"/>
              </w:rPr>
              <w:t>,</w:t>
            </w:r>
            <w:r>
              <w:rPr>
                <w:rFonts w:ascii="Arial" w:hAnsi="Arial" w:cs="Arial"/>
                <w:color w:val="000000"/>
                <w:sz w:val="18"/>
                <w:szCs w:val="18"/>
              </w:rPr>
              <w:t xml:space="preserve">7 </w:t>
            </w:r>
          </w:p>
        </w:tc>
        <w:tc>
          <w:tcPr>
            <w:tcW w:w="1594" w:type="dxa"/>
            <w:tcBorders>
              <w:top w:val="nil"/>
              <w:right w:val="single" w:sz="2" w:space="0" w:color="BFBFBF" w:themeColor="background1" w:themeShade="BF"/>
            </w:tcBorders>
            <w:vAlign w:val="center"/>
          </w:tcPr>
          <w:p w14:paraId="700F7FFD" w14:textId="242C3559" w:rsidR="00A32CE2" w:rsidRPr="00FB20CB" w:rsidRDefault="00A32CE2" w:rsidP="00A32CE2">
            <w:pPr>
              <w:jc w:val="right"/>
              <w:rPr>
                <w:rFonts w:ascii="Arial" w:hAnsi="Arial" w:cs="Arial"/>
                <w:color w:val="000000"/>
                <w:szCs w:val="22"/>
                <w:lang w:eastAsia="el-GR"/>
              </w:rPr>
            </w:pPr>
            <w:r>
              <w:rPr>
                <w:rFonts w:ascii="Arial" w:hAnsi="Arial" w:cs="Arial"/>
                <w:color w:val="000000"/>
                <w:sz w:val="18"/>
                <w:szCs w:val="18"/>
              </w:rPr>
              <w:t>2</w:t>
            </w:r>
            <w:r w:rsidR="008E4D94">
              <w:rPr>
                <w:rFonts w:ascii="Arial" w:hAnsi="Arial" w:cs="Arial"/>
                <w:color w:val="000000"/>
                <w:sz w:val="18"/>
                <w:szCs w:val="18"/>
              </w:rPr>
              <w:t>,</w:t>
            </w:r>
            <w:r>
              <w:rPr>
                <w:rFonts w:ascii="Arial" w:hAnsi="Arial" w:cs="Arial"/>
                <w:color w:val="000000"/>
                <w:sz w:val="18"/>
                <w:szCs w:val="18"/>
              </w:rPr>
              <w:t xml:space="preserve">5 </w:t>
            </w:r>
          </w:p>
        </w:tc>
        <w:tc>
          <w:tcPr>
            <w:tcW w:w="1594" w:type="dxa"/>
            <w:tcBorders>
              <w:top w:val="nil"/>
              <w:left w:val="single" w:sz="2" w:space="0" w:color="BFBFBF" w:themeColor="background1" w:themeShade="BF"/>
            </w:tcBorders>
            <w:vAlign w:val="center"/>
          </w:tcPr>
          <w:p w14:paraId="1DAE0553" w14:textId="6976CEB5" w:rsidR="00A32CE2" w:rsidRPr="00FB20CB" w:rsidRDefault="00A32CE2" w:rsidP="00A32CE2">
            <w:pPr>
              <w:jc w:val="right"/>
              <w:rPr>
                <w:rFonts w:ascii="Arial" w:hAnsi="Arial" w:cs="Arial"/>
                <w:color w:val="000000"/>
                <w:szCs w:val="22"/>
                <w:lang w:eastAsia="el-GR"/>
              </w:rPr>
            </w:pPr>
            <w:r>
              <w:rPr>
                <w:rFonts w:ascii="Arial" w:hAnsi="Arial" w:cs="Arial"/>
                <w:color w:val="000000"/>
                <w:sz w:val="18"/>
                <w:szCs w:val="18"/>
              </w:rPr>
              <w:t>27</w:t>
            </w:r>
            <w:r w:rsidR="008E4D94">
              <w:rPr>
                <w:rFonts w:ascii="Arial" w:hAnsi="Arial" w:cs="Arial"/>
                <w:color w:val="000000"/>
                <w:sz w:val="18"/>
                <w:szCs w:val="18"/>
              </w:rPr>
              <w:t>,</w:t>
            </w:r>
            <w:r>
              <w:rPr>
                <w:rFonts w:ascii="Arial" w:hAnsi="Arial" w:cs="Arial"/>
                <w:color w:val="000000"/>
                <w:sz w:val="18"/>
                <w:szCs w:val="18"/>
              </w:rPr>
              <w:t xml:space="preserve">3 </w:t>
            </w:r>
          </w:p>
        </w:tc>
        <w:tc>
          <w:tcPr>
            <w:tcW w:w="1594" w:type="dxa"/>
            <w:tcBorders>
              <w:top w:val="nil"/>
            </w:tcBorders>
            <w:vAlign w:val="center"/>
          </w:tcPr>
          <w:p w14:paraId="380F07A9" w14:textId="238E8BBF" w:rsidR="00A32CE2" w:rsidRPr="00FB20CB" w:rsidRDefault="00A32CE2" w:rsidP="00A32CE2">
            <w:pPr>
              <w:jc w:val="right"/>
              <w:rPr>
                <w:rFonts w:ascii="Arial" w:hAnsi="Arial" w:cs="Arial"/>
                <w:color w:val="000000"/>
                <w:szCs w:val="22"/>
                <w:lang w:eastAsia="el-GR"/>
              </w:rPr>
            </w:pPr>
            <w:r>
              <w:rPr>
                <w:rFonts w:ascii="Arial" w:hAnsi="Arial" w:cs="Arial"/>
                <w:color w:val="000000"/>
                <w:sz w:val="18"/>
                <w:szCs w:val="18"/>
              </w:rPr>
              <w:t>31</w:t>
            </w:r>
            <w:r w:rsidR="008E4D94">
              <w:rPr>
                <w:rFonts w:ascii="Arial" w:hAnsi="Arial" w:cs="Arial"/>
                <w:color w:val="000000"/>
                <w:sz w:val="18"/>
                <w:szCs w:val="18"/>
              </w:rPr>
              <w:t>,</w:t>
            </w:r>
            <w:r>
              <w:rPr>
                <w:rFonts w:ascii="Arial" w:hAnsi="Arial" w:cs="Arial"/>
                <w:color w:val="000000"/>
                <w:sz w:val="18"/>
                <w:szCs w:val="18"/>
              </w:rPr>
              <w:t xml:space="preserve">1 </w:t>
            </w:r>
          </w:p>
        </w:tc>
      </w:tr>
      <w:tr w:rsidR="00A32CE2" w14:paraId="2A53E03B" w14:textId="77777777" w:rsidTr="001F1F41">
        <w:trPr>
          <w:trHeight w:val="252"/>
        </w:trPr>
        <w:tc>
          <w:tcPr>
            <w:tcW w:w="4186" w:type="dxa"/>
            <w:tcBorders>
              <w:bottom w:val="nil"/>
              <w:right w:val="single" w:sz="2" w:space="0" w:color="BFBFBF" w:themeColor="background1" w:themeShade="BF"/>
            </w:tcBorders>
            <w:vAlign w:val="center"/>
          </w:tcPr>
          <w:p w14:paraId="77298C82" w14:textId="7A755D63" w:rsidR="00A32CE2" w:rsidRPr="00FB20CB" w:rsidRDefault="00A32CE2" w:rsidP="00A32CE2">
            <w:pPr>
              <w:rPr>
                <w:rFonts w:ascii="Arial" w:hAnsi="Arial" w:cs="Arial"/>
                <w:color w:val="000000"/>
                <w:szCs w:val="22"/>
                <w:lang w:val="el-GR" w:eastAsia="el-GR"/>
              </w:rPr>
            </w:pPr>
            <w:r>
              <w:rPr>
                <w:rFonts w:ascii="Arial" w:hAnsi="Arial" w:cs="Arial"/>
                <w:sz w:val="18"/>
                <w:szCs w:val="18"/>
                <w:lang w:val="el-GR"/>
              </w:rPr>
              <w:t>Λοιπά έ</w:t>
            </w:r>
            <w:proofErr w:type="spellStart"/>
            <w:r w:rsidRPr="00A7639D">
              <w:rPr>
                <w:rFonts w:ascii="Arial" w:hAnsi="Arial" w:cs="Arial"/>
                <w:sz w:val="18"/>
                <w:szCs w:val="18"/>
              </w:rPr>
              <w:t>ξοδ</w:t>
            </w:r>
            <w:proofErr w:type="spellEnd"/>
            <w:r w:rsidRPr="00A7639D">
              <w:rPr>
                <w:rFonts w:ascii="Arial" w:hAnsi="Arial" w:cs="Arial"/>
                <w:sz w:val="18"/>
                <w:szCs w:val="18"/>
              </w:rPr>
              <w:t>α ανα</w:t>
            </w:r>
            <w:proofErr w:type="spellStart"/>
            <w:r w:rsidRPr="00A7639D">
              <w:rPr>
                <w:rFonts w:ascii="Arial" w:hAnsi="Arial" w:cs="Arial"/>
                <w:sz w:val="18"/>
                <w:szCs w:val="18"/>
              </w:rPr>
              <w:t>διοργάνωσης</w:t>
            </w:r>
            <w:proofErr w:type="spellEnd"/>
          </w:p>
        </w:tc>
        <w:tc>
          <w:tcPr>
            <w:tcW w:w="1594" w:type="dxa"/>
            <w:tcBorders>
              <w:left w:val="single" w:sz="2" w:space="0" w:color="BFBFBF" w:themeColor="background1" w:themeShade="BF"/>
              <w:bottom w:val="nil"/>
            </w:tcBorders>
            <w:vAlign w:val="center"/>
          </w:tcPr>
          <w:p w14:paraId="10005E40" w14:textId="7BF76E23" w:rsidR="00A32CE2" w:rsidRPr="00FB20CB" w:rsidRDefault="00A32CE2" w:rsidP="00A32CE2">
            <w:pPr>
              <w:jc w:val="right"/>
              <w:rPr>
                <w:rFonts w:ascii="Arial" w:hAnsi="Arial" w:cs="Arial"/>
                <w:color w:val="000000"/>
                <w:szCs w:val="22"/>
                <w:lang w:val="el-GR" w:eastAsia="el-GR"/>
              </w:rPr>
            </w:pPr>
            <w:r>
              <w:rPr>
                <w:rFonts w:ascii="Arial" w:hAnsi="Arial" w:cs="Arial"/>
                <w:color w:val="000000"/>
                <w:sz w:val="18"/>
                <w:szCs w:val="18"/>
              </w:rPr>
              <w:t>0</w:t>
            </w:r>
            <w:r w:rsidR="008E4D94">
              <w:rPr>
                <w:rFonts w:ascii="Arial" w:hAnsi="Arial" w:cs="Arial"/>
                <w:color w:val="000000"/>
                <w:sz w:val="18"/>
                <w:szCs w:val="18"/>
              </w:rPr>
              <w:t>,</w:t>
            </w:r>
            <w:r>
              <w:rPr>
                <w:rFonts w:ascii="Arial" w:hAnsi="Arial" w:cs="Arial"/>
                <w:color w:val="000000"/>
                <w:sz w:val="18"/>
                <w:szCs w:val="18"/>
              </w:rPr>
              <w:t xml:space="preserve">2 </w:t>
            </w:r>
          </w:p>
        </w:tc>
        <w:tc>
          <w:tcPr>
            <w:tcW w:w="1594" w:type="dxa"/>
            <w:tcBorders>
              <w:bottom w:val="nil"/>
              <w:right w:val="single" w:sz="2" w:space="0" w:color="BFBFBF" w:themeColor="background1" w:themeShade="BF"/>
            </w:tcBorders>
            <w:vAlign w:val="center"/>
          </w:tcPr>
          <w:p w14:paraId="792C7D03" w14:textId="3A156665" w:rsidR="00A32CE2" w:rsidRPr="00FB20CB" w:rsidRDefault="00A32CE2" w:rsidP="00A32CE2">
            <w:pPr>
              <w:jc w:val="right"/>
              <w:rPr>
                <w:rFonts w:ascii="Arial" w:hAnsi="Arial" w:cs="Arial"/>
                <w:color w:val="000000"/>
                <w:szCs w:val="22"/>
                <w:lang w:val="el-GR" w:eastAsia="el-GR"/>
              </w:rPr>
            </w:pPr>
            <w:r>
              <w:rPr>
                <w:rFonts w:ascii="Arial" w:hAnsi="Arial" w:cs="Arial"/>
                <w:color w:val="000000"/>
                <w:sz w:val="18"/>
                <w:szCs w:val="18"/>
              </w:rPr>
              <w:t>1</w:t>
            </w:r>
            <w:r w:rsidR="008E4D94">
              <w:rPr>
                <w:rFonts w:ascii="Arial" w:hAnsi="Arial" w:cs="Arial"/>
                <w:color w:val="000000"/>
                <w:sz w:val="18"/>
                <w:szCs w:val="18"/>
              </w:rPr>
              <w:t>,</w:t>
            </w:r>
            <w:r>
              <w:rPr>
                <w:rFonts w:ascii="Arial" w:hAnsi="Arial" w:cs="Arial"/>
                <w:color w:val="000000"/>
                <w:sz w:val="18"/>
                <w:szCs w:val="18"/>
              </w:rPr>
              <w:t xml:space="preserve">0 </w:t>
            </w:r>
          </w:p>
        </w:tc>
        <w:tc>
          <w:tcPr>
            <w:tcW w:w="1594" w:type="dxa"/>
            <w:tcBorders>
              <w:left w:val="single" w:sz="2" w:space="0" w:color="BFBFBF" w:themeColor="background1" w:themeShade="BF"/>
              <w:bottom w:val="nil"/>
            </w:tcBorders>
            <w:vAlign w:val="center"/>
          </w:tcPr>
          <w:p w14:paraId="3AC4CC09" w14:textId="1A6A90A1" w:rsidR="00A32CE2" w:rsidRPr="00FB20CB" w:rsidRDefault="00A32CE2" w:rsidP="00A32CE2">
            <w:pPr>
              <w:jc w:val="right"/>
              <w:rPr>
                <w:rFonts w:ascii="Arial" w:hAnsi="Arial" w:cs="Arial"/>
                <w:color w:val="000000"/>
                <w:szCs w:val="22"/>
                <w:lang w:val="el-GR" w:eastAsia="el-GR"/>
              </w:rPr>
            </w:pPr>
            <w:r>
              <w:rPr>
                <w:rFonts w:ascii="Arial" w:hAnsi="Arial" w:cs="Arial"/>
                <w:color w:val="000000"/>
                <w:sz w:val="18"/>
                <w:szCs w:val="18"/>
              </w:rPr>
              <w:t>0</w:t>
            </w:r>
            <w:r w:rsidR="008E4D94">
              <w:rPr>
                <w:rFonts w:ascii="Arial" w:hAnsi="Arial" w:cs="Arial"/>
                <w:color w:val="000000"/>
                <w:sz w:val="18"/>
                <w:szCs w:val="18"/>
              </w:rPr>
              <w:t>,</w:t>
            </w:r>
            <w:r>
              <w:rPr>
                <w:rFonts w:ascii="Arial" w:hAnsi="Arial" w:cs="Arial"/>
                <w:color w:val="000000"/>
                <w:sz w:val="18"/>
                <w:szCs w:val="18"/>
              </w:rPr>
              <w:t xml:space="preserve">8 </w:t>
            </w:r>
          </w:p>
        </w:tc>
        <w:tc>
          <w:tcPr>
            <w:tcW w:w="1594" w:type="dxa"/>
            <w:tcBorders>
              <w:bottom w:val="nil"/>
            </w:tcBorders>
            <w:vAlign w:val="center"/>
          </w:tcPr>
          <w:p w14:paraId="2AD43722" w14:textId="481EF511" w:rsidR="00A32CE2" w:rsidRPr="00FB20CB" w:rsidRDefault="00A32CE2" w:rsidP="00A32CE2">
            <w:pPr>
              <w:jc w:val="right"/>
              <w:rPr>
                <w:rFonts w:ascii="Arial" w:hAnsi="Arial" w:cs="Arial"/>
                <w:color w:val="000000"/>
                <w:szCs w:val="22"/>
                <w:lang w:val="el-GR" w:eastAsia="el-GR"/>
              </w:rPr>
            </w:pPr>
            <w:r>
              <w:rPr>
                <w:rFonts w:ascii="Arial" w:hAnsi="Arial" w:cs="Arial"/>
                <w:color w:val="000000"/>
                <w:sz w:val="18"/>
                <w:szCs w:val="18"/>
              </w:rPr>
              <w:t>1</w:t>
            </w:r>
            <w:r w:rsidR="008E4D94">
              <w:rPr>
                <w:rFonts w:ascii="Arial" w:hAnsi="Arial" w:cs="Arial"/>
                <w:color w:val="000000"/>
                <w:sz w:val="18"/>
                <w:szCs w:val="18"/>
              </w:rPr>
              <w:t>,</w:t>
            </w:r>
            <w:r>
              <w:rPr>
                <w:rFonts w:ascii="Arial" w:hAnsi="Arial" w:cs="Arial"/>
                <w:color w:val="000000"/>
                <w:sz w:val="18"/>
                <w:szCs w:val="18"/>
              </w:rPr>
              <w:t xml:space="preserve">0 </w:t>
            </w:r>
          </w:p>
        </w:tc>
      </w:tr>
      <w:tr w:rsidR="00A32CE2" w14:paraId="2DA54D0A" w14:textId="77777777" w:rsidTr="001F1F41">
        <w:trPr>
          <w:trHeight w:val="252"/>
        </w:trPr>
        <w:tc>
          <w:tcPr>
            <w:tcW w:w="4186" w:type="dxa"/>
            <w:tcBorders>
              <w:top w:val="nil"/>
              <w:bottom w:val="nil"/>
              <w:right w:val="single" w:sz="2" w:space="0" w:color="BFBFBF" w:themeColor="background1" w:themeShade="BF"/>
            </w:tcBorders>
            <w:shd w:val="clear" w:color="auto" w:fill="F2F2F2" w:themeFill="background1" w:themeFillShade="F2"/>
            <w:vAlign w:val="center"/>
          </w:tcPr>
          <w:p w14:paraId="743935EE" w14:textId="77777777" w:rsidR="00A32CE2" w:rsidRPr="00FB20CB" w:rsidRDefault="00A32CE2" w:rsidP="001F1F41">
            <w:pPr>
              <w:rPr>
                <w:rFonts w:ascii="Arial" w:hAnsi="Arial" w:cs="Arial"/>
                <w:color w:val="000000"/>
                <w:szCs w:val="22"/>
                <w:lang w:val="el-GR" w:eastAsia="el-GR"/>
              </w:rPr>
            </w:pPr>
            <w:r w:rsidRPr="001865E9">
              <w:rPr>
                <w:rFonts w:ascii="Arial" w:hAnsi="Arial" w:cs="Arial"/>
                <w:b/>
                <w:sz w:val="18"/>
                <w:szCs w:val="18"/>
              </w:rPr>
              <w:t>Adjusted EBITDA</w:t>
            </w:r>
          </w:p>
        </w:tc>
        <w:tc>
          <w:tcPr>
            <w:tcW w:w="1594" w:type="dxa"/>
            <w:tcBorders>
              <w:top w:val="nil"/>
              <w:left w:val="single" w:sz="2" w:space="0" w:color="BFBFBF" w:themeColor="background1" w:themeShade="BF"/>
              <w:bottom w:val="nil"/>
            </w:tcBorders>
            <w:shd w:val="clear" w:color="auto" w:fill="F2F2F2" w:themeFill="background1" w:themeFillShade="F2"/>
            <w:vAlign w:val="center"/>
          </w:tcPr>
          <w:p w14:paraId="51D6D496" w14:textId="0009E9D8" w:rsidR="00A32CE2" w:rsidRPr="00FB20CB" w:rsidRDefault="00A32CE2" w:rsidP="001F1F41">
            <w:pPr>
              <w:jc w:val="right"/>
              <w:rPr>
                <w:rFonts w:ascii="Arial" w:hAnsi="Arial" w:cs="Arial"/>
                <w:color w:val="000000"/>
                <w:szCs w:val="22"/>
                <w:lang w:val="el-GR" w:eastAsia="el-GR"/>
              </w:rPr>
            </w:pPr>
            <w:r>
              <w:rPr>
                <w:rFonts w:ascii="Arial" w:hAnsi="Arial" w:cs="Arial"/>
                <w:b/>
                <w:bCs/>
                <w:color w:val="000000"/>
                <w:sz w:val="18"/>
                <w:szCs w:val="18"/>
              </w:rPr>
              <w:t>375</w:t>
            </w:r>
            <w:r w:rsidR="008E4D94">
              <w:rPr>
                <w:rFonts w:ascii="Arial" w:hAnsi="Arial" w:cs="Arial"/>
                <w:b/>
                <w:bCs/>
                <w:color w:val="000000"/>
                <w:sz w:val="18"/>
                <w:szCs w:val="18"/>
              </w:rPr>
              <w:t>,</w:t>
            </w:r>
            <w:r>
              <w:rPr>
                <w:rFonts w:ascii="Arial" w:hAnsi="Arial" w:cs="Arial"/>
                <w:b/>
                <w:bCs/>
                <w:color w:val="000000"/>
                <w:sz w:val="18"/>
                <w:szCs w:val="18"/>
              </w:rPr>
              <w:t>0</w:t>
            </w:r>
          </w:p>
        </w:tc>
        <w:tc>
          <w:tcPr>
            <w:tcW w:w="1594" w:type="dxa"/>
            <w:tcBorders>
              <w:top w:val="nil"/>
              <w:bottom w:val="nil"/>
              <w:right w:val="single" w:sz="2" w:space="0" w:color="BFBFBF" w:themeColor="background1" w:themeShade="BF"/>
            </w:tcBorders>
            <w:shd w:val="clear" w:color="auto" w:fill="F2F2F2" w:themeFill="background1" w:themeFillShade="F2"/>
            <w:vAlign w:val="center"/>
          </w:tcPr>
          <w:p w14:paraId="39A65256" w14:textId="59A421F1" w:rsidR="00A32CE2" w:rsidRPr="00FB20CB" w:rsidRDefault="00A32CE2" w:rsidP="001F1F41">
            <w:pPr>
              <w:jc w:val="right"/>
              <w:rPr>
                <w:rFonts w:ascii="Arial" w:hAnsi="Arial" w:cs="Arial"/>
                <w:color w:val="000000"/>
                <w:szCs w:val="22"/>
                <w:lang w:val="el-GR" w:eastAsia="el-GR"/>
              </w:rPr>
            </w:pPr>
            <w:r>
              <w:rPr>
                <w:rFonts w:ascii="Arial" w:hAnsi="Arial" w:cs="Arial"/>
                <w:b/>
                <w:bCs/>
                <w:color w:val="000000"/>
                <w:sz w:val="18"/>
                <w:szCs w:val="18"/>
              </w:rPr>
              <w:t>367</w:t>
            </w:r>
            <w:r w:rsidR="008E4D94">
              <w:rPr>
                <w:rFonts w:ascii="Arial" w:hAnsi="Arial" w:cs="Arial"/>
                <w:b/>
                <w:bCs/>
                <w:color w:val="000000"/>
                <w:sz w:val="18"/>
                <w:szCs w:val="18"/>
              </w:rPr>
              <w:t>,</w:t>
            </w:r>
            <w:r>
              <w:rPr>
                <w:rFonts w:ascii="Arial" w:hAnsi="Arial" w:cs="Arial"/>
                <w:b/>
                <w:bCs/>
                <w:color w:val="000000"/>
                <w:sz w:val="18"/>
                <w:szCs w:val="18"/>
              </w:rPr>
              <w:t>2</w:t>
            </w:r>
          </w:p>
        </w:tc>
        <w:tc>
          <w:tcPr>
            <w:tcW w:w="1594" w:type="dxa"/>
            <w:tcBorders>
              <w:top w:val="nil"/>
              <w:left w:val="single" w:sz="2" w:space="0" w:color="BFBFBF" w:themeColor="background1" w:themeShade="BF"/>
              <w:bottom w:val="nil"/>
            </w:tcBorders>
            <w:shd w:val="clear" w:color="auto" w:fill="F2F2F2" w:themeFill="background1" w:themeFillShade="F2"/>
            <w:vAlign w:val="center"/>
          </w:tcPr>
          <w:p w14:paraId="3CB190E6" w14:textId="6F54F83B" w:rsidR="00A32CE2" w:rsidRPr="00FB20CB" w:rsidRDefault="00A32CE2" w:rsidP="001F1F41">
            <w:pPr>
              <w:jc w:val="right"/>
              <w:rPr>
                <w:rFonts w:ascii="Arial" w:hAnsi="Arial" w:cs="Arial"/>
                <w:color w:val="000000"/>
                <w:szCs w:val="22"/>
                <w:lang w:val="el-GR" w:eastAsia="el-GR"/>
              </w:rPr>
            </w:pPr>
            <w:r>
              <w:rPr>
                <w:rFonts w:ascii="Arial" w:hAnsi="Arial" w:cs="Arial"/>
                <w:b/>
                <w:bCs/>
                <w:color w:val="000000"/>
                <w:sz w:val="18"/>
                <w:szCs w:val="18"/>
              </w:rPr>
              <w:t>1</w:t>
            </w:r>
            <w:r w:rsidR="008E4D94">
              <w:rPr>
                <w:rFonts w:ascii="Arial" w:hAnsi="Arial" w:cs="Arial"/>
                <w:b/>
                <w:bCs/>
                <w:color w:val="000000"/>
                <w:sz w:val="18"/>
                <w:szCs w:val="18"/>
              </w:rPr>
              <w:t>.</w:t>
            </w:r>
            <w:r>
              <w:rPr>
                <w:rFonts w:ascii="Arial" w:hAnsi="Arial" w:cs="Arial"/>
                <w:b/>
                <w:bCs/>
                <w:color w:val="000000"/>
                <w:sz w:val="18"/>
                <w:szCs w:val="18"/>
              </w:rPr>
              <w:t>066</w:t>
            </w:r>
            <w:r w:rsidR="008E4D94">
              <w:rPr>
                <w:rFonts w:ascii="Arial" w:hAnsi="Arial" w:cs="Arial"/>
                <w:b/>
                <w:bCs/>
                <w:color w:val="000000"/>
                <w:sz w:val="18"/>
                <w:szCs w:val="18"/>
              </w:rPr>
              <w:t>,</w:t>
            </w:r>
            <w:r>
              <w:rPr>
                <w:rFonts w:ascii="Arial" w:hAnsi="Arial" w:cs="Arial"/>
                <w:b/>
                <w:bCs/>
                <w:color w:val="000000"/>
                <w:sz w:val="18"/>
                <w:szCs w:val="18"/>
              </w:rPr>
              <w:t>4</w:t>
            </w:r>
          </w:p>
        </w:tc>
        <w:tc>
          <w:tcPr>
            <w:tcW w:w="1594" w:type="dxa"/>
            <w:tcBorders>
              <w:top w:val="nil"/>
              <w:bottom w:val="nil"/>
            </w:tcBorders>
            <w:shd w:val="clear" w:color="auto" w:fill="F2F2F2" w:themeFill="background1" w:themeFillShade="F2"/>
            <w:vAlign w:val="center"/>
          </w:tcPr>
          <w:p w14:paraId="0310915D" w14:textId="583286FC" w:rsidR="00A32CE2" w:rsidRPr="00FB20CB" w:rsidRDefault="00A32CE2" w:rsidP="001F1F41">
            <w:pPr>
              <w:jc w:val="right"/>
              <w:rPr>
                <w:rFonts w:ascii="Arial" w:hAnsi="Arial" w:cs="Arial"/>
                <w:color w:val="000000"/>
                <w:szCs w:val="22"/>
                <w:lang w:val="el-GR" w:eastAsia="el-GR"/>
              </w:rPr>
            </w:pPr>
            <w:r>
              <w:rPr>
                <w:rFonts w:ascii="Arial" w:hAnsi="Arial" w:cs="Arial"/>
                <w:b/>
                <w:bCs/>
                <w:color w:val="000000"/>
                <w:sz w:val="18"/>
                <w:szCs w:val="18"/>
              </w:rPr>
              <w:t>1</w:t>
            </w:r>
            <w:r w:rsidR="008E4D94">
              <w:rPr>
                <w:rFonts w:ascii="Arial" w:hAnsi="Arial" w:cs="Arial"/>
                <w:b/>
                <w:bCs/>
                <w:color w:val="000000"/>
                <w:sz w:val="18"/>
                <w:szCs w:val="18"/>
              </w:rPr>
              <w:t>.</w:t>
            </w:r>
            <w:r>
              <w:rPr>
                <w:rFonts w:ascii="Arial" w:hAnsi="Arial" w:cs="Arial"/>
                <w:b/>
                <w:bCs/>
                <w:color w:val="000000"/>
                <w:sz w:val="18"/>
                <w:szCs w:val="18"/>
              </w:rPr>
              <w:t>044</w:t>
            </w:r>
            <w:r w:rsidR="008E4D94">
              <w:rPr>
                <w:rFonts w:ascii="Arial" w:hAnsi="Arial" w:cs="Arial"/>
                <w:b/>
                <w:bCs/>
                <w:color w:val="000000"/>
                <w:sz w:val="18"/>
                <w:szCs w:val="18"/>
              </w:rPr>
              <w:t>,</w:t>
            </w:r>
            <w:r>
              <w:rPr>
                <w:rFonts w:ascii="Arial" w:hAnsi="Arial" w:cs="Arial"/>
                <w:b/>
                <w:bCs/>
                <w:color w:val="000000"/>
                <w:sz w:val="18"/>
                <w:szCs w:val="18"/>
              </w:rPr>
              <w:t>9</w:t>
            </w:r>
          </w:p>
        </w:tc>
      </w:tr>
      <w:tr w:rsidR="00A32CE2" w14:paraId="4F634E94" w14:textId="77777777" w:rsidTr="001F1F41">
        <w:trPr>
          <w:trHeight w:val="252"/>
        </w:trPr>
        <w:tc>
          <w:tcPr>
            <w:tcW w:w="4186" w:type="dxa"/>
            <w:tcBorders>
              <w:top w:val="nil"/>
              <w:right w:val="single" w:sz="2" w:space="0" w:color="BFBFBF" w:themeColor="background1" w:themeShade="BF"/>
            </w:tcBorders>
            <w:vAlign w:val="center"/>
          </w:tcPr>
          <w:p w14:paraId="39895193" w14:textId="6816785C" w:rsidR="00A32CE2" w:rsidRPr="00FB20CB" w:rsidRDefault="00A32CE2" w:rsidP="00A32CE2">
            <w:pPr>
              <w:rPr>
                <w:rFonts w:ascii="Arial" w:hAnsi="Arial" w:cs="Arial"/>
                <w:color w:val="000000"/>
                <w:szCs w:val="22"/>
                <w:lang w:val="el-GR" w:eastAsia="el-GR"/>
              </w:rPr>
            </w:pPr>
            <w:r w:rsidRPr="00F82DE5">
              <w:rPr>
                <w:rFonts w:ascii="Arial" w:hAnsi="Arial" w:cs="Arial"/>
                <w:sz w:val="18"/>
                <w:szCs w:val="18"/>
                <w:lang w:val="el-GR"/>
              </w:rPr>
              <w:t>Αποσβέσεις περιουσιακών στοιχείων με δικαίωμα χρήσης</w:t>
            </w:r>
          </w:p>
        </w:tc>
        <w:tc>
          <w:tcPr>
            <w:tcW w:w="1594" w:type="dxa"/>
            <w:tcBorders>
              <w:top w:val="nil"/>
              <w:left w:val="single" w:sz="2" w:space="0" w:color="BFBFBF" w:themeColor="background1" w:themeShade="BF"/>
            </w:tcBorders>
            <w:vAlign w:val="center"/>
          </w:tcPr>
          <w:p w14:paraId="640B562F" w14:textId="079F388B" w:rsidR="00A32CE2" w:rsidRPr="00FB20CB" w:rsidRDefault="00A32CE2" w:rsidP="00A32CE2">
            <w:pPr>
              <w:jc w:val="right"/>
              <w:rPr>
                <w:rFonts w:ascii="Arial" w:hAnsi="Arial" w:cs="Arial"/>
                <w:color w:val="000000"/>
                <w:szCs w:val="22"/>
                <w:lang w:eastAsia="el-GR"/>
              </w:rPr>
            </w:pPr>
            <w:r>
              <w:rPr>
                <w:rFonts w:ascii="Arial" w:hAnsi="Arial" w:cs="Arial"/>
                <w:color w:val="000000"/>
                <w:sz w:val="18"/>
                <w:szCs w:val="18"/>
              </w:rPr>
              <w:t>(13</w:t>
            </w:r>
            <w:r w:rsidR="008E4D94">
              <w:rPr>
                <w:rFonts w:ascii="Arial" w:hAnsi="Arial" w:cs="Arial"/>
                <w:color w:val="000000"/>
                <w:sz w:val="18"/>
                <w:szCs w:val="18"/>
              </w:rPr>
              <w:t>,</w:t>
            </w:r>
            <w:r>
              <w:rPr>
                <w:rFonts w:ascii="Arial" w:hAnsi="Arial" w:cs="Arial"/>
                <w:color w:val="000000"/>
                <w:sz w:val="18"/>
                <w:szCs w:val="18"/>
              </w:rPr>
              <w:t>0)</w:t>
            </w:r>
          </w:p>
        </w:tc>
        <w:tc>
          <w:tcPr>
            <w:tcW w:w="1594" w:type="dxa"/>
            <w:tcBorders>
              <w:top w:val="nil"/>
              <w:right w:val="single" w:sz="2" w:space="0" w:color="BFBFBF" w:themeColor="background1" w:themeShade="BF"/>
            </w:tcBorders>
            <w:vAlign w:val="center"/>
          </w:tcPr>
          <w:p w14:paraId="21F6247D" w14:textId="426032A3" w:rsidR="00A32CE2" w:rsidRPr="00FB20CB" w:rsidRDefault="00A32CE2" w:rsidP="00A32CE2">
            <w:pPr>
              <w:jc w:val="right"/>
              <w:rPr>
                <w:rFonts w:ascii="Arial" w:hAnsi="Arial" w:cs="Arial"/>
                <w:color w:val="000000"/>
                <w:szCs w:val="22"/>
                <w:lang w:eastAsia="el-GR"/>
              </w:rPr>
            </w:pPr>
            <w:r>
              <w:rPr>
                <w:rFonts w:ascii="Arial" w:hAnsi="Arial" w:cs="Arial"/>
                <w:color w:val="000000"/>
                <w:sz w:val="18"/>
                <w:szCs w:val="18"/>
              </w:rPr>
              <w:t>(12</w:t>
            </w:r>
            <w:r w:rsidR="008E4D94">
              <w:rPr>
                <w:rFonts w:ascii="Arial" w:hAnsi="Arial" w:cs="Arial"/>
                <w:color w:val="000000"/>
                <w:sz w:val="18"/>
                <w:szCs w:val="18"/>
              </w:rPr>
              <w:t>,</w:t>
            </w:r>
            <w:r>
              <w:rPr>
                <w:rFonts w:ascii="Arial" w:hAnsi="Arial" w:cs="Arial"/>
                <w:color w:val="000000"/>
                <w:sz w:val="18"/>
                <w:szCs w:val="18"/>
              </w:rPr>
              <w:t>3)</w:t>
            </w:r>
          </w:p>
        </w:tc>
        <w:tc>
          <w:tcPr>
            <w:tcW w:w="1594" w:type="dxa"/>
            <w:tcBorders>
              <w:top w:val="nil"/>
              <w:left w:val="single" w:sz="2" w:space="0" w:color="BFBFBF" w:themeColor="background1" w:themeShade="BF"/>
            </w:tcBorders>
            <w:vAlign w:val="center"/>
          </w:tcPr>
          <w:p w14:paraId="7AE299F6" w14:textId="6E700776" w:rsidR="00A32CE2" w:rsidRPr="00FB20CB" w:rsidRDefault="00A32CE2" w:rsidP="00A32CE2">
            <w:pPr>
              <w:jc w:val="right"/>
              <w:rPr>
                <w:rFonts w:ascii="Arial" w:hAnsi="Arial" w:cs="Arial"/>
                <w:color w:val="000000"/>
                <w:szCs w:val="22"/>
                <w:lang w:eastAsia="el-GR"/>
              </w:rPr>
            </w:pPr>
            <w:r>
              <w:rPr>
                <w:rFonts w:ascii="Arial" w:hAnsi="Arial" w:cs="Arial"/>
                <w:color w:val="000000"/>
                <w:sz w:val="18"/>
                <w:szCs w:val="18"/>
              </w:rPr>
              <w:t>(38</w:t>
            </w:r>
            <w:r w:rsidR="008E4D94">
              <w:rPr>
                <w:rFonts w:ascii="Arial" w:hAnsi="Arial" w:cs="Arial"/>
                <w:color w:val="000000"/>
                <w:sz w:val="18"/>
                <w:szCs w:val="18"/>
              </w:rPr>
              <w:t>,</w:t>
            </w:r>
            <w:r>
              <w:rPr>
                <w:rFonts w:ascii="Arial" w:hAnsi="Arial" w:cs="Arial"/>
                <w:color w:val="000000"/>
                <w:sz w:val="18"/>
                <w:szCs w:val="18"/>
              </w:rPr>
              <w:t>3)</w:t>
            </w:r>
          </w:p>
        </w:tc>
        <w:tc>
          <w:tcPr>
            <w:tcW w:w="1594" w:type="dxa"/>
            <w:tcBorders>
              <w:top w:val="nil"/>
            </w:tcBorders>
            <w:vAlign w:val="center"/>
          </w:tcPr>
          <w:p w14:paraId="6239684D" w14:textId="23224666" w:rsidR="00A32CE2" w:rsidRPr="00FB20CB" w:rsidRDefault="00A32CE2" w:rsidP="00A32CE2">
            <w:pPr>
              <w:jc w:val="right"/>
              <w:rPr>
                <w:rFonts w:ascii="Arial" w:hAnsi="Arial" w:cs="Arial"/>
                <w:color w:val="000000"/>
                <w:szCs w:val="22"/>
                <w:lang w:eastAsia="el-GR"/>
              </w:rPr>
            </w:pPr>
            <w:r>
              <w:rPr>
                <w:rFonts w:ascii="Arial" w:hAnsi="Arial" w:cs="Arial"/>
                <w:color w:val="000000"/>
                <w:sz w:val="18"/>
                <w:szCs w:val="18"/>
              </w:rPr>
              <w:t>(36</w:t>
            </w:r>
            <w:r w:rsidR="008E4D94">
              <w:rPr>
                <w:rFonts w:ascii="Arial" w:hAnsi="Arial" w:cs="Arial"/>
                <w:color w:val="000000"/>
                <w:sz w:val="18"/>
                <w:szCs w:val="18"/>
              </w:rPr>
              <w:t>,</w:t>
            </w:r>
            <w:r>
              <w:rPr>
                <w:rFonts w:ascii="Arial" w:hAnsi="Arial" w:cs="Arial"/>
                <w:color w:val="000000"/>
                <w:sz w:val="18"/>
                <w:szCs w:val="18"/>
              </w:rPr>
              <w:t>3)</w:t>
            </w:r>
          </w:p>
        </w:tc>
      </w:tr>
      <w:tr w:rsidR="00A32CE2" w14:paraId="1C3A0F87" w14:textId="77777777" w:rsidTr="001F1F41">
        <w:trPr>
          <w:trHeight w:val="252"/>
        </w:trPr>
        <w:tc>
          <w:tcPr>
            <w:tcW w:w="4186" w:type="dxa"/>
            <w:tcBorders>
              <w:bottom w:val="nil"/>
              <w:right w:val="single" w:sz="2" w:space="0" w:color="BFBFBF" w:themeColor="background1" w:themeShade="BF"/>
            </w:tcBorders>
            <w:vAlign w:val="center"/>
          </w:tcPr>
          <w:p w14:paraId="2FCA603A" w14:textId="0172832F" w:rsidR="00A32CE2" w:rsidRPr="00FB20CB" w:rsidRDefault="00A32CE2" w:rsidP="00A32CE2">
            <w:pPr>
              <w:rPr>
                <w:rFonts w:ascii="Arial" w:hAnsi="Arial" w:cs="Arial"/>
                <w:color w:val="000000"/>
                <w:szCs w:val="22"/>
                <w:lang w:val="el-GR" w:eastAsia="el-GR"/>
              </w:rPr>
            </w:pPr>
            <w:r w:rsidRPr="00A7639D">
              <w:rPr>
                <w:rFonts w:ascii="Arial" w:hAnsi="Arial" w:cs="Arial"/>
                <w:sz w:val="18"/>
                <w:szCs w:val="18"/>
                <w:lang w:val="el-GR"/>
              </w:rPr>
              <w:t>Τόκοι επί των υποχρεώσεων από μισθώσεις</w:t>
            </w:r>
          </w:p>
        </w:tc>
        <w:tc>
          <w:tcPr>
            <w:tcW w:w="1594" w:type="dxa"/>
            <w:tcBorders>
              <w:left w:val="single" w:sz="2" w:space="0" w:color="BFBFBF" w:themeColor="background1" w:themeShade="BF"/>
              <w:bottom w:val="nil"/>
            </w:tcBorders>
            <w:vAlign w:val="center"/>
          </w:tcPr>
          <w:p w14:paraId="01DA7075" w14:textId="3A0B4C6A" w:rsidR="00A32CE2" w:rsidRPr="00FB20CB" w:rsidRDefault="00A32CE2" w:rsidP="00A32CE2">
            <w:pPr>
              <w:jc w:val="right"/>
              <w:rPr>
                <w:rFonts w:ascii="Arial" w:hAnsi="Arial" w:cs="Arial"/>
                <w:color w:val="000000"/>
                <w:szCs w:val="22"/>
                <w:lang w:val="el-GR" w:eastAsia="el-GR"/>
              </w:rPr>
            </w:pPr>
            <w:r>
              <w:rPr>
                <w:rFonts w:ascii="Arial" w:hAnsi="Arial" w:cs="Arial"/>
                <w:color w:val="000000"/>
                <w:sz w:val="18"/>
                <w:szCs w:val="18"/>
              </w:rPr>
              <w:t>(1</w:t>
            </w:r>
            <w:r w:rsidR="008E4D94">
              <w:rPr>
                <w:rFonts w:ascii="Arial" w:hAnsi="Arial" w:cs="Arial"/>
                <w:color w:val="000000"/>
                <w:sz w:val="18"/>
                <w:szCs w:val="18"/>
              </w:rPr>
              <w:t>,</w:t>
            </w:r>
            <w:r>
              <w:rPr>
                <w:rFonts w:ascii="Arial" w:hAnsi="Arial" w:cs="Arial"/>
                <w:color w:val="000000"/>
                <w:sz w:val="18"/>
                <w:szCs w:val="18"/>
              </w:rPr>
              <w:t>9)</w:t>
            </w:r>
          </w:p>
        </w:tc>
        <w:tc>
          <w:tcPr>
            <w:tcW w:w="1594" w:type="dxa"/>
            <w:tcBorders>
              <w:bottom w:val="nil"/>
              <w:right w:val="single" w:sz="2" w:space="0" w:color="BFBFBF" w:themeColor="background1" w:themeShade="BF"/>
            </w:tcBorders>
            <w:vAlign w:val="center"/>
          </w:tcPr>
          <w:p w14:paraId="3418F4BF" w14:textId="553C6DB6" w:rsidR="00A32CE2" w:rsidRPr="00FB20CB" w:rsidRDefault="00A32CE2" w:rsidP="00A32CE2">
            <w:pPr>
              <w:jc w:val="right"/>
              <w:rPr>
                <w:rFonts w:ascii="Arial" w:hAnsi="Arial" w:cs="Arial"/>
                <w:color w:val="000000"/>
                <w:szCs w:val="22"/>
                <w:lang w:val="el-GR" w:eastAsia="el-GR"/>
              </w:rPr>
            </w:pPr>
            <w:r>
              <w:rPr>
                <w:rFonts w:ascii="Arial" w:hAnsi="Arial" w:cs="Arial"/>
                <w:color w:val="000000"/>
                <w:sz w:val="18"/>
                <w:szCs w:val="18"/>
              </w:rPr>
              <w:t>(1</w:t>
            </w:r>
            <w:r w:rsidR="008E4D94">
              <w:rPr>
                <w:rFonts w:ascii="Arial" w:hAnsi="Arial" w:cs="Arial"/>
                <w:color w:val="000000"/>
                <w:sz w:val="18"/>
                <w:szCs w:val="18"/>
              </w:rPr>
              <w:t>,</w:t>
            </w:r>
            <w:r>
              <w:rPr>
                <w:rFonts w:ascii="Arial" w:hAnsi="Arial" w:cs="Arial"/>
                <w:color w:val="000000"/>
                <w:sz w:val="18"/>
                <w:szCs w:val="18"/>
              </w:rPr>
              <w:t>8)</w:t>
            </w:r>
          </w:p>
        </w:tc>
        <w:tc>
          <w:tcPr>
            <w:tcW w:w="1594" w:type="dxa"/>
            <w:tcBorders>
              <w:left w:val="single" w:sz="2" w:space="0" w:color="BFBFBF" w:themeColor="background1" w:themeShade="BF"/>
              <w:bottom w:val="nil"/>
            </w:tcBorders>
            <w:vAlign w:val="center"/>
          </w:tcPr>
          <w:p w14:paraId="3C721EBA" w14:textId="4B7147D8" w:rsidR="00A32CE2" w:rsidRPr="00FB20CB" w:rsidRDefault="00A32CE2" w:rsidP="00A32CE2">
            <w:pPr>
              <w:jc w:val="right"/>
              <w:rPr>
                <w:rFonts w:ascii="Arial" w:hAnsi="Arial" w:cs="Arial"/>
                <w:color w:val="000000"/>
                <w:szCs w:val="22"/>
                <w:lang w:val="el-GR" w:eastAsia="el-GR"/>
              </w:rPr>
            </w:pPr>
            <w:r>
              <w:rPr>
                <w:rFonts w:ascii="Arial" w:hAnsi="Arial" w:cs="Arial"/>
                <w:color w:val="000000"/>
                <w:sz w:val="18"/>
                <w:szCs w:val="18"/>
              </w:rPr>
              <w:t>(5</w:t>
            </w:r>
            <w:r w:rsidR="008E4D94">
              <w:rPr>
                <w:rFonts w:ascii="Arial" w:hAnsi="Arial" w:cs="Arial"/>
                <w:color w:val="000000"/>
                <w:sz w:val="18"/>
                <w:szCs w:val="18"/>
              </w:rPr>
              <w:t>,</w:t>
            </w:r>
            <w:r>
              <w:rPr>
                <w:rFonts w:ascii="Arial" w:hAnsi="Arial" w:cs="Arial"/>
                <w:color w:val="000000"/>
                <w:sz w:val="18"/>
                <w:szCs w:val="18"/>
              </w:rPr>
              <w:t>7)</w:t>
            </w:r>
          </w:p>
        </w:tc>
        <w:tc>
          <w:tcPr>
            <w:tcW w:w="1594" w:type="dxa"/>
            <w:tcBorders>
              <w:bottom w:val="nil"/>
            </w:tcBorders>
            <w:vAlign w:val="center"/>
          </w:tcPr>
          <w:p w14:paraId="0111A02A" w14:textId="09486752" w:rsidR="00A32CE2" w:rsidRPr="00FB20CB" w:rsidRDefault="00A32CE2" w:rsidP="00A32CE2">
            <w:pPr>
              <w:jc w:val="right"/>
              <w:rPr>
                <w:rFonts w:ascii="Arial" w:hAnsi="Arial" w:cs="Arial"/>
                <w:color w:val="000000"/>
                <w:szCs w:val="22"/>
                <w:lang w:val="el-GR" w:eastAsia="el-GR"/>
              </w:rPr>
            </w:pPr>
            <w:r>
              <w:rPr>
                <w:rFonts w:ascii="Arial" w:hAnsi="Arial" w:cs="Arial"/>
                <w:color w:val="000000"/>
                <w:sz w:val="18"/>
                <w:szCs w:val="18"/>
              </w:rPr>
              <w:t>(5</w:t>
            </w:r>
            <w:r w:rsidR="008E4D94">
              <w:rPr>
                <w:rFonts w:ascii="Arial" w:hAnsi="Arial" w:cs="Arial"/>
                <w:color w:val="000000"/>
                <w:sz w:val="18"/>
                <w:szCs w:val="18"/>
              </w:rPr>
              <w:t>,</w:t>
            </w:r>
            <w:r>
              <w:rPr>
                <w:rFonts w:ascii="Arial" w:hAnsi="Arial" w:cs="Arial"/>
                <w:color w:val="000000"/>
                <w:sz w:val="18"/>
                <w:szCs w:val="18"/>
              </w:rPr>
              <w:t>5)</w:t>
            </w:r>
          </w:p>
        </w:tc>
      </w:tr>
      <w:tr w:rsidR="00A32CE2" w14:paraId="0FC7B47F" w14:textId="77777777" w:rsidTr="001F1F41">
        <w:trPr>
          <w:trHeight w:val="252"/>
        </w:trPr>
        <w:tc>
          <w:tcPr>
            <w:tcW w:w="4186" w:type="dxa"/>
            <w:tcBorders>
              <w:top w:val="nil"/>
              <w:bottom w:val="nil"/>
              <w:right w:val="single" w:sz="2" w:space="0" w:color="BFBFBF" w:themeColor="background1" w:themeShade="BF"/>
            </w:tcBorders>
            <w:shd w:val="clear" w:color="auto" w:fill="F2F2F2" w:themeFill="background1" w:themeFillShade="F2"/>
            <w:vAlign w:val="center"/>
          </w:tcPr>
          <w:p w14:paraId="7A725E38" w14:textId="660C3F40" w:rsidR="00A32CE2" w:rsidRPr="00FB20CB" w:rsidRDefault="00A32CE2" w:rsidP="00A32CE2">
            <w:pPr>
              <w:rPr>
                <w:rFonts w:ascii="Arial" w:hAnsi="Arial" w:cs="Arial"/>
                <w:szCs w:val="22"/>
                <w:lang w:eastAsia="el-GR"/>
              </w:rPr>
            </w:pPr>
            <w:r>
              <w:rPr>
                <w:rFonts w:ascii="Arial" w:hAnsi="Arial" w:cs="Arial"/>
                <w:b/>
                <w:bCs/>
                <w:sz w:val="18"/>
                <w:szCs w:val="18"/>
                <w:lang w:val="el-GR"/>
              </w:rPr>
              <w:t>Προσαρμοσμένο</w:t>
            </w:r>
            <w:r w:rsidRPr="00810E77">
              <w:rPr>
                <w:rFonts w:ascii="Arial" w:hAnsi="Arial" w:cs="Arial"/>
                <w:b/>
                <w:bCs/>
                <w:sz w:val="18"/>
                <w:szCs w:val="18"/>
              </w:rPr>
              <w:t xml:space="preserve"> EBITDA (AL)</w:t>
            </w:r>
          </w:p>
        </w:tc>
        <w:tc>
          <w:tcPr>
            <w:tcW w:w="1594" w:type="dxa"/>
            <w:tcBorders>
              <w:top w:val="nil"/>
              <w:left w:val="single" w:sz="2" w:space="0" w:color="BFBFBF" w:themeColor="background1" w:themeShade="BF"/>
              <w:bottom w:val="nil"/>
            </w:tcBorders>
            <w:shd w:val="clear" w:color="auto" w:fill="F2F2F2" w:themeFill="background1" w:themeFillShade="F2"/>
            <w:vAlign w:val="center"/>
          </w:tcPr>
          <w:p w14:paraId="10958E2F" w14:textId="3FA849DC" w:rsidR="00A32CE2" w:rsidRPr="00FB20CB" w:rsidRDefault="00A32CE2" w:rsidP="00A32CE2">
            <w:pPr>
              <w:jc w:val="right"/>
              <w:rPr>
                <w:rFonts w:ascii="Arial" w:hAnsi="Arial" w:cs="Arial"/>
                <w:color w:val="000000"/>
                <w:szCs w:val="22"/>
                <w:lang w:val="el-GR" w:eastAsia="el-GR"/>
              </w:rPr>
            </w:pPr>
            <w:r>
              <w:rPr>
                <w:rFonts w:ascii="Arial" w:hAnsi="Arial" w:cs="Arial"/>
                <w:b/>
                <w:bCs/>
                <w:color w:val="000000"/>
                <w:sz w:val="18"/>
                <w:szCs w:val="18"/>
              </w:rPr>
              <w:t>360</w:t>
            </w:r>
            <w:r w:rsidR="008E4D94">
              <w:rPr>
                <w:rFonts w:ascii="Arial" w:hAnsi="Arial" w:cs="Arial"/>
                <w:b/>
                <w:bCs/>
                <w:color w:val="000000"/>
                <w:sz w:val="18"/>
                <w:szCs w:val="18"/>
              </w:rPr>
              <w:t>,</w:t>
            </w:r>
            <w:r>
              <w:rPr>
                <w:rFonts w:ascii="Arial" w:hAnsi="Arial" w:cs="Arial"/>
                <w:b/>
                <w:bCs/>
                <w:color w:val="000000"/>
                <w:sz w:val="18"/>
                <w:szCs w:val="18"/>
              </w:rPr>
              <w:t>1</w:t>
            </w:r>
          </w:p>
        </w:tc>
        <w:tc>
          <w:tcPr>
            <w:tcW w:w="1594" w:type="dxa"/>
            <w:tcBorders>
              <w:top w:val="nil"/>
              <w:bottom w:val="nil"/>
              <w:right w:val="single" w:sz="2" w:space="0" w:color="BFBFBF" w:themeColor="background1" w:themeShade="BF"/>
            </w:tcBorders>
            <w:shd w:val="clear" w:color="auto" w:fill="F2F2F2" w:themeFill="background1" w:themeFillShade="F2"/>
            <w:vAlign w:val="center"/>
          </w:tcPr>
          <w:p w14:paraId="547C584C" w14:textId="7551A5BD" w:rsidR="00A32CE2" w:rsidRPr="00FB20CB" w:rsidRDefault="00A32CE2" w:rsidP="00A32CE2">
            <w:pPr>
              <w:jc w:val="right"/>
              <w:rPr>
                <w:rFonts w:ascii="Arial" w:hAnsi="Arial" w:cs="Arial"/>
                <w:color w:val="000000"/>
                <w:szCs w:val="22"/>
                <w:lang w:val="el-GR" w:eastAsia="el-GR"/>
              </w:rPr>
            </w:pPr>
            <w:r>
              <w:rPr>
                <w:rFonts w:ascii="Arial" w:hAnsi="Arial" w:cs="Arial"/>
                <w:b/>
                <w:bCs/>
                <w:color w:val="000000"/>
                <w:sz w:val="18"/>
                <w:szCs w:val="18"/>
              </w:rPr>
              <w:t>353</w:t>
            </w:r>
            <w:r w:rsidR="008E4D94">
              <w:rPr>
                <w:rFonts w:ascii="Arial" w:hAnsi="Arial" w:cs="Arial"/>
                <w:b/>
                <w:bCs/>
                <w:color w:val="000000"/>
                <w:sz w:val="18"/>
                <w:szCs w:val="18"/>
              </w:rPr>
              <w:t>,</w:t>
            </w:r>
            <w:r>
              <w:rPr>
                <w:rFonts w:ascii="Arial" w:hAnsi="Arial" w:cs="Arial"/>
                <w:b/>
                <w:bCs/>
                <w:color w:val="000000"/>
                <w:sz w:val="18"/>
                <w:szCs w:val="18"/>
              </w:rPr>
              <w:t>1</w:t>
            </w:r>
          </w:p>
        </w:tc>
        <w:tc>
          <w:tcPr>
            <w:tcW w:w="1594" w:type="dxa"/>
            <w:tcBorders>
              <w:top w:val="nil"/>
              <w:left w:val="single" w:sz="2" w:space="0" w:color="BFBFBF" w:themeColor="background1" w:themeShade="BF"/>
              <w:bottom w:val="nil"/>
            </w:tcBorders>
            <w:shd w:val="clear" w:color="auto" w:fill="F2F2F2" w:themeFill="background1" w:themeFillShade="F2"/>
            <w:vAlign w:val="center"/>
          </w:tcPr>
          <w:p w14:paraId="4154306E" w14:textId="160F77A9" w:rsidR="00A32CE2" w:rsidRPr="00FB20CB" w:rsidRDefault="00A32CE2" w:rsidP="00A32CE2">
            <w:pPr>
              <w:jc w:val="right"/>
              <w:rPr>
                <w:rFonts w:ascii="Arial" w:hAnsi="Arial" w:cs="Arial"/>
                <w:color w:val="000000"/>
                <w:szCs w:val="22"/>
                <w:lang w:val="el-GR" w:eastAsia="el-GR"/>
              </w:rPr>
            </w:pPr>
            <w:r>
              <w:rPr>
                <w:rFonts w:ascii="Arial" w:hAnsi="Arial" w:cs="Arial"/>
                <w:b/>
                <w:bCs/>
                <w:color w:val="000000"/>
                <w:sz w:val="18"/>
                <w:szCs w:val="18"/>
              </w:rPr>
              <w:t>1</w:t>
            </w:r>
            <w:r w:rsidR="008E4D94">
              <w:rPr>
                <w:rFonts w:ascii="Arial" w:hAnsi="Arial" w:cs="Arial"/>
                <w:b/>
                <w:bCs/>
                <w:color w:val="000000"/>
                <w:sz w:val="18"/>
                <w:szCs w:val="18"/>
              </w:rPr>
              <w:t>.</w:t>
            </w:r>
            <w:r>
              <w:rPr>
                <w:rFonts w:ascii="Arial" w:hAnsi="Arial" w:cs="Arial"/>
                <w:b/>
                <w:bCs/>
                <w:color w:val="000000"/>
                <w:sz w:val="18"/>
                <w:szCs w:val="18"/>
              </w:rPr>
              <w:t>022</w:t>
            </w:r>
            <w:r w:rsidR="008E4D94">
              <w:rPr>
                <w:rFonts w:ascii="Arial" w:hAnsi="Arial" w:cs="Arial"/>
                <w:b/>
                <w:bCs/>
                <w:color w:val="000000"/>
                <w:sz w:val="18"/>
                <w:szCs w:val="18"/>
              </w:rPr>
              <w:t>,</w:t>
            </w:r>
            <w:r>
              <w:rPr>
                <w:rFonts w:ascii="Arial" w:hAnsi="Arial" w:cs="Arial"/>
                <w:b/>
                <w:bCs/>
                <w:color w:val="000000"/>
                <w:sz w:val="18"/>
                <w:szCs w:val="18"/>
              </w:rPr>
              <w:t>4</w:t>
            </w:r>
          </w:p>
        </w:tc>
        <w:tc>
          <w:tcPr>
            <w:tcW w:w="1594" w:type="dxa"/>
            <w:tcBorders>
              <w:top w:val="nil"/>
              <w:bottom w:val="nil"/>
            </w:tcBorders>
            <w:shd w:val="clear" w:color="auto" w:fill="F2F2F2" w:themeFill="background1" w:themeFillShade="F2"/>
            <w:vAlign w:val="center"/>
          </w:tcPr>
          <w:p w14:paraId="55D2B71D" w14:textId="261AD492" w:rsidR="00A32CE2" w:rsidRPr="00FB20CB" w:rsidRDefault="00A32CE2" w:rsidP="00A32CE2">
            <w:pPr>
              <w:jc w:val="right"/>
              <w:rPr>
                <w:rFonts w:ascii="Arial" w:hAnsi="Arial" w:cs="Arial"/>
                <w:color w:val="000000"/>
                <w:szCs w:val="22"/>
                <w:lang w:val="el-GR" w:eastAsia="el-GR"/>
              </w:rPr>
            </w:pPr>
            <w:r>
              <w:rPr>
                <w:rFonts w:ascii="Arial" w:hAnsi="Arial" w:cs="Arial"/>
                <w:b/>
                <w:bCs/>
                <w:color w:val="000000"/>
                <w:sz w:val="18"/>
                <w:szCs w:val="18"/>
              </w:rPr>
              <w:t>1</w:t>
            </w:r>
            <w:r w:rsidR="008E4D94">
              <w:rPr>
                <w:rFonts w:ascii="Arial" w:hAnsi="Arial" w:cs="Arial"/>
                <w:b/>
                <w:bCs/>
                <w:color w:val="000000"/>
                <w:sz w:val="18"/>
                <w:szCs w:val="18"/>
              </w:rPr>
              <w:t>.</w:t>
            </w:r>
            <w:r>
              <w:rPr>
                <w:rFonts w:ascii="Arial" w:hAnsi="Arial" w:cs="Arial"/>
                <w:b/>
                <w:bCs/>
                <w:color w:val="000000"/>
                <w:sz w:val="18"/>
                <w:szCs w:val="18"/>
              </w:rPr>
              <w:t>003</w:t>
            </w:r>
            <w:r w:rsidR="008E4D94">
              <w:rPr>
                <w:rFonts w:ascii="Arial" w:hAnsi="Arial" w:cs="Arial"/>
                <w:b/>
                <w:bCs/>
                <w:color w:val="000000"/>
                <w:sz w:val="18"/>
                <w:szCs w:val="18"/>
              </w:rPr>
              <w:t>,</w:t>
            </w:r>
            <w:r>
              <w:rPr>
                <w:rFonts w:ascii="Arial" w:hAnsi="Arial" w:cs="Arial"/>
                <w:b/>
                <w:bCs/>
                <w:color w:val="000000"/>
                <w:sz w:val="18"/>
                <w:szCs w:val="18"/>
              </w:rPr>
              <w:t>1</w:t>
            </w:r>
          </w:p>
        </w:tc>
      </w:tr>
      <w:tr w:rsidR="00A32CE2" w14:paraId="32C4454C" w14:textId="77777777" w:rsidTr="001F1F41">
        <w:trPr>
          <w:trHeight w:val="252"/>
        </w:trPr>
        <w:tc>
          <w:tcPr>
            <w:tcW w:w="4186" w:type="dxa"/>
            <w:tcBorders>
              <w:top w:val="nil"/>
              <w:bottom w:val="single" w:sz="2" w:space="0" w:color="BFBFBF" w:themeColor="background1" w:themeShade="BF"/>
              <w:right w:val="nil"/>
            </w:tcBorders>
            <w:shd w:val="clear" w:color="auto" w:fill="F2F2F2" w:themeFill="background1" w:themeFillShade="F2"/>
            <w:vAlign w:val="center"/>
          </w:tcPr>
          <w:p w14:paraId="7B642142" w14:textId="7470CD41" w:rsidR="00A32CE2" w:rsidRPr="00FB20CB" w:rsidRDefault="00A32CE2" w:rsidP="00A32CE2">
            <w:pPr>
              <w:jc w:val="right"/>
              <w:rPr>
                <w:rFonts w:ascii="Arial" w:hAnsi="Arial" w:cs="Arial"/>
                <w:szCs w:val="22"/>
                <w:lang w:eastAsia="el-GR"/>
              </w:rPr>
            </w:pPr>
            <w:r>
              <w:rPr>
                <w:rFonts w:ascii="Arial" w:hAnsi="Arial" w:cs="Arial"/>
                <w:b/>
                <w:bCs/>
                <w:i/>
                <w:iCs/>
                <w:sz w:val="18"/>
                <w:szCs w:val="18"/>
                <w:lang w:val="el-GR"/>
              </w:rPr>
              <w:t>περιθώριο</w:t>
            </w:r>
            <w:r w:rsidRPr="00810E77">
              <w:rPr>
                <w:rFonts w:ascii="Arial" w:hAnsi="Arial" w:cs="Arial"/>
                <w:b/>
                <w:bCs/>
                <w:i/>
                <w:iCs/>
                <w:sz w:val="18"/>
                <w:szCs w:val="18"/>
              </w:rPr>
              <w:t xml:space="preserve"> %</w:t>
            </w:r>
          </w:p>
        </w:tc>
        <w:tc>
          <w:tcPr>
            <w:tcW w:w="1594" w:type="dxa"/>
            <w:tcBorders>
              <w:top w:val="nil"/>
              <w:left w:val="nil"/>
              <w:bottom w:val="single" w:sz="2" w:space="0" w:color="BFBFBF" w:themeColor="background1" w:themeShade="BF"/>
              <w:right w:val="nil"/>
            </w:tcBorders>
            <w:shd w:val="clear" w:color="auto" w:fill="F2F2F2" w:themeFill="background1" w:themeFillShade="F2"/>
            <w:vAlign w:val="center"/>
          </w:tcPr>
          <w:p w14:paraId="4B5CD8DD" w14:textId="7F25A725" w:rsidR="00A32CE2" w:rsidRPr="00FB20CB" w:rsidRDefault="00A32CE2" w:rsidP="00A32CE2">
            <w:pPr>
              <w:jc w:val="right"/>
              <w:rPr>
                <w:rFonts w:ascii="Arial" w:hAnsi="Arial" w:cs="Arial"/>
                <w:color w:val="000000"/>
                <w:szCs w:val="22"/>
                <w:lang w:val="el-GR" w:eastAsia="el-GR"/>
              </w:rPr>
            </w:pPr>
            <w:r>
              <w:rPr>
                <w:rFonts w:ascii="Arial" w:hAnsi="Arial" w:cs="Arial"/>
                <w:b/>
                <w:bCs/>
                <w:i/>
                <w:iCs/>
                <w:color w:val="000000"/>
                <w:sz w:val="18"/>
                <w:szCs w:val="18"/>
              </w:rPr>
              <w:t>41</w:t>
            </w:r>
            <w:r w:rsidR="008E4D94">
              <w:rPr>
                <w:rFonts w:ascii="Arial" w:hAnsi="Arial" w:cs="Arial"/>
                <w:b/>
                <w:bCs/>
                <w:i/>
                <w:iCs/>
                <w:color w:val="000000"/>
                <w:sz w:val="18"/>
                <w:szCs w:val="18"/>
              </w:rPr>
              <w:t>,</w:t>
            </w:r>
            <w:r>
              <w:rPr>
                <w:rFonts w:ascii="Arial" w:hAnsi="Arial" w:cs="Arial"/>
                <w:b/>
                <w:bCs/>
                <w:i/>
                <w:iCs/>
                <w:color w:val="000000"/>
                <w:sz w:val="18"/>
                <w:szCs w:val="18"/>
              </w:rPr>
              <w:t>2%</w:t>
            </w:r>
          </w:p>
        </w:tc>
        <w:tc>
          <w:tcPr>
            <w:tcW w:w="1594" w:type="dxa"/>
            <w:tcBorders>
              <w:top w:val="nil"/>
              <w:left w:val="nil"/>
              <w:bottom w:val="single" w:sz="2" w:space="0" w:color="BFBFBF" w:themeColor="background1" w:themeShade="BF"/>
              <w:right w:val="nil"/>
            </w:tcBorders>
            <w:shd w:val="clear" w:color="auto" w:fill="F2F2F2" w:themeFill="background1" w:themeFillShade="F2"/>
            <w:vAlign w:val="center"/>
          </w:tcPr>
          <w:p w14:paraId="43F861BD" w14:textId="6D08968C" w:rsidR="00A32CE2" w:rsidRPr="00FB20CB" w:rsidRDefault="00A32CE2" w:rsidP="00A32CE2">
            <w:pPr>
              <w:jc w:val="right"/>
              <w:rPr>
                <w:rFonts w:ascii="Arial" w:hAnsi="Arial" w:cs="Arial"/>
                <w:color w:val="000000"/>
                <w:szCs w:val="22"/>
                <w:lang w:val="el-GR" w:eastAsia="el-GR"/>
              </w:rPr>
            </w:pPr>
            <w:r>
              <w:rPr>
                <w:rFonts w:ascii="Arial" w:hAnsi="Arial" w:cs="Arial"/>
                <w:b/>
                <w:bCs/>
                <w:i/>
                <w:iCs/>
                <w:color w:val="000000"/>
                <w:sz w:val="18"/>
                <w:szCs w:val="18"/>
              </w:rPr>
              <w:t>42</w:t>
            </w:r>
            <w:r w:rsidR="008E4D94">
              <w:rPr>
                <w:rFonts w:ascii="Arial" w:hAnsi="Arial" w:cs="Arial"/>
                <w:b/>
                <w:bCs/>
                <w:i/>
                <w:iCs/>
                <w:color w:val="000000"/>
                <w:sz w:val="18"/>
                <w:szCs w:val="18"/>
              </w:rPr>
              <w:t>,</w:t>
            </w:r>
            <w:r>
              <w:rPr>
                <w:rFonts w:ascii="Arial" w:hAnsi="Arial" w:cs="Arial"/>
                <w:b/>
                <w:bCs/>
                <w:i/>
                <w:iCs/>
                <w:color w:val="000000"/>
                <w:sz w:val="18"/>
                <w:szCs w:val="18"/>
              </w:rPr>
              <w:t>4%</w:t>
            </w:r>
          </w:p>
        </w:tc>
        <w:tc>
          <w:tcPr>
            <w:tcW w:w="1594" w:type="dxa"/>
            <w:tcBorders>
              <w:top w:val="nil"/>
              <w:left w:val="nil"/>
              <w:bottom w:val="single" w:sz="2" w:space="0" w:color="BFBFBF" w:themeColor="background1" w:themeShade="BF"/>
              <w:right w:val="nil"/>
            </w:tcBorders>
            <w:shd w:val="clear" w:color="auto" w:fill="F2F2F2" w:themeFill="background1" w:themeFillShade="F2"/>
            <w:vAlign w:val="center"/>
          </w:tcPr>
          <w:p w14:paraId="2ACA6621" w14:textId="59F4FCDF" w:rsidR="00A32CE2" w:rsidRPr="00FB20CB" w:rsidRDefault="00A32CE2" w:rsidP="00A32CE2">
            <w:pPr>
              <w:jc w:val="right"/>
              <w:rPr>
                <w:rFonts w:ascii="Arial" w:hAnsi="Arial" w:cs="Arial"/>
                <w:color w:val="000000"/>
                <w:szCs w:val="22"/>
                <w:lang w:val="el-GR" w:eastAsia="el-GR"/>
              </w:rPr>
            </w:pPr>
            <w:r>
              <w:rPr>
                <w:rFonts w:ascii="Arial" w:hAnsi="Arial" w:cs="Arial"/>
                <w:b/>
                <w:bCs/>
                <w:i/>
                <w:iCs/>
                <w:color w:val="000000"/>
                <w:sz w:val="18"/>
                <w:szCs w:val="18"/>
              </w:rPr>
              <w:t>40</w:t>
            </w:r>
            <w:r w:rsidR="008E4D94">
              <w:rPr>
                <w:rFonts w:ascii="Arial" w:hAnsi="Arial" w:cs="Arial"/>
                <w:b/>
                <w:bCs/>
                <w:i/>
                <w:iCs/>
                <w:color w:val="000000"/>
                <w:sz w:val="18"/>
                <w:szCs w:val="18"/>
              </w:rPr>
              <w:t>,</w:t>
            </w:r>
            <w:r>
              <w:rPr>
                <w:rFonts w:ascii="Arial" w:hAnsi="Arial" w:cs="Arial"/>
                <w:b/>
                <w:bCs/>
                <w:i/>
                <w:iCs/>
                <w:color w:val="000000"/>
                <w:sz w:val="18"/>
                <w:szCs w:val="18"/>
              </w:rPr>
              <w:t>1%</w:t>
            </w:r>
          </w:p>
        </w:tc>
        <w:tc>
          <w:tcPr>
            <w:tcW w:w="1594" w:type="dxa"/>
            <w:tcBorders>
              <w:top w:val="nil"/>
              <w:left w:val="nil"/>
              <w:bottom w:val="single" w:sz="2" w:space="0" w:color="BFBFBF" w:themeColor="background1" w:themeShade="BF"/>
            </w:tcBorders>
            <w:shd w:val="clear" w:color="auto" w:fill="F2F2F2" w:themeFill="background1" w:themeFillShade="F2"/>
            <w:vAlign w:val="center"/>
          </w:tcPr>
          <w:p w14:paraId="31BCCAFE" w14:textId="5EE6F0EE" w:rsidR="00A32CE2" w:rsidRPr="00FB20CB" w:rsidRDefault="00A32CE2" w:rsidP="00A32CE2">
            <w:pPr>
              <w:jc w:val="right"/>
              <w:rPr>
                <w:rFonts w:ascii="Arial" w:hAnsi="Arial" w:cs="Arial"/>
                <w:color w:val="000000"/>
                <w:szCs w:val="22"/>
                <w:lang w:val="el-GR" w:eastAsia="el-GR"/>
              </w:rPr>
            </w:pPr>
            <w:r>
              <w:rPr>
                <w:rFonts w:ascii="Arial" w:hAnsi="Arial" w:cs="Arial"/>
                <w:b/>
                <w:bCs/>
                <w:i/>
                <w:iCs/>
                <w:color w:val="000000"/>
                <w:sz w:val="18"/>
                <w:szCs w:val="18"/>
              </w:rPr>
              <w:t>40</w:t>
            </w:r>
            <w:r w:rsidR="008E4D94">
              <w:rPr>
                <w:rFonts w:ascii="Arial" w:hAnsi="Arial" w:cs="Arial"/>
                <w:b/>
                <w:bCs/>
                <w:i/>
                <w:iCs/>
                <w:color w:val="000000"/>
                <w:sz w:val="18"/>
                <w:szCs w:val="18"/>
              </w:rPr>
              <w:t>,</w:t>
            </w:r>
            <w:r>
              <w:rPr>
                <w:rFonts w:ascii="Arial" w:hAnsi="Arial" w:cs="Arial"/>
                <w:b/>
                <w:bCs/>
                <w:i/>
                <w:iCs/>
                <w:color w:val="000000"/>
                <w:sz w:val="18"/>
                <w:szCs w:val="18"/>
              </w:rPr>
              <w:t>3%</w:t>
            </w:r>
          </w:p>
        </w:tc>
      </w:tr>
    </w:tbl>
    <w:p w14:paraId="33B294A4" w14:textId="77777777" w:rsidR="008E3861" w:rsidRPr="009538AF" w:rsidRDefault="008E3861" w:rsidP="00E026B6">
      <w:pPr>
        <w:spacing w:after="0" w:line="240" w:lineRule="auto"/>
        <w:jc w:val="both"/>
        <w:rPr>
          <w:rFonts w:ascii="Arial" w:eastAsia="Times New Roman" w:hAnsi="Arial" w:cs="Arial"/>
          <w:b/>
          <w:color w:val="004B87"/>
          <w:lang w:val="en-US"/>
        </w:rPr>
      </w:pPr>
    </w:p>
    <w:p w14:paraId="5E0386D4" w14:textId="4E25C669" w:rsidR="00CE2C0F" w:rsidRPr="00E026B6" w:rsidRDefault="009E285A" w:rsidP="00E026B6">
      <w:pPr>
        <w:spacing w:after="0" w:line="240" w:lineRule="auto"/>
        <w:jc w:val="both"/>
        <w:rPr>
          <w:rFonts w:ascii="Arial" w:eastAsia="Times New Roman" w:hAnsi="Arial" w:cs="Arial"/>
          <w:b/>
          <w:color w:val="004B87"/>
        </w:rPr>
      </w:pPr>
      <w:r w:rsidRPr="00E026B6">
        <w:rPr>
          <w:rFonts w:ascii="Arial" w:eastAsia="Times New Roman" w:hAnsi="Arial" w:cs="Arial"/>
          <w:b/>
          <w:color w:val="004B87"/>
        </w:rPr>
        <w:t>Επενδύσεις</w:t>
      </w:r>
      <w:r w:rsidR="004E1B69" w:rsidRPr="00E026B6">
        <w:rPr>
          <w:rFonts w:ascii="Arial" w:eastAsia="Times New Roman" w:hAnsi="Arial" w:cs="Arial"/>
          <w:b/>
          <w:color w:val="004B87"/>
        </w:rPr>
        <w:t xml:space="preserve"> (και </w:t>
      </w:r>
      <w:r w:rsidR="00AE07D0" w:rsidRPr="00E026B6">
        <w:rPr>
          <w:rFonts w:ascii="Arial" w:eastAsia="Times New Roman" w:hAnsi="Arial" w:cs="Arial"/>
          <w:b/>
          <w:color w:val="004B87"/>
        </w:rPr>
        <w:t>προσαρμοσμένες</w:t>
      </w:r>
      <w:r w:rsidR="004E1B69" w:rsidRPr="00E026B6">
        <w:rPr>
          <w:rFonts w:ascii="Arial" w:eastAsia="Times New Roman" w:hAnsi="Arial" w:cs="Arial"/>
          <w:b/>
          <w:color w:val="004B87"/>
        </w:rPr>
        <w:t xml:space="preserve"> επενδύσεις)</w:t>
      </w:r>
      <w:r w:rsidRPr="00E026B6">
        <w:rPr>
          <w:rFonts w:ascii="Arial" w:eastAsia="Times New Roman" w:hAnsi="Arial" w:cs="Arial"/>
          <w:b/>
          <w:color w:val="004B87"/>
        </w:rPr>
        <w:t xml:space="preserve"> σε πάγια περιουσιακά στοιχεία </w:t>
      </w:r>
    </w:p>
    <w:p w14:paraId="5F993AEA" w14:textId="26FF7764" w:rsidR="005C0E70" w:rsidRDefault="009E285A" w:rsidP="00E026B6">
      <w:pPr>
        <w:spacing w:line="280" w:lineRule="exact"/>
        <w:jc w:val="both"/>
        <w:rPr>
          <w:rFonts w:ascii="Arial" w:eastAsia="Times New Roman" w:hAnsi="Arial" w:cs="Arial"/>
        </w:rPr>
      </w:pPr>
      <w:r w:rsidRPr="001D7A36">
        <w:rPr>
          <w:rFonts w:ascii="Arial" w:eastAsia="Times New Roman" w:hAnsi="Arial" w:cs="Arial"/>
        </w:rPr>
        <w:t>Οι επενδύσεις σε πάγια περιουσιακά στοιχεία προκύπτουν απευθείας από τις χρηματοοικονομικές καταστάσεις του Ομίλου, γραμμή «Αγορά ενσώματων και άυλων παγίων περιουσιακών στοιχείων» της κατάστασης Ταμειακών Ροών. Ο Όμιλος χρησιμοποιεί αυτόν τον «ΕΔΜΑ» για να εξασφαλίσει ότι η χρήση των ταμειακών διαθεσίμων γίνεται σύμφωνα με την ευρύτερη στρατηγική του Ομίλου για τη διαχείριση αυτών. Οι Προσαρμοσμένες επενδύσεις σε πάγια περιουσιακά στοιχεία υπολογίζονται αφαιρώντας από τις αγορές ενσώματων και άυλων παγίων περιουσιακών στοιχείων τις καταβολές για αγορά φάσματος.</w:t>
      </w:r>
    </w:p>
    <w:p w14:paraId="78608DD5" w14:textId="77777777" w:rsidR="009016C7" w:rsidRDefault="009016C7" w:rsidP="00E026B6">
      <w:pPr>
        <w:spacing w:line="280" w:lineRule="exact"/>
        <w:jc w:val="both"/>
        <w:rPr>
          <w:rFonts w:ascii="Arial" w:eastAsia="Times New Roman" w:hAnsi="Arial" w:cs="Arial"/>
        </w:rPr>
      </w:pPr>
    </w:p>
    <w:p w14:paraId="0C2E27BB" w14:textId="1905398D" w:rsidR="002306CF" w:rsidRPr="00FB20CB" w:rsidRDefault="009016C7" w:rsidP="009016C7">
      <w:pPr>
        <w:pStyle w:val="Caption"/>
        <w:keepNext/>
        <w:rPr>
          <w:rFonts w:cs="Arial"/>
          <w:lang w:val="el-GR"/>
        </w:rPr>
      </w:pPr>
      <w:r w:rsidRPr="00FB20CB">
        <w:rPr>
          <w:rFonts w:cs="Arial"/>
          <w:lang w:val="el-GR"/>
        </w:rPr>
        <w:t>Επενδύσεις</w:t>
      </w:r>
    </w:p>
    <w:tbl>
      <w:tblPr>
        <w:tblStyle w:val="TableGrid"/>
        <w:tblW w:w="10624" w:type="dxa"/>
        <w:tblBorders>
          <w:top w:val="single" w:sz="2" w:space="0" w:color="808080" w:themeColor="background1" w:themeShade="80"/>
          <w:left w:val="none" w:sz="0" w:space="0" w:color="auto"/>
          <w:bottom w:val="single" w:sz="2" w:space="0" w:color="808080" w:themeColor="background1" w:themeShade="80"/>
          <w:right w:val="none" w:sz="0" w:space="0" w:color="auto"/>
          <w:insideH w:val="none" w:sz="0" w:space="0" w:color="auto"/>
          <w:insideV w:val="none" w:sz="0" w:space="0" w:color="auto"/>
        </w:tblBorders>
        <w:tblLook w:val="04A0" w:firstRow="1" w:lastRow="0" w:firstColumn="1" w:lastColumn="0" w:noHBand="0" w:noVBand="1"/>
      </w:tblPr>
      <w:tblGrid>
        <w:gridCol w:w="5139"/>
        <w:gridCol w:w="1402"/>
        <w:gridCol w:w="1361"/>
        <w:gridCol w:w="1361"/>
        <w:gridCol w:w="1361"/>
      </w:tblGrid>
      <w:tr w:rsidR="000B05AD" w:rsidRPr="00286E9D" w14:paraId="333BB4F9" w14:textId="77777777" w:rsidTr="000B05AD">
        <w:trPr>
          <w:trHeight w:val="387"/>
        </w:trPr>
        <w:tc>
          <w:tcPr>
            <w:tcW w:w="5139" w:type="dxa"/>
            <w:tcBorders>
              <w:top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7B26CAC4" w14:textId="4D35FA36" w:rsidR="000B05AD" w:rsidRPr="00564663" w:rsidRDefault="000B05AD" w:rsidP="000B05AD">
            <w:pPr>
              <w:pStyle w:val="ColorfulList-Accent11"/>
              <w:tabs>
                <w:tab w:val="left" w:pos="0"/>
                <w:tab w:val="left" w:pos="284"/>
              </w:tabs>
              <w:ind w:left="0" w:right="-90"/>
              <w:rPr>
                <w:rFonts w:ascii="Arial" w:hAnsi="Arial" w:cs="Arial"/>
                <w:b/>
                <w:sz w:val="18"/>
              </w:rPr>
            </w:pPr>
            <w:bookmarkStart w:id="11" w:name="_Hlk125463950"/>
            <w:bookmarkEnd w:id="10"/>
            <w:proofErr w:type="spellStart"/>
            <w:r w:rsidRPr="00A7639D">
              <w:rPr>
                <w:rFonts w:ascii="Arial" w:hAnsi="Arial" w:cs="Arial"/>
                <w:b/>
                <w:sz w:val="18"/>
                <w:szCs w:val="18"/>
              </w:rPr>
              <w:t>Όμιλος</w:t>
            </w:r>
            <w:proofErr w:type="spellEnd"/>
            <w:r w:rsidRPr="00A7639D">
              <w:rPr>
                <w:rFonts w:ascii="Arial" w:hAnsi="Arial" w:cs="Arial"/>
                <w:b/>
                <w:sz w:val="18"/>
                <w:szCs w:val="18"/>
              </w:rPr>
              <w:t xml:space="preserve"> </w:t>
            </w:r>
            <w:proofErr w:type="gramStart"/>
            <w:r w:rsidRPr="00A7639D">
              <w:rPr>
                <w:rFonts w:ascii="Arial" w:hAnsi="Arial" w:cs="Arial"/>
                <w:b/>
                <w:sz w:val="18"/>
                <w:szCs w:val="18"/>
              </w:rPr>
              <w:t>-(</w:t>
            </w:r>
            <w:proofErr w:type="spellStart"/>
            <w:proofErr w:type="gramEnd"/>
            <w:r w:rsidRPr="00A7639D">
              <w:rPr>
                <w:rFonts w:ascii="Arial" w:hAnsi="Arial" w:cs="Arial"/>
                <w:b/>
                <w:sz w:val="18"/>
                <w:szCs w:val="18"/>
              </w:rPr>
              <w:t>Ευρώ</w:t>
            </w:r>
            <w:proofErr w:type="spellEnd"/>
            <w:r w:rsidRPr="00A7639D">
              <w:rPr>
                <w:rFonts w:ascii="Arial" w:hAnsi="Arial" w:cs="Arial"/>
                <w:b/>
                <w:sz w:val="18"/>
                <w:szCs w:val="18"/>
              </w:rPr>
              <w:t xml:space="preserve"> </w:t>
            </w:r>
            <w:proofErr w:type="spellStart"/>
            <w:r w:rsidRPr="00A7639D">
              <w:rPr>
                <w:rFonts w:ascii="Arial" w:hAnsi="Arial" w:cs="Arial"/>
                <w:b/>
                <w:sz w:val="18"/>
                <w:szCs w:val="18"/>
              </w:rPr>
              <w:t>εκ</w:t>
            </w:r>
            <w:proofErr w:type="spellEnd"/>
            <w:r w:rsidRPr="00A7639D">
              <w:rPr>
                <w:rFonts w:ascii="Arial" w:hAnsi="Arial" w:cs="Arial"/>
                <w:b/>
                <w:sz w:val="18"/>
                <w:szCs w:val="18"/>
              </w:rPr>
              <w:t>ατ.)</w:t>
            </w:r>
          </w:p>
        </w:tc>
        <w:tc>
          <w:tcPr>
            <w:tcW w:w="1402" w:type="dxa"/>
            <w:tcBorders>
              <w:top w:val="single" w:sz="2" w:space="0" w:color="808080" w:themeColor="background1" w:themeShade="80"/>
              <w:left w:val="single" w:sz="2" w:space="0" w:color="808080" w:themeColor="background1" w:themeShade="80"/>
              <w:bottom w:val="single" w:sz="2" w:space="0" w:color="808080" w:themeColor="background1" w:themeShade="80"/>
            </w:tcBorders>
            <w:vAlign w:val="center"/>
          </w:tcPr>
          <w:p w14:paraId="29179E93" w14:textId="0A51A2EC" w:rsidR="000B05AD" w:rsidRPr="00564663" w:rsidRDefault="000B05AD" w:rsidP="000B05AD">
            <w:pPr>
              <w:pStyle w:val="ColorfulList-Accent11"/>
              <w:tabs>
                <w:tab w:val="left" w:pos="0"/>
                <w:tab w:val="left" w:pos="284"/>
              </w:tabs>
              <w:ind w:left="0" w:right="-90"/>
              <w:jc w:val="center"/>
              <w:rPr>
                <w:rFonts w:ascii="Arial" w:hAnsi="Arial" w:cs="Arial"/>
                <w:i/>
                <w:sz w:val="18"/>
              </w:rPr>
            </w:pPr>
            <w:r w:rsidRPr="00E4041D">
              <w:rPr>
                <w:rFonts w:ascii="Arial" w:hAnsi="Arial" w:cs="Arial"/>
                <w:b/>
                <w:sz w:val="18"/>
              </w:rPr>
              <w:t>Q</w:t>
            </w:r>
            <w:r w:rsidR="00C8250A">
              <w:rPr>
                <w:rFonts w:ascii="Arial" w:hAnsi="Arial" w:cs="Arial"/>
                <w:b/>
                <w:sz w:val="18"/>
              </w:rPr>
              <w:t>3</w:t>
            </w:r>
            <w:r w:rsidRPr="00E4041D">
              <w:rPr>
                <w:rFonts w:ascii="Arial" w:hAnsi="Arial" w:cs="Arial"/>
                <w:b/>
                <w:sz w:val="18"/>
              </w:rPr>
              <w:t>'2</w:t>
            </w:r>
            <w:r>
              <w:rPr>
                <w:rFonts w:ascii="Arial" w:hAnsi="Arial" w:cs="Arial"/>
                <w:b/>
                <w:sz w:val="18"/>
              </w:rPr>
              <w:t>5</w:t>
            </w:r>
          </w:p>
        </w:tc>
        <w:tc>
          <w:tcPr>
            <w:tcW w:w="1361" w:type="dxa"/>
            <w:tcBorders>
              <w:top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0A2B25AD" w14:textId="5DE82414" w:rsidR="000B05AD" w:rsidRPr="00564663" w:rsidRDefault="000B05AD" w:rsidP="000B05AD">
            <w:pPr>
              <w:pStyle w:val="ColorfulList-Accent11"/>
              <w:tabs>
                <w:tab w:val="left" w:pos="0"/>
                <w:tab w:val="left" w:pos="284"/>
              </w:tabs>
              <w:ind w:left="0" w:right="-90"/>
              <w:jc w:val="center"/>
              <w:rPr>
                <w:rFonts w:ascii="Arial" w:hAnsi="Arial" w:cs="Arial"/>
                <w:i/>
                <w:sz w:val="18"/>
              </w:rPr>
            </w:pPr>
            <w:r w:rsidRPr="00E4041D">
              <w:rPr>
                <w:rFonts w:ascii="Arial" w:hAnsi="Arial" w:cs="Arial"/>
                <w:b/>
                <w:sz w:val="18"/>
              </w:rPr>
              <w:t>Q</w:t>
            </w:r>
            <w:r w:rsidR="00C8250A">
              <w:rPr>
                <w:rFonts w:ascii="Arial" w:hAnsi="Arial" w:cs="Arial"/>
                <w:b/>
                <w:sz w:val="18"/>
              </w:rPr>
              <w:t>3</w:t>
            </w:r>
            <w:r w:rsidRPr="00E4041D">
              <w:rPr>
                <w:rFonts w:ascii="Arial" w:hAnsi="Arial" w:cs="Arial"/>
                <w:b/>
                <w:sz w:val="18"/>
              </w:rPr>
              <w:t>'2</w:t>
            </w:r>
            <w:r>
              <w:rPr>
                <w:rFonts w:ascii="Arial" w:hAnsi="Arial" w:cs="Arial"/>
                <w:b/>
                <w:sz w:val="18"/>
              </w:rPr>
              <w:t>4</w:t>
            </w:r>
          </w:p>
        </w:tc>
        <w:tc>
          <w:tcPr>
            <w:tcW w:w="1361" w:type="dxa"/>
            <w:tcBorders>
              <w:top w:val="single" w:sz="2" w:space="0" w:color="808080" w:themeColor="background1" w:themeShade="80"/>
              <w:left w:val="single" w:sz="2" w:space="0" w:color="808080" w:themeColor="background1" w:themeShade="80"/>
              <w:bottom w:val="single" w:sz="2" w:space="0" w:color="808080" w:themeColor="background1" w:themeShade="80"/>
            </w:tcBorders>
            <w:vAlign w:val="center"/>
          </w:tcPr>
          <w:p w14:paraId="34512122" w14:textId="43627C2C" w:rsidR="000B05AD" w:rsidRPr="00564663" w:rsidRDefault="00C8250A" w:rsidP="000B05AD">
            <w:pPr>
              <w:pStyle w:val="ColorfulList-Accent11"/>
              <w:tabs>
                <w:tab w:val="left" w:pos="0"/>
                <w:tab w:val="left" w:pos="284"/>
              </w:tabs>
              <w:ind w:left="0" w:right="-90"/>
              <w:jc w:val="center"/>
              <w:rPr>
                <w:rFonts w:ascii="Arial" w:hAnsi="Arial" w:cs="Arial"/>
                <w:b/>
                <w:sz w:val="18"/>
              </w:rPr>
            </w:pPr>
            <w:r>
              <w:rPr>
                <w:rFonts w:ascii="Arial" w:hAnsi="Arial" w:cs="Arial"/>
                <w:b/>
                <w:sz w:val="18"/>
              </w:rPr>
              <w:t>9</w:t>
            </w:r>
            <w:r w:rsidR="000B05AD" w:rsidRPr="00E4041D">
              <w:rPr>
                <w:rFonts w:ascii="Arial" w:hAnsi="Arial" w:cs="Arial"/>
                <w:b/>
                <w:sz w:val="18"/>
              </w:rPr>
              <w:t>M'2</w:t>
            </w:r>
            <w:r w:rsidR="000B05AD">
              <w:rPr>
                <w:rFonts w:ascii="Arial" w:hAnsi="Arial" w:cs="Arial"/>
                <w:b/>
                <w:sz w:val="18"/>
              </w:rPr>
              <w:t>5</w:t>
            </w:r>
          </w:p>
        </w:tc>
        <w:tc>
          <w:tcPr>
            <w:tcW w:w="1361" w:type="dxa"/>
            <w:tcBorders>
              <w:top w:val="single" w:sz="2" w:space="0" w:color="808080" w:themeColor="background1" w:themeShade="80"/>
              <w:bottom w:val="single" w:sz="2" w:space="0" w:color="808080" w:themeColor="background1" w:themeShade="80"/>
              <w:right w:val="nil"/>
            </w:tcBorders>
            <w:vAlign w:val="center"/>
          </w:tcPr>
          <w:p w14:paraId="2770F38A" w14:textId="743E2C34" w:rsidR="000B05AD" w:rsidRPr="00564663" w:rsidRDefault="00C8250A" w:rsidP="000B05AD">
            <w:pPr>
              <w:pStyle w:val="ColorfulList-Accent11"/>
              <w:tabs>
                <w:tab w:val="left" w:pos="0"/>
                <w:tab w:val="left" w:pos="284"/>
              </w:tabs>
              <w:ind w:left="0" w:right="-90"/>
              <w:jc w:val="center"/>
              <w:rPr>
                <w:rFonts w:ascii="Arial" w:hAnsi="Arial" w:cs="Arial"/>
                <w:b/>
                <w:sz w:val="18"/>
              </w:rPr>
            </w:pPr>
            <w:r>
              <w:rPr>
                <w:rFonts w:ascii="Arial" w:hAnsi="Arial" w:cs="Arial"/>
                <w:b/>
                <w:sz w:val="18"/>
              </w:rPr>
              <w:t>9</w:t>
            </w:r>
            <w:r w:rsidR="000B05AD" w:rsidRPr="00E4041D">
              <w:rPr>
                <w:rFonts w:ascii="Arial" w:hAnsi="Arial" w:cs="Arial"/>
                <w:b/>
                <w:sz w:val="18"/>
              </w:rPr>
              <w:t>M'2</w:t>
            </w:r>
            <w:r w:rsidR="000B05AD">
              <w:rPr>
                <w:rFonts w:ascii="Arial" w:hAnsi="Arial" w:cs="Arial"/>
                <w:b/>
                <w:sz w:val="18"/>
              </w:rPr>
              <w:t>4</w:t>
            </w:r>
          </w:p>
        </w:tc>
      </w:tr>
      <w:tr w:rsidR="003E392A" w:rsidRPr="00286E9D" w14:paraId="631118F7" w14:textId="77777777" w:rsidTr="004044AF">
        <w:trPr>
          <w:trHeight w:val="267"/>
        </w:trPr>
        <w:tc>
          <w:tcPr>
            <w:tcW w:w="5139" w:type="dxa"/>
            <w:tcBorders>
              <w:top w:val="single" w:sz="2" w:space="0" w:color="808080" w:themeColor="background1" w:themeShade="80"/>
              <w:right w:val="single" w:sz="2" w:space="0" w:color="808080" w:themeColor="background1" w:themeShade="80"/>
            </w:tcBorders>
            <w:vAlign w:val="center"/>
          </w:tcPr>
          <w:p w14:paraId="0026EEFF" w14:textId="2ACCD631" w:rsidR="003E392A" w:rsidRPr="000B05AD" w:rsidRDefault="003E392A" w:rsidP="003E392A">
            <w:pPr>
              <w:pStyle w:val="ColorfulList-Accent11"/>
              <w:tabs>
                <w:tab w:val="left" w:pos="0"/>
                <w:tab w:val="left" w:pos="284"/>
              </w:tabs>
              <w:ind w:left="0" w:right="-90"/>
              <w:jc w:val="both"/>
              <w:rPr>
                <w:rFonts w:ascii="Arial" w:hAnsi="Arial" w:cs="Arial"/>
                <w:sz w:val="18"/>
                <w:lang w:val="el-GR"/>
              </w:rPr>
            </w:pPr>
            <w:r w:rsidRPr="00A7639D">
              <w:rPr>
                <w:rFonts w:ascii="Arial" w:hAnsi="Arial" w:cs="Arial"/>
                <w:sz w:val="18"/>
                <w:szCs w:val="18"/>
                <w:lang w:val="el-GR"/>
              </w:rPr>
              <w:t>Αγορά ενσώματων και άυλων παγίων περιουσιακών στοιχείων –(Επενδύσεις σε πάγια περιουσιακά στοιχεία)</w:t>
            </w:r>
          </w:p>
        </w:tc>
        <w:tc>
          <w:tcPr>
            <w:tcW w:w="1402" w:type="dxa"/>
            <w:tcBorders>
              <w:top w:val="single" w:sz="2" w:space="0" w:color="808080" w:themeColor="background1" w:themeShade="80"/>
              <w:left w:val="single" w:sz="2" w:space="0" w:color="808080" w:themeColor="background1" w:themeShade="80"/>
            </w:tcBorders>
            <w:vAlign w:val="center"/>
          </w:tcPr>
          <w:p w14:paraId="06ED5B52" w14:textId="31410958" w:rsidR="003E392A" w:rsidRPr="00564663" w:rsidRDefault="003E392A" w:rsidP="003E392A">
            <w:pPr>
              <w:pStyle w:val="ColorfulList-Accent11"/>
              <w:tabs>
                <w:tab w:val="left" w:pos="0"/>
                <w:tab w:val="left" w:pos="284"/>
              </w:tabs>
              <w:ind w:left="0" w:right="-90"/>
              <w:jc w:val="center"/>
              <w:rPr>
                <w:rFonts w:ascii="Arial" w:hAnsi="Arial" w:cs="Arial"/>
                <w:i/>
                <w:sz w:val="18"/>
              </w:rPr>
            </w:pPr>
            <w:r>
              <w:rPr>
                <w:rFonts w:ascii="Arial" w:hAnsi="Arial" w:cs="Arial"/>
                <w:color w:val="000000"/>
                <w:sz w:val="18"/>
                <w:szCs w:val="18"/>
              </w:rPr>
              <w:t>(149</w:t>
            </w:r>
            <w:r w:rsidR="00C8250A">
              <w:rPr>
                <w:rFonts w:ascii="Arial" w:hAnsi="Arial" w:cs="Arial"/>
                <w:color w:val="000000"/>
                <w:sz w:val="18"/>
                <w:szCs w:val="18"/>
              </w:rPr>
              <w:t>,</w:t>
            </w:r>
            <w:r>
              <w:rPr>
                <w:rFonts w:ascii="Arial" w:hAnsi="Arial" w:cs="Arial"/>
                <w:color w:val="000000"/>
                <w:sz w:val="18"/>
                <w:szCs w:val="18"/>
              </w:rPr>
              <w:t>8)</w:t>
            </w:r>
          </w:p>
        </w:tc>
        <w:tc>
          <w:tcPr>
            <w:tcW w:w="1361" w:type="dxa"/>
            <w:tcBorders>
              <w:top w:val="single" w:sz="2" w:space="0" w:color="808080" w:themeColor="background1" w:themeShade="80"/>
              <w:right w:val="single" w:sz="2" w:space="0" w:color="808080" w:themeColor="background1" w:themeShade="80"/>
            </w:tcBorders>
            <w:vAlign w:val="center"/>
          </w:tcPr>
          <w:p w14:paraId="5AD5181A" w14:textId="3B3659F5" w:rsidR="003E392A" w:rsidRPr="00564663" w:rsidRDefault="003E392A" w:rsidP="003E392A">
            <w:pPr>
              <w:pStyle w:val="ColorfulList-Accent11"/>
              <w:tabs>
                <w:tab w:val="left" w:pos="0"/>
                <w:tab w:val="left" w:pos="284"/>
              </w:tabs>
              <w:ind w:left="0" w:right="-90"/>
              <w:jc w:val="center"/>
              <w:rPr>
                <w:rFonts w:ascii="Arial" w:hAnsi="Arial" w:cs="Arial"/>
                <w:i/>
                <w:sz w:val="18"/>
              </w:rPr>
            </w:pPr>
            <w:r>
              <w:rPr>
                <w:rFonts w:ascii="Arial" w:hAnsi="Arial" w:cs="Arial"/>
                <w:color w:val="000000"/>
                <w:sz w:val="18"/>
                <w:szCs w:val="18"/>
              </w:rPr>
              <w:t>(152</w:t>
            </w:r>
            <w:r w:rsidR="00C8250A">
              <w:rPr>
                <w:rFonts w:ascii="Arial" w:hAnsi="Arial" w:cs="Arial"/>
                <w:color w:val="000000"/>
                <w:sz w:val="18"/>
                <w:szCs w:val="18"/>
              </w:rPr>
              <w:t>,</w:t>
            </w:r>
            <w:r>
              <w:rPr>
                <w:rFonts w:ascii="Arial" w:hAnsi="Arial" w:cs="Arial"/>
                <w:color w:val="000000"/>
                <w:sz w:val="18"/>
                <w:szCs w:val="18"/>
              </w:rPr>
              <w:t>2)</w:t>
            </w:r>
          </w:p>
        </w:tc>
        <w:tc>
          <w:tcPr>
            <w:tcW w:w="1361" w:type="dxa"/>
            <w:tcBorders>
              <w:top w:val="single" w:sz="2" w:space="0" w:color="808080" w:themeColor="background1" w:themeShade="80"/>
              <w:left w:val="single" w:sz="2" w:space="0" w:color="808080" w:themeColor="background1" w:themeShade="80"/>
            </w:tcBorders>
            <w:vAlign w:val="center"/>
          </w:tcPr>
          <w:p w14:paraId="3C0A89F1" w14:textId="0529CB32" w:rsidR="003E392A" w:rsidRPr="00564663" w:rsidRDefault="003E392A" w:rsidP="003E392A">
            <w:pPr>
              <w:pStyle w:val="ColorfulList-Accent11"/>
              <w:tabs>
                <w:tab w:val="left" w:pos="0"/>
                <w:tab w:val="left" w:pos="284"/>
              </w:tabs>
              <w:ind w:left="0" w:right="-90"/>
              <w:jc w:val="center"/>
              <w:rPr>
                <w:rFonts w:ascii="Arial" w:hAnsi="Arial" w:cs="Arial"/>
                <w:sz w:val="18"/>
                <w:szCs w:val="18"/>
              </w:rPr>
            </w:pPr>
            <w:r>
              <w:rPr>
                <w:rFonts w:ascii="Arial" w:hAnsi="Arial" w:cs="Arial"/>
                <w:color w:val="000000"/>
                <w:sz w:val="18"/>
                <w:szCs w:val="18"/>
              </w:rPr>
              <w:t>(437</w:t>
            </w:r>
            <w:r w:rsidR="00C8250A">
              <w:rPr>
                <w:rFonts w:ascii="Arial" w:hAnsi="Arial" w:cs="Arial"/>
                <w:color w:val="000000"/>
                <w:sz w:val="18"/>
                <w:szCs w:val="18"/>
              </w:rPr>
              <w:t>,</w:t>
            </w:r>
            <w:r>
              <w:rPr>
                <w:rFonts w:ascii="Arial" w:hAnsi="Arial" w:cs="Arial"/>
                <w:color w:val="000000"/>
                <w:sz w:val="18"/>
                <w:szCs w:val="18"/>
              </w:rPr>
              <w:t>1)</w:t>
            </w:r>
          </w:p>
        </w:tc>
        <w:tc>
          <w:tcPr>
            <w:tcW w:w="1361" w:type="dxa"/>
            <w:tcBorders>
              <w:top w:val="single" w:sz="2" w:space="0" w:color="808080" w:themeColor="background1" w:themeShade="80"/>
              <w:right w:val="nil"/>
            </w:tcBorders>
            <w:vAlign w:val="center"/>
          </w:tcPr>
          <w:p w14:paraId="7B5ABCFC" w14:textId="4FAFA6E5" w:rsidR="003E392A" w:rsidRPr="00564663" w:rsidRDefault="003E392A" w:rsidP="003E392A">
            <w:pPr>
              <w:pStyle w:val="ColorfulList-Accent11"/>
              <w:tabs>
                <w:tab w:val="left" w:pos="0"/>
                <w:tab w:val="left" w:pos="284"/>
              </w:tabs>
              <w:ind w:left="0" w:right="-90"/>
              <w:jc w:val="center"/>
              <w:rPr>
                <w:rFonts w:ascii="Arial" w:hAnsi="Arial" w:cs="Arial"/>
                <w:sz w:val="18"/>
                <w:szCs w:val="18"/>
              </w:rPr>
            </w:pPr>
            <w:r>
              <w:rPr>
                <w:rFonts w:ascii="Arial" w:hAnsi="Arial" w:cs="Arial"/>
                <w:color w:val="000000"/>
                <w:sz w:val="18"/>
                <w:szCs w:val="18"/>
              </w:rPr>
              <w:t>(404</w:t>
            </w:r>
            <w:r w:rsidR="00C8250A">
              <w:rPr>
                <w:rFonts w:ascii="Arial" w:hAnsi="Arial" w:cs="Arial"/>
                <w:color w:val="000000"/>
                <w:sz w:val="18"/>
                <w:szCs w:val="18"/>
              </w:rPr>
              <w:t>,</w:t>
            </w:r>
            <w:r>
              <w:rPr>
                <w:rFonts w:ascii="Arial" w:hAnsi="Arial" w:cs="Arial"/>
                <w:color w:val="000000"/>
                <w:sz w:val="18"/>
                <w:szCs w:val="18"/>
              </w:rPr>
              <w:t>1)</w:t>
            </w:r>
          </w:p>
        </w:tc>
      </w:tr>
      <w:tr w:rsidR="003E392A" w:rsidRPr="00286E9D" w14:paraId="17CE6AE2" w14:textId="77777777" w:rsidTr="004044AF">
        <w:trPr>
          <w:trHeight w:val="267"/>
        </w:trPr>
        <w:tc>
          <w:tcPr>
            <w:tcW w:w="5139" w:type="dxa"/>
            <w:tcBorders>
              <w:right w:val="single" w:sz="2" w:space="0" w:color="808080" w:themeColor="background1" w:themeShade="80"/>
            </w:tcBorders>
            <w:vAlign w:val="center"/>
          </w:tcPr>
          <w:p w14:paraId="41587F22" w14:textId="0F41D0D9" w:rsidR="003E392A" w:rsidRPr="00564663" w:rsidRDefault="003E392A" w:rsidP="003E392A">
            <w:pPr>
              <w:pStyle w:val="ColorfulList-Accent11"/>
              <w:tabs>
                <w:tab w:val="left" w:pos="0"/>
                <w:tab w:val="left" w:pos="284"/>
              </w:tabs>
              <w:ind w:left="0" w:right="-90"/>
              <w:jc w:val="both"/>
              <w:rPr>
                <w:rFonts w:ascii="Arial" w:hAnsi="Arial" w:cs="Arial"/>
                <w:sz w:val="18"/>
              </w:rPr>
            </w:pPr>
            <w:r w:rsidRPr="00A7639D">
              <w:rPr>
                <w:rFonts w:ascii="Arial" w:hAnsi="Arial" w:cs="Arial"/>
                <w:sz w:val="18"/>
                <w:szCs w:val="18"/>
              </w:rPr>
              <w:t>Καταβ</w:t>
            </w:r>
            <w:proofErr w:type="spellStart"/>
            <w:r w:rsidRPr="00A7639D">
              <w:rPr>
                <w:rFonts w:ascii="Arial" w:hAnsi="Arial" w:cs="Arial"/>
                <w:sz w:val="18"/>
                <w:szCs w:val="18"/>
              </w:rPr>
              <w:t>ολές</w:t>
            </w:r>
            <w:proofErr w:type="spellEnd"/>
            <w:r w:rsidRPr="00A7639D">
              <w:rPr>
                <w:rFonts w:ascii="Arial" w:hAnsi="Arial" w:cs="Arial"/>
                <w:sz w:val="18"/>
                <w:szCs w:val="18"/>
              </w:rPr>
              <w:t xml:space="preserve"> </w:t>
            </w:r>
            <w:proofErr w:type="spellStart"/>
            <w:r w:rsidRPr="00A7639D">
              <w:rPr>
                <w:rFonts w:ascii="Arial" w:hAnsi="Arial" w:cs="Arial"/>
                <w:sz w:val="18"/>
                <w:szCs w:val="18"/>
              </w:rPr>
              <w:t>γι</w:t>
            </w:r>
            <w:proofErr w:type="spellEnd"/>
            <w:r w:rsidRPr="00A7639D">
              <w:rPr>
                <w:rFonts w:ascii="Arial" w:hAnsi="Arial" w:cs="Arial"/>
                <w:sz w:val="18"/>
                <w:szCs w:val="18"/>
              </w:rPr>
              <w:t>α α</w:t>
            </w:r>
            <w:proofErr w:type="spellStart"/>
            <w:r w:rsidRPr="00A7639D">
              <w:rPr>
                <w:rFonts w:ascii="Arial" w:hAnsi="Arial" w:cs="Arial"/>
                <w:sz w:val="18"/>
                <w:szCs w:val="18"/>
              </w:rPr>
              <w:t>γορά</w:t>
            </w:r>
            <w:proofErr w:type="spellEnd"/>
            <w:r w:rsidRPr="00A7639D">
              <w:rPr>
                <w:rFonts w:ascii="Arial" w:hAnsi="Arial" w:cs="Arial"/>
                <w:sz w:val="18"/>
                <w:szCs w:val="18"/>
              </w:rPr>
              <w:t xml:space="preserve"> </w:t>
            </w:r>
            <w:proofErr w:type="spellStart"/>
            <w:r w:rsidRPr="00A7639D">
              <w:rPr>
                <w:rFonts w:ascii="Arial" w:hAnsi="Arial" w:cs="Arial"/>
                <w:sz w:val="18"/>
                <w:szCs w:val="18"/>
              </w:rPr>
              <w:t>φάσμ</w:t>
            </w:r>
            <w:proofErr w:type="spellEnd"/>
            <w:r w:rsidRPr="00A7639D">
              <w:rPr>
                <w:rFonts w:ascii="Arial" w:hAnsi="Arial" w:cs="Arial"/>
                <w:sz w:val="18"/>
                <w:szCs w:val="18"/>
              </w:rPr>
              <w:t>ατος</w:t>
            </w:r>
          </w:p>
        </w:tc>
        <w:tc>
          <w:tcPr>
            <w:tcW w:w="1402" w:type="dxa"/>
            <w:tcBorders>
              <w:left w:val="single" w:sz="2" w:space="0" w:color="808080" w:themeColor="background1" w:themeShade="80"/>
            </w:tcBorders>
            <w:vAlign w:val="center"/>
          </w:tcPr>
          <w:p w14:paraId="32F54AEB" w14:textId="5DEA76F4" w:rsidR="003E392A" w:rsidRPr="00564663" w:rsidRDefault="003E392A" w:rsidP="003E392A">
            <w:pPr>
              <w:pStyle w:val="ColorfulList-Accent11"/>
              <w:tabs>
                <w:tab w:val="left" w:pos="0"/>
                <w:tab w:val="left" w:pos="284"/>
              </w:tabs>
              <w:ind w:left="0" w:right="-90"/>
              <w:jc w:val="center"/>
              <w:rPr>
                <w:rFonts w:ascii="Arial" w:hAnsi="Arial" w:cs="Arial"/>
                <w:sz w:val="18"/>
                <w:szCs w:val="18"/>
              </w:rPr>
            </w:pPr>
            <w:r>
              <w:rPr>
                <w:rFonts w:ascii="Arial" w:hAnsi="Arial" w:cs="Arial"/>
                <w:color w:val="000000"/>
                <w:sz w:val="18"/>
                <w:szCs w:val="18"/>
              </w:rPr>
              <w:t>-</w:t>
            </w:r>
          </w:p>
        </w:tc>
        <w:tc>
          <w:tcPr>
            <w:tcW w:w="1361" w:type="dxa"/>
            <w:tcBorders>
              <w:right w:val="single" w:sz="2" w:space="0" w:color="808080" w:themeColor="background1" w:themeShade="80"/>
            </w:tcBorders>
            <w:vAlign w:val="center"/>
          </w:tcPr>
          <w:p w14:paraId="0747E713" w14:textId="34031156" w:rsidR="003E392A" w:rsidRPr="00564663" w:rsidRDefault="003E392A" w:rsidP="003E392A">
            <w:pPr>
              <w:pStyle w:val="ColorfulList-Accent11"/>
              <w:tabs>
                <w:tab w:val="left" w:pos="0"/>
                <w:tab w:val="left" w:pos="284"/>
              </w:tabs>
              <w:ind w:left="0" w:right="-90"/>
              <w:jc w:val="center"/>
              <w:rPr>
                <w:rFonts w:ascii="Arial" w:hAnsi="Arial" w:cs="Arial"/>
                <w:sz w:val="18"/>
                <w:szCs w:val="18"/>
              </w:rPr>
            </w:pPr>
            <w:r>
              <w:rPr>
                <w:rFonts w:ascii="Arial" w:hAnsi="Arial" w:cs="Arial"/>
                <w:color w:val="000000"/>
                <w:sz w:val="18"/>
                <w:szCs w:val="18"/>
              </w:rPr>
              <w:t>-</w:t>
            </w:r>
          </w:p>
        </w:tc>
        <w:tc>
          <w:tcPr>
            <w:tcW w:w="1361" w:type="dxa"/>
            <w:tcBorders>
              <w:left w:val="single" w:sz="2" w:space="0" w:color="808080" w:themeColor="background1" w:themeShade="80"/>
            </w:tcBorders>
            <w:vAlign w:val="center"/>
          </w:tcPr>
          <w:p w14:paraId="6C78853D" w14:textId="0DA98219" w:rsidR="003E392A" w:rsidRPr="00564663" w:rsidRDefault="003E392A" w:rsidP="003E392A">
            <w:pPr>
              <w:pStyle w:val="ColorfulList-Accent11"/>
              <w:tabs>
                <w:tab w:val="left" w:pos="0"/>
                <w:tab w:val="left" w:pos="284"/>
              </w:tabs>
              <w:ind w:left="0" w:right="-90"/>
              <w:jc w:val="center"/>
              <w:rPr>
                <w:rFonts w:ascii="Arial" w:hAnsi="Arial" w:cs="Arial"/>
                <w:sz w:val="18"/>
                <w:szCs w:val="18"/>
              </w:rPr>
            </w:pPr>
            <w:r>
              <w:rPr>
                <w:rFonts w:ascii="Arial" w:hAnsi="Arial" w:cs="Arial"/>
                <w:color w:val="000000"/>
                <w:sz w:val="18"/>
                <w:szCs w:val="18"/>
              </w:rPr>
              <w:t xml:space="preserve">- </w:t>
            </w:r>
          </w:p>
        </w:tc>
        <w:tc>
          <w:tcPr>
            <w:tcW w:w="1361" w:type="dxa"/>
            <w:tcBorders>
              <w:right w:val="nil"/>
            </w:tcBorders>
            <w:vAlign w:val="center"/>
          </w:tcPr>
          <w:p w14:paraId="669C5DFC" w14:textId="3FCDA7F7" w:rsidR="003E392A" w:rsidRPr="00564663" w:rsidRDefault="003E392A" w:rsidP="003E392A">
            <w:pPr>
              <w:pStyle w:val="ColorfulList-Accent11"/>
              <w:tabs>
                <w:tab w:val="left" w:pos="0"/>
                <w:tab w:val="left" w:pos="284"/>
              </w:tabs>
              <w:ind w:left="0" w:right="-90"/>
              <w:jc w:val="center"/>
              <w:rPr>
                <w:rFonts w:ascii="Arial" w:hAnsi="Arial" w:cs="Arial"/>
                <w:sz w:val="18"/>
                <w:szCs w:val="18"/>
              </w:rPr>
            </w:pPr>
            <w:r>
              <w:rPr>
                <w:rFonts w:ascii="Arial" w:hAnsi="Arial" w:cs="Arial"/>
                <w:color w:val="000000"/>
                <w:sz w:val="18"/>
                <w:szCs w:val="18"/>
              </w:rPr>
              <w:t xml:space="preserve">- </w:t>
            </w:r>
          </w:p>
        </w:tc>
      </w:tr>
      <w:tr w:rsidR="003E392A" w:rsidRPr="00286E9D" w14:paraId="20778155" w14:textId="77777777" w:rsidTr="004044AF">
        <w:trPr>
          <w:trHeight w:val="267"/>
        </w:trPr>
        <w:tc>
          <w:tcPr>
            <w:tcW w:w="5139" w:type="dxa"/>
            <w:tcBorders>
              <w:right w:val="single" w:sz="2" w:space="0" w:color="808080" w:themeColor="background1" w:themeShade="80"/>
            </w:tcBorders>
            <w:shd w:val="clear" w:color="auto" w:fill="F2F2F2" w:themeFill="background1" w:themeFillShade="F2"/>
            <w:vAlign w:val="center"/>
          </w:tcPr>
          <w:p w14:paraId="5C0E0082" w14:textId="6AF5CD67" w:rsidR="003E392A" w:rsidRPr="000B05AD" w:rsidRDefault="003E392A" w:rsidP="003E392A">
            <w:pPr>
              <w:pStyle w:val="ColorfulList-Accent11"/>
              <w:tabs>
                <w:tab w:val="left" w:pos="0"/>
                <w:tab w:val="left" w:pos="284"/>
              </w:tabs>
              <w:ind w:left="0" w:right="-90"/>
              <w:jc w:val="both"/>
              <w:rPr>
                <w:rFonts w:ascii="Arial" w:hAnsi="Arial" w:cs="Arial"/>
                <w:b/>
                <w:sz w:val="18"/>
                <w:lang w:val="el-GR"/>
              </w:rPr>
            </w:pPr>
            <w:r w:rsidRPr="00A7639D">
              <w:rPr>
                <w:rFonts w:ascii="Arial" w:hAnsi="Arial" w:cs="Arial"/>
                <w:b/>
                <w:sz w:val="18"/>
                <w:szCs w:val="18"/>
                <w:lang w:val="el-GR"/>
              </w:rPr>
              <w:t>Προσαρμοσμένες επενδύσεις σε πάγια περιουσιακά στοιχεία</w:t>
            </w:r>
          </w:p>
        </w:tc>
        <w:tc>
          <w:tcPr>
            <w:tcW w:w="1402" w:type="dxa"/>
            <w:tcBorders>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13D7D90C" w14:textId="35B243A2" w:rsidR="003E392A" w:rsidRPr="00D477A9" w:rsidRDefault="003E392A" w:rsidP="003E392A">
            <w:pPr>
              <w:pStyle w:val="ColorfulList-Accent11"/>
              <w:tabs>
                <w:tab w:val="left" w:pos="0"/>
                <w:tab w:val="left" w:pos="284"/>
              </w:tabs>
              <w:ind w:left="0" w:right="-90"/>
              <w:jc w:val="center"/>
              <w:rPr>
                <w:rFonts w:ascii="Arial" w:hAnsi="Arial" w:cs="Arial"/>
                <w:b/>
                <w:bCs/>
                <w:i/>
                <w:sz w:val="18"/>
              </w:rPr>
            </w:pPr>
            <w:r>
              <w:rPr>
                <w:rFonts w:ascii="Arial" w:hAnsi="Arial" w:cs="Arial"/>
                <w:b/>
                <w:color w:val="000000"/>
                <w:sz w:val="18"/>
                <w:szCs w:val="18"/>
              </w:rPr>
              <w:t>(</w:t>
            </w:r>
            <w:r>
              <w:rPr>
                <w:rFonts w:ascii="Arial" w:hAnsi="Arial" w:cs="Arial"/>
                <w:b/>
                <w:bCs/>
                <w:color w:val="000000"/>
                <w:sz w:val="18"/>
                <w:szCs w:val="18"/>
              </w:rPr>
              <w:t>149</w:t>
            </w:r>
            <w:r w:rsidR="00C8250A">
              <w:rPr>
                <w:rFonts w:ascii="Arial" w:hAnsi="Arial" w:cs="Arial"/>
                <w:b/>
                <w:bCs/>
                <w:color w:val="000000"/>
                <w:sz w:val="18"/>
                <w:szCs w:val="18"/>
              </w:rPr>
              <w:t>,</w:t>
            </w:r>
            <w:r>
              <w:rPr>
                <w:rFonts w:ascii="Arial" w:hAnsi="Arial" w:cs="Arial"/>
                <w:b/>
                <w:bCs/>
                <w:color w:val="000000"/>
                <w:sz w:val="18"/>
                <w:szCs w:val="18"/>
              </w:rPr>
              <w:t>8</w:t>
            </w:r>
            <w:r>
              <w:rPr>
                <w:rFonts w:ascii="Arial" w:hAnsi="Arial" w:cs="Arial"/>
                <w:b/>
                <w:color w:val="000000"/>
                <w:sz w:val="18"/>
                <w:szCs w:val="18"/>
              </w:rPr>
              <w:t>)</w:t>
            </w:r>
          </w:p>
        </w:tc>
        <w:tc>
          <w:tcPr>
            <w:tcW w:w="1361" w:type="dxa"/>
            <w:tcBorders>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5AAE5FB3" w14:textId="5AB8EF1B" w:rsidR="003E392A" w:rsidRPr="00D477A9" w:rsidRDefault="003E392A" w:rsidP="003E392A">
            <w:pPr>
              <w:pStyle w:val="ColorfulList-Accent11"/>
              <w:tabs>
                <w:tab w:val="left" w:pos="0"/>
                <w:tab w:val="left" w:pos="284"/>
              </w:tabs>
              <w:ind w:left="0" w:right="-90"/>
              <w:jc w:val="center"/>
              <w:rPr>
                <w:rFonts w:ascii="Arial" w:hAnsi="Arial" w:cs="Arial"/>
                <w:b/>
                <w:bCs/>
                <w:i/>
                <w:sz w:val="18"/>
              </w:rPr>
            </w:pPr>
            <w:r>
              <w:rPr>
                <w:rFonts w:ascii="Arial" w:hAnsi="Arial" w:cs="Arial"/>
                <w:b/>
                <w:color w:val="000000"/>
                <w:sz w:val="18"/>
                <w:szCs w:val="18"/>
              </w:rPr>
              <w:t>(</w:t>
            </w:r>
            <w:r>
              <w:rPr>
                <w:rFonts w:ascii="Arial" w:hAnsi="Arial" w:cs="Arial"/>
                <w:b/>
                <w:bCs/>
                <w:color w:val="000000"/>
                <w:sz w:val="18"/>
                <w:szCs w:val="18"/>
              </w:rPr>
              <w:t>152</w:t>
            </w:r>
            <w:r w:rsidR="00C8250A">
              <w:rPr>
                <w:rFonts w:ascii="Arial" w:hAnsi="Arial" w:cs="Arial"/>
                <w:b/>
                <w:bCs/>
                <w:color w:val="000000"/>
                <w:sz w:val="18"/>
                <w:szCs w:val="18"/>
              </w:rPr>
              <w:t>,</w:t>
            </w:r>
            <w:r>
              <w:rPr>
                <w:rFonts w:ascii="Arial" w:hAnsi="Arial" w:cs="Arial"/>
                <w:b/>
                <w:bCs/>
                <w:color w:val="000000"/>
                <w:sz w:val="18"/>
                <w:szCs w:val="18"/>
              </w:rPr>
              <w:t>2</w:t>
            </w:r>
            <w:r>
              <w:rPr>
                <w:rFonts w:ascii="Arial" w:hAnsi="Arial" w:cs="Arial"/>
                <w:b/>
                <w:color w:val="000000"/>
                <w:sz w:val="18"/>
                <w:szCs w:val="18"/>
              </w:rPr>
              <w:t>)</w:t>
            </w:r>
          </w:p>
        </w:tc>
        <w:tc>
          <w:tcPr>
            <w:tcW w:w="1361" w:type="dxa"/>
            <w:tcBorders>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6E9A34A9" w14:textId="1468D550" w:rsidR="003E392A" w:rsidRPr="00D477A9" w:rsidRDefault="003E392A" w:rsidP="003E392A">
            <w:pPr>
              <w:pStyle w:val="ColorfulList-Accent11"/>
              <w:tabs>
                <w:tab w:val="left" w:pos="0"/>
                <w:tab w:val="left" w:pos="284"/>
              </w:tabs>
              <w:ind w:left="0" w:right="-90"/>
              <w:jc w:val="center"/>
              <w:rPr>
                <w:rFonts w:ascii="Arial" w:hAnsi="Arial" w:cs="Arial"/>
                <w:b/>
                <w:bCs/>
                <w:sz w:val="18"/>
                <w:szCs w:val="18"/>
              </w:rPr>
            </w:pPr>
            <w:r>
              <w:rPr>
                <w:rFonts w:ascii="Arial" w:hAnsi="Arial" w:cs="Arial"/>
                <w:b/>
                <w:color w:val="000000"/>
                <w:sz w:val="18"/>
                <w:szCs w:val="18"/>
              </w:rPr>
              <w:t>(</w:t>
            </w:r>
            <w:r>
              <w:rPr>
                <w:rFonts w:ascii="Arial" w:hAnsi="Arial" w:cs="Arial"/>
                <w:b/>
                <w:bCs/>
                <w:color w:val="000000"/>
                <w:sz w:val="18"/>
                <w:szCs w:val="18"/>
              </w:rPr>
              <w:t>437</w:t>
            </w:r>
            <w:r w:rsidR="00C8250A">
              <w:rPr>
                <w:rFonts w:ascii="Arial" w:hAnsi="Arial" w:cs="Arial"/>
                <w:b/>
                <w:bCs/>
                <w:color w:val="000000"/>
                <w:sz w:val="18"/>
                <w:szCs w:val="18"/>
              </w:rPr>
              <w:t>,</w:t>
            </w:r>
            <w:r>
              <w:rPr>
                <w:rFonts w:ascii="Arial" w:hAnsi="Arial" w:cs="Arial"/>
                <w:b/>
                <w:bCs/>
                <w:color w:val="000000"/>
                <w:sz w:val="18"/>
                <w:szCs w:val="18"/>
              </w:rPr>
              <w:t>1</w:t>
            </w:r>
            <w:r>
              <w:rPr>
                <w:rFonts w:ascii="Arial" w:hAnsi="Arial" w:cs="Arial"/>
                <w:b/>
                <w:color w:val="000000"/>
                <w:sz w:val="18"/>
                <w:szCs w:val="18"/>
              </w:rPr>
              <w:t>)</w:t>
            </w:r>
          </w:p>
        </w:tc>
        <w:tc>
          <w:tcPr>
            <w:tcW w:w="1361" w:type="dxa"/>
            <w:tcBorders>
              <w:bottom w:val="single" w:sz="2" w:space="0" w:color="808080" w:themeColor="background1" w:themeShade="80"/>
              <w:right w:val="nil"/>
            </w:tcBorders>
            <w:shd w:val="clear" w:color="auto" w:fill="F2F2F2" w:themeFill="background1" w:themeFillShade="F2"/>
            <w:vAlign w:val="center"/>
          </w:tcPr>
          <w:p w14:paraId="2CE3210C" w14:textId="76562F72" w:rsidR="003E392A" w:rsidRPr="00D477A9" w:rsidRDefault="003E392A" w:rsidP="003E392A">
            <w:pPr>
              <w:pStyle w:val="ColorfulList-Accent11"/>
              <w:tabs>
                <w:tab w:val="left" w:pos="0"/>
                <w:tab w:val="left" w:pos="284"/>
              </w:tabs>
              <w:ind w:left="0" w:right="-90"/>
              <w:jc w:val="center"/>
              <w:rPr>
                <w:rFonts w:ascii="Arial" w:hAnsi="Arial" w:cs="Arial"/>
                <w:b/>
                <w:bCs/>
                <w:sz w:val="18"/>
                <w:szCs w:val="18"/>
              </w:rPr>
            </w:pPr>
            <w:r>
              <w:rPr>
                <w:rFonts w:ascii="Arial" w:hAnsi="Arial" w:cs="Arial"/>
                <w:b/>
                <w:color w:val="000000"/>
                <w:sz w:val="18"/>
                <w:szCs w:val="18"/>
              </w:rPr>
              <w:t>(</w:t>
            </w:r>
            <w:r>
              <w:rPr>
                <w:rFonts w:ascii="Arial" w:hAnsi="Arial" w:cs="Arial"/>
                <w:b/>
                <w:bCs/>
                <w:color w:val="000000"/>
                <w:sz w:val="18"/>
                <w:szCs w:val="18"/>
              </w:rPr>
              <w:t>404</w:t>
            </w:r>
            <w:r w:rsidR="00C8250A">
              <w:rPr>
                <w:rFonts w:ascii="Arial" w:hAnsi="Arial" w:cs="Arial"/>
                <w:b/>
                <w:bCs/>
                <w:color w:val="000000"/>
                <w:sz w:val="18"/>
                <w:szCs w:val="18"/>
              </w:rPr>
              <w:t>,</w:t>
            </w:r>
            <w:r>
              <w:rPr>
                <w:rFonts w:ascii="Arial" w:hAnsi="Arial" w:cs="Arial"/>
                <w:b/>
                <w:bCs/>
                <w:color w:val="000000"/>
                <w:sz w:val="18"/>
                <w:szCs w:val="18"/>
              </w:rPr>
              <w:t>1</w:t>
            </w:r>
            <w:r>
              <w:rPr>
                <w:rFonts w:ascii="Arial" w:hAnsi="Arial" w:cs="Arial"/>
                <w:b/>
                <w:color w:val="000000"/>
                <w:sz w:val="18"/>
                <w:szCs w:val="18"/>
              </w:rPr>
              <w:t>)</w:t>
            </w:r>
          </w:p>
        </w:tc>
      </w:tr>
    </w:tbl>
    <w:p w14:paraId="4900AE89" w14:textId="77777777" w:rsidR="005B6F70" w:rsidRDefault="005B6F70" w:rsidP="0022549B">
      <w:pPr>
        <w:spacing w:after="0" w:line="240" w:lineRule="auto"/>
        <w:jc w:val="both"/>
        <w:rPr>
          <w:rFonts w:ascii="Arial" w:eastAsia="Times New Roman" w:hAnsi="Arial" w:cs="Arial"/>
          <w:b/>
          <w:color w:val="004B87"/>
        </w:rPr>
      </w:pPr>
    </w:p>
    <w:p w14:paraId="4D7A45A9" w14:textId="05DEC382" w:rsidR="00F6576C" w:rsidRPr="004E1B69" w:rsidRDefault="009E285A" w:rsidP="0022549B">
      <w:pPr>
        <w:spacing w:after="0" w:line="240" w:lineRule="auto"/>
        <w:jc w:val="both"/>
        <w:rPr>
          <w:rFonts w:ascii="Arial" w:eastAsia="Times New Roman" w:hAnsi="Arial" w:cs="Arial"/>
          <w:b/>
          <w:color w:val="004B87"/>
        </w:rPr>
      </w:pPr>
      <w:r w:rsidRPr="004E1B69">
        <w:rPr>
          <w:rFonts w:ascii="Arial" w:eastAsia="Times New Roman" w:hAnsi="Arial" w:cs="Arial"/>
          <w:b/>
          <w:color w:val="004B87"/>
        </w:rPr>
        <w:t>Ελεύθερες Ταμειακές Ροές-</w:t>
      </w:r>
      <w:r w:rsidR="00C27F35">
        <w:rPr>
          <w:rFonts w:ascii="Arial" w:eastAsia="Times New Roman" w:hAnsi="Arial" w:cs="Arial"/>
          <w:b/>
          <w:color w:val="004B87"/>
        </w:rPr>
        <w:t>Ελεύθερες Ταμειακές Ροές μετά από μισθώσεις (</w:t>
      </w:r>
      <w:r w:rsidR="00C27F35">
        <w:rPr>
          <w:rFonts w:ascii="Arial" w:eastAsia="Times New Roman" w:hAnsi="Arial" w:cs="Arial"/>
          <w:b/>
          <w:color w:val="004B87"/>
          <w:lang w:val="en-US"/>
        </w:rPr>
        <w:t>AL</w:t>
      </w:r>
      <w:r w:rsidR="00C27F35" w:rsidRPr="00C27F35">
        <w:rPr>
          <w:rFonts w:ascii="Arial" w:eastAsia="Times New Roman" w:hAnsi="Arial" w:cs="Arial"/>
          <w:b/>
          <w:color w:val="004B87"/>
        </w:rPr>
        <w:t>)</w:t>
      </w:r>
      <w:r w:rsidR="00C27F35" w:rsidRPr="009B24AD">
        <w:rPr>
          <w:rFonts w:ascii="Arial" w:eastAsia="Times New Roman" w:hAnsi="Arial" w:cs="Arial"/>
          <w:b/>
          <w:color w:val="004B87"/>
        </w:rPr>
        <w:t>-</w:t>
      </w:r>
      <w:r w:rsidRPr="004E1B69">
        <w:rPr>
          <w:rFonts w:ascii="Arial" w:eastAsia="Times New Roman" w:hAnsi="Arial" w:cs="Arial"/>
          <w:b/>
          <w:color w:val="004B87"/>
        </w:rPr>
        <w:t xml:space="preserve"> </w:t>
      </w:r>
      <w:r w:rsidR="00E763EC">
        <w:rPr>
          <w:rFonts w:ascii="Arial" w:eastAsia="Times New Roman" w:hAnsi="Arial" w:cs="Arial"/>
          <w:b/>
          <w:color w:val="004B87"/>
        </w:rPr>
        <w:t xml:space="preserve">Προσαρμοσμένες </w:t>
      </w:r>
      <w:r w:rsidRPr="004E1B69">
        <w:rPr>
          <w:rFonts w:ascii="Arial" w:eastAsia="Times New Roman" w:hAnsi="Arial" w:cs="Arial"/>
          <w:b/>
          <w:color w:val="004B87"/>
        </w:rPr>
        <w:t>Ελεύθερες Ταμειακές Ροές μετά από μισθώσεις (</w:t>
      </w:r>
      <w:r w:rsidRPr="0022549B">
        <w:rPr>
          <w:rFonts w:ascii="Arial" w:eastAsia="Times New Roman" w:hAnsi="Arial" w:cs="Arial"/>
          <w:b/>
          <w:color w:val="004B87"/>
          <w:lang w:val="en-US"/>
        </w:rPr>
        <w:t>AL</w:t>
      </w:r>
      <w:r w:rsidR="00411674">
        <w:rPr>
          <w:rFonts w:ascii="Arial" w:eastAsia="Times New Roman" w:hAnsi="Arial" w:cs="Arial"/>
          <w:b/>
          <w:color w:val="004B87"/>
        </w:rPr>
        <w:t>)</w:t>
      </w:r>
    </w:p>
    <w:p w14:paraId="1EC997A6" w14:textId="1F8B2B5A" w:rsidR="009E285A" w:rsidRPr="001D7A36" w:rsidRDefault="009E285A" w:rsidP="000A16E4">
      <w:pPr>
        <w:pStyle w:val="ListParagraph"/>
        <w:numPr>
          <w:ilvl w:val="0"/>
          <w:numId w:val="9"/>
        </w:numPr>
        <w:spacing w:after="160" w:line="280" w:lineRule="exact"/>
        <w:ind w:left="340" w:hanging="340"/>
        <w:jc w:val="both"/>
        <w:rPr>
          <w:rFonts w:ascii="Arial" w:hAnsi="Arial" w:cs="Arial"/>
          <w:sz w:val="22"/>
          <w:szCs w:val="22"/>
          <w:lang w:val="el-GR"/>
        </w:rPr>
      </w:pPr>
      <w:r w:rsidRPr="00E026B6">
        <w:rPr>
          <w:rFonts w:ascii="Arial" w:hAnsi="Arial" w:cs="Arial"/>
          <w:sz w:val="22"/>
          <w:szCs w:val="22"/>
        </w:rPr>
        <w:t>O</w:t>
      </w:r>
      <w:r w:rsidRPr="001D7A36">
        <w:rPr>
          <w:rFonts w:ascii="Arial" w:hAnsi="Arial" w:cs="Arial"/>
          <w:sz w:val="22"/>
          <w:szCs w:val="22"/>
          <w:lang w:val="el-GR"/>
        </w:rPr>
        <w:t>ι Ελεύθερες Ταμειακές Ροές ορίζονται ως οι καθαρές ταμειακές εισροές από λειτουργικές δραστηριότητες μετά την αγορά ενσώματων και άυλων παγίων περιουσιακών στοιχείων προσθέτοντας τους πιστωτικούς τόκους εισπραχθέντες. Οι Ελεύθερες Ταμειακές Ροές μετά από μισθώσεις (</w:t>
      </w:r>
      <w:r w:rsidRPr="00E026B6">
        <w:rPr>
          <w:rFonts w:ascii="Arial" w:hAnsi="Arial" w:cs="Arial"/>
          <w:sz w:val="22"/>
          <w:szCs w:val="22"/>
        </w:rPr>
        <w:t>AL</w:t>
      </w:r>
      <w:r w:rsidRPr="001D7A36">
        <w:rPr>
          <w:rFonts w:ascii="Arial" w:hAnsi="Arial" w:cs="Arial"/>
          <w:sz w:val="22"/>
          <w:szCs w:val="22"/>
          <w:lang w:val="el-GR"/>
        </w:rPr>
        <w:t xml:space="preserve">) υπολογίζονται αφαιρώντας από τις Ελεύθερες Ταμειακές Ροές την αποπληρωμή υποχρεώσεων από μισθώσεις. </w:t>
      </w:r>
    </w:p>
    <w:p w14:paraId="3AEA868A" w14:textId="047526A6" w:rsidR="00D4284C" w:rsidRPr="001D7A36" w:rsidRDefault="00F31EE9" w:rsidP="000A16E4">
      <w:pPr>
        <w:pStyle w:val="ListParagraph"/>
        <w:numPr>
          <w:ilvl w:val="0"/>
          <w:numId w:val="9"/>
        </w:numPr>
        <w:spacing w:after="160" w:line="280" w:lineRule="exact"/>
        <w:ind w:left="340" w:hanging="340"/>
        <w:jc w:val="both"/>
        <w:rPr>
          <w:rFonts w:ascii="Arial" w:hAnsi="Arial" w:cs="Arial"/>
          <w:sz w:val="22"/>
          <w:szCs w:val="22"/>
          <w:lang w:val="el-GR"/>
        </w:rPr>
      </w:pPr>
      <w:r w:rsidRPr="001D7A36">
        <w:rPr>
          <w:rFonts w:ascii="Arial" w:hAnsi="Arial" w:cs="Arial"/>
          <w:sz w:val="22"/>
          <w:szCs w:val="22"/>
          <w:lang w:val="el-GR"/>
        </w:rPr>
        <w:t>Οι Προσαρμοσμένες Ελεύθερες Ταμειακές Ροές μετά από μισθώσεις (</w:t>
      </w:r>
      <w:r w:rsidRPr="00E026B6">
        <w:rPr>
          <w:rFonts w:ascii="Arial" w:hAnsi="Arial" w:cs="Arial"/>
          <w:sz w:val="22"/>
          <w:szCs w:val="22"/>
        </w:rPr>
        <w:t>AL</w:t>
      </w:r>
      <w:r w:rsidRPr="001D7A36">
        <w:rPr>
          <w:rFonts w:ascii="Arial" w:hAnsi="Arial" w:cs="Arial"/>
          <w:sz w:val="22"/>
          <w:szCs w:val="22"/>
          <w:lang w:val="el-GR"/>
        </w:rPr>
        <w:t xml:space="preserve">) διευκολύνουν τη σύγκριση των ταμειακών ροών μεταξύ των εταιρειών της αγοράς τηλεπικοινωνιών και τις συζητήσεις με το επενδυτικό κοινό και τους οίκους πιστοληπτικής αξιολόγησης. </w:t>
      </w:r>
      <w:r w:rsidR="00D4284C" w:rsidRPr="001D7A36">
        <w:rPr>
          <w:rFonts w:ascii="Arial" w:hAnsi="Arial" w:cs="Arial"/>
          <w:sz w:val="22"/>
          <w:szCs w:val="22"/>
          <w:lang w:val="el-GR"/>
        </w:rPr>
        <w:t>Υπολογίζονται εξαιρώντας από τις Ελεύθερες Ταμειακές Ροές μετά από μισθώσεις (</w:t>
      </w:r>
      <w:r w:rsidR="00D4284C" w:rsidRPr="00E026B6">
        <w:rPr>
          <w:rFonts w:ascii="Arial" w:hAnsi="Arial" w:cs="Arial"/>
          <w:sz w:val="22"/>
          <w:szCs w:val="22"/>
        </w:rPr>
        <w:t>AL</w:t>
      </w:r>
      <w:r w:rsidR="00D4284C" w:rsidRPr="001D7A36">
        <w:rPr>
          <w:rFonts w:ascii="Arial" w:hAnsi="Arial" w:cs="Arial"/>
          <w:sz w:val="22"/>
          <w:szCs w:val="22"/>
          <w:lang w:val="el-GR"/>
        </w:rPr>
        <w:t>) τις καταβολές προγραμμάτων εθελούσιας αποχώρησης, τις καταβολές εξόδων αναδιοργάνωσης και τις καταβολές για αγορά φάσματος.</w:t>
      </w:r>
    </w:p>
    <w:p w14:paraId="3D5A995A" w14:textId="52382962" w:rsidR="00F31EE9" w:rsidRPr="00284899" w:rsidRDefault="00F31EE9" w:rsidP="00E026B6">
      <w:pPr>
        <w:pStyle w:val="ListParagraph"/>
        <w:jc w:val="both"/>
        <w:rPr>
          <w:rFonts w:ascii="Arial" w:hAnsi="Arial" w:cs="Arial"/>
          <w:lang w:val="el-GR"/>
        </w:rPr>
      </w:pPr>
    </w:p>
    <w:p w14:paraId="224C0D07" w14:textId="734C6FFF" w:rsidR="002306CF" w:rsidRDefault="00F31EE9" w:rsidP="000B05AD">
      <w:pPr>
        <w:spacing w:line="280" w:lineRule="exact"/>
        <w:jc w:val="both"/>
        <w:rPr>
          <w:rFonts w:ascii="Arial" w:eastAsia="Times New Roman" w:hAnsi="Arial" w:cs="Arial"/>
        </w:rPr>
      </w:pPr>
      <w:r w:rsidRPr="001D7A36">
        <w:rPr>
          <w:rFonts w:ascii="Arial" w:eastAsia="Times New Roman" w:hAnsi="Arial" w:cs="Arial"/>
        </w:rPr>
        <w:t>Οι Ελεύθερες Ταμειακές Ροές μετά από μισθώσεις (</w:t>
      </w:r>
      <w:r w:rsidRPr="00E026B6">
        <w:rPr>
          <w:rFonts w:ascii="Arial" w:eastAsia="Times New Roman" w:hAnsi="Arial" w:cs="Arial"/>
          <w:lang w:val="en-US"/>
        </w:rPr>
        <w:t>AL</w:t>
      </w:r>
      <w:r w:rsidRPr="001D7A36">
        <w:rPr>
          <w:rFonts w:ascii="Arial" w:eastAsia="Times New Roman" w:hAnsi="Arial" w:cs="Arial"/>
        </w:rPr>
        <w:t>) και οι Προσαρμοσμένες Ελεύθερες Ταμειακές Ροές μετά από μισθώσεις (</w:t>
      </w:r>
      <w:r w:rsidRPr="00E026B6">
        <w:rPr>
          <w:rFonts w:ascii="Arial" w:eastAsia="Times New Roman" w:hAnsi="Arial" w:cs="Arial"/>
          <w:lang w:val="en-US"/>
        </w:rPr>
        <w:t>AL</w:t>
      </w:r>
      <w:r w:rsidRPr="001D7A36">
        <w:rPr>
          <w:rFonts w:ascii="Arial" w:eastAsia="Times New Roman" w:hAnsi="Arial" w:cs="Arial"/>
        </w:rPr>
        <w:t xml:space="preserve">) εξυπηρετούν στη μέτρηση των ταμειακών διαθεσίμων που προκύπτουν από τις λειτουργικές δραστηριότητες του Ομίλου ενώ διευκολύνουν ώστε να αξιολογηθούν καλύτερα οι ταμειακές </w:t>
      </w:r>
      <w:r w:rsidRPr="001D7A36">
        <w:rPr>
          <w:rFonts w:ascii="Arial" w:eastAsia="Times New Roman" w:hAnsi="Arial" w:cs="Arial"/>
        </w:rPr>
        <w:lastRenderedPageBreak/>
        <w:t>επιδόσεις του Ομίλου καθώς και η δυνατότητα αποπληρωμής του χρέους, η διανομή μερίσματος και η διατήρηση αποθεματικού.</w:t>
      </w:r>
      <w:bookmarkEnd w:id="11"/>
    </w:p>
    <w:p w14:paraId="35A299F6" w14:textId="0C5F9254" w:rsidR="003B27F4" w:rsidRPr="00FB20CB" w:rsidRDefault="00887009" w:rsidP="00887009">
      <w:pPr>
        <w:pStyle w:val="Caption"/>
        <w:keepNext/>
        <w:rPr>
          <w:rFonts w:cs="Arial"/>
          <w:lang w:val="el-GR"/>
        </w:rPr>
      </w:pPr>
      <w:r w:rsidRPr="00FB20CB">
        <w:rPr>
          <w:rFonts w:cs="Arial"/>
          <w:lang w:val="el-GR"/>
        </w:rPr>
        <w:t>FCF</w:t>
      </w:r>
    </w:p>
    <w:tbl>
      <w:tblPr>
        <w:tblStyle w:val="TableGrid"/>
        <w:tblW w:w="10519" w:type="dxa"/>
        <w:tblBorders>
          <w:top w:val="single" w:sz="2" w:space="0" w:color="BFBFBF" w:themeColor="background1" w:themeShade="BF"/>
          <w:left w:val="none" w:sz="0" w:space="0" w:color="auto"/>
          <w:bottom w:val="single" w:sz="2" w:space="0" w:color="BFBFBF" w:themeColor="background1" w:themeShade="BF"/>
          <w:right w:val="none" w:sz="0" w:space="0" w:color="auto"/>
          <w:insideH w:val="none" w:sz="0" w:space="0" w:color="auto"/>
          <w:insideV w:val="none" w:sz="0" w:space="0" w:color="auto"/>
        </w:tblBorders>
        <w:tblLook w:val="04A0" w:firstRow="1" w:lastRow="0" w:firstColumn="1" w:lastColumn="0" w:noHBand="0" w:noVBand="1"/>
      </w:tblPr>
      <w:tblGrid>
        <w:gridCol w:w="4756"/>
        <w:gridCol w:w="1983"/>
        <w:gridCol w:w="1224"/>
        <w:gridCol w:w="1495"/>
        <w:gridCol w:w="1061"/>
      </w:tblGrid>
      <w:tr w:rsidR="003B27F4" w14:paraId="374BD321" w14:textId="77777777" w:rsidTr="001F1F41">
        <w:trPr>
          <w:trHeight w:val="448"/>
          <w:tblHeader/>
        </w:trPr>
        <w:tc>
          <w:tcPr>
            <w:tcW w:w="4756" w:type="dxa"/>
            <w:tcBorders>
              <w:top w:val="single" w:sz="2" w:space="0" w:color="BFBFBF" w:themeColor="background1" w:themeShade="BF"/>
              <w:bottom w:val="single" w:sz="2" w:space="0" w:color="BFBFBF" w:themeColor="background1" w:themeShade="BF"/>
              <w:right w:val="single" w:sz="2" w:space="0" w:color="BFBFBF" w:themeColor="background1" w:themeShade="BF"/>
            </w:tcBorders>
            <w:vAlign w:val="center"/>
          </w:tcPr>
          <w:p w14:paraId="016D28B6" w14:textId="437BA43A" w:rsidR="003B27F4" w:rsidRPr="00047C99" w:rsidRDefault="00952B9A" w:rsidP="001F1F41">
            <w:pPr>
              <w:jc w:val="both"/>
              <w:rPr>
                <w:rFonts w:ascii="Arial" w:hAnsi="Arial" w:cs="Arial"/>
                <w:b/>
                <w:sz w:val="18"/>
              </w:rPr>
            </w:pPr>
            <w:proofErr w:type="spellStart"/>
            <w:r w:rsidRPr="00A7639D">
              <w:rPr>
                <w:rFonts w:ascii="Arial" w:hAnsi="Arial" w:cs="Arial"/>
                <w:b/>
                <w:sz w:val="18"/>
                <w:szCs w:val="18"/>
              </w:rPr>
              <w:t>Όμιλος</w:t>
            </w:r>
            <w:proofErr w:type="spellEnd"/>
            <w:r w:rsidRPr="00A7639D">
              <w:rPr>
                <w:rFonts w:ascii="Arial" w:hAnsi="Arial" w:cs="Arial"/>
                <w:b/>
                <w:sz w:val="18"/>
                <w:szCs w:val="18"/>
              </w:rPr>
              <w:t xml:space="preserve"> ΟΤΕ </w:t>
            </w:r>
            <w:r>
              <w:rPr>
                <w:rFonts w:ascii="Arial" w:hAnsi="Arial" w:cs="Arial"/>
                <w:b/>
                <w:sz w:val="18"/>
                <w:szCs w:val="18"/>
              </w:rPr>
              <w:t>(</w:t>
            </w:r>
            <w:proofErr w:type="spellStart"/>
            <w:r w:rsidRPr="00A7639D">
              <w:rPr>
                <w:rFonts w:ascii="Arial" w:hAnsi="Arial" w:cs="Arial"/>
                <w:b/>
                <w:sz w:val="18"/>
                <w:szCs w:val="18"/>
              </w:rPr>
              <w:t>Ευρώ</w:t>
            </w:r>
            <w:proofErr w:type="spellEnd"/>
            <w:r w:rsidRPr="00A7639D">
              <w:rPr>
                <w:rFonts w:ascii="Arial" w:hAnsi="Arial" w:cs="Arial"/>
                <w:b/>
                <w:sz w:val="18"/>
                <w:szCs w:val="18"/>
              </w:rPr>
              <w:t xml:space="preserve"> </w:t>
            </w:r>
            <w:proofErr w:type="spellStart"/>
            <w:r w:rsidRPr="00A7639D">
              <w:rPr>
                <w:rFonts w:ascii="Arial" w:hAnsi="Arial" w:cs="Arial"/>
                <w:b/>
                <w:sz w:val="18"/>
                <w:szCs w:val="18"/>
              </w:rPr>
              <w:t>εκ</w:t>
            </w:r>
            <w:proofErr w:type="spellEnd"/>
            <w:r w:rsidRPr="00A7639D">
              <w:rPr>
                <w:rFonts w:ascii="Arial" w:hAnsi="Arial" w:cs="Arial"/>
                <w:b/>
                <w:sz w:val="18"/>
                <w:szCs w:val="18"/>
              </w:rPr>
              <w:t>ατ.)</w:t>
            </w:r>
          </w:p>
        </w:tc>
        <w:tc>
          <w:tcPr>
            <w:tcW w:w="1983" w:type="dxa"/>
            <w:tcBorders>
              <w:top w:val="single" w:sz="2" w:space="0" w:color="BFBFBF" w:themeColor="background1" w:themeShade="BF"/>
              <w:left w:val="single" w:sz="2" w:space="0" w:color="BFBFBF" w:themeColor="background1" w:themeShade="BF"/>
              <w:bottom w:val="single" w:sz="2" w:space="0" w:color="BFBFBF" w:themeColor="background1" w:themeShade="BF"/>
            </w:tcBorders>
            <w:vAlign w:val="center"/>
          </w:tcPr>
          <w:p w14:paraId="53BF8D35" w14:textId="77777777" w:rsidR="003B27F4" w:rsidRPr="00047C99" w:rsidRDefault="003B27F4" w:rsidP="001F1F41">
            <w:pPr>
              <w:jc w:val="center"/>
              <w:rPr>
                <w:rFonts w:ascii="Arial" w:hAnsi="Arial" w:cs="Arial"/>
                <w:b/>
                <w:sz w:val="18"/>
              </w:rPr>
            </w:pPr>
            <w:r w:rsidRPr="00047C99">
              <w:rPr>
                <w:rFonts w:ascii="Arial" w:hAnsi="Arial" w:cs="Arial"/>
                <w:b/>
                <w:sz w:val="18"/>
              </w:rPr>
              <w:t>Q</w:t>
            </w:r>
            <w:r>
              <w:rPr>
                <w:rFonts w:ascii="Arial" w:hAnsi="Arial" w:cs="Arial"/>
                <w:b/>
                <w:sz w:val="18"/>
              </w:rPr>
              <w:t>3</w:t>
            </w:r>
            <w:r w:rsidRPr="00047C99">
              <w:rPr>
                <w:rFonts w:ascii="Arial" w:hAnsi="Arial" w:cs="Arial"/>
                <w:b/>
                <w:sz w:val="18"/>
              </w:rPr>
              <w:t>'25</w:t>
            </w:r>
          </w:p>
        </w:tc>
        <w:tc>
          <w:tcPr>
            <w:tcW w:w="1224" w:type="dxa"/>
            <w:tcBorders>
              <w:top w:val="single" w:sz="2" w:space="0" w:color="BFBFBF" w:themeColor="background1" w:themeShade="BF"/>
              <w:bottom w:val="single" w:sz="2" w:space="0" w:color="BFBFBF" w:themeColor="background1" w:themeShade="BF"/>
              <w:right w:val="single" w:sz="2" w:space="0" w:color="BFBFBF" w:themeColor="background1" w:themeShade="BF"/>
            </w:tcBorders>
            <w:vAlign w:val="center"/>
          </w:tcPr>
          <w:p w14:paraId="769901D8" w14:textId="77777777" w:rsidR="003B27F4" w:rsidRPr="00047C99" w:rsidRDefault="003B27F4" w:rsidP="001F1F41">
            <w:pPr>
              <w:jc w:val="center"/>
              <w:rPr>
                <w:rFonts w:ascii="Arial" w:hAnsi="Arial" w:cs="Arial"/>
                <w:b/>
                <w:sz w:val="18"/>
              </w:rPr>
            </w:pPr>
            <w:r w:rsidRPr="00047C99">
              <w:rPr>
                <w:rFonts w:ascii="Arial" w:hAnsi="Arial" w:cs="Arial"/>
                <w:b/>
                <w:sz w:val="18"/>
              </w:rPr>
              <w:t>Q</w:t>
            </w:r>
            <w:r>
              <w:rPr>
                <w:rFonts w:ascii="Arial" w:hAnsi="Arial" w:cs="Arial"/>
                <w:b/>
                <w:sz w:val="18"/>
              </w:rPr>
              <w:t>3</w:t>
            </w:r>
            <w:r w:rsidRPr="00047C99">
              <w:rPr>
                <w:rFonts w:ascii="Arial" w:hAnsi="Arial" w:cs="Arial"/>
                <w:b/>
                <w:sz w:val="18"/>
              </w:rPr>
              <w:t>'24</w:t>
            </w:r>
          </w:p>
        </w:tc>
        <w:tc>
          <w:tcPr>
            <w:tcW w:w="1495" w:type="dxa"/>
            <w:tcBorders>
              <w:top w:val="single" w:sz="2" w:space="0" w:color="BFBFBF" w:themeColor="background1" w:themeShade="BF"/>
              <w:left w:val="single" w:sz="2" w:space="0" w:color="BFBFBF" w:themeColor="background1" w:themeShade="BF"/>
              <w:bottom w:val="single" w:sz="2" w:space="0" w:color="BFBFBF" w:themeColor="background1" w:themeShade="BF"/>
            </w:tcBorders>
            <w:vAlign w:val="center"/>
          </w:tcPr>
          <w:p w14:paraId="66E8ADBB" w14:textId="77777777" w:rsidR="003B27F4" w:rsidRDefault="003B27F4" w:rsidP="001F1F41">
            <w:pPr>
              <w:jc w:val="center"/>
              <w:rPr>
                <w:rFonts w:ascii="Arial" w:hAnsi="Arial" w:cs="Arial"/>
                <w:b/>
                <w:sz w:val="18"/>
              </w:rPr>
            </w:pPr>
            <w:r>
              <w:rPr>
                <w:rFonts w:ascii="Arial" w:hAnsi="Arial" w:cs="Arial"/>
                <w:b/>
                <w:sz w:val="18"/>
              </w:rPr>
              <w:t>9</w:t>
            </w:r>
            <w:r w:rsidRPr="00214FE3">
              <w:rPr>
                <w:rFonts w:ascii="Arial" w:hAnsi="Arial" w:cs="Arial"/>
                <w:b/>
                <w:sz w:val="18"/>
              </w:rPr>
              <w:t>M'25</w:t>
            </w:r>
          </w:p>
        </w:tc>
        <w:tc>
          <w:tcPr>
            <w:tcW w:w="1061" w:type="dxa"/>
            <w:tcBorders>
              <w:top w:val="single" w:sz="2" w:space="0" w:color="BFBFBF" w:themeColor="background1" w:themeShade="BF"/>
              <w:bottom w:val="single" w:sz="2" w:space="0" w:color="BFBFBF" w:themeColor="background1" w:themeShade="BF"/>
            </w:tcBorders>
            <w:vAlign w:val="center"/>
          </w:tcPr>
          <w:p w14:paraId="075DDF4A" w14:textId="77777777" w:rsidR="003B27F4" w:rsidRDefault="003B27F4" w:rsidP="001F1F41">
            <w:pPr>
              <w:jc w:val="center"/>
              <w:rPr>
                <w:rFonts w:ascii="Arial" w:hAnsi="Arial" w:cs="Arial"/>
                <w:b/>
                <w:sz w:val="18"/>
              </w:rPr>
            </w:pPr>
            <w:r>
              <w:rPr>
                <w:rFonts w:ascii="Arial" w:hAnsi="Arial" w:cs="Arial"/>
                <w:b/>
                <w:sz w:val="18"/>
              </w:rPr>
              <w:t>9</w:t>
            </w:r>
            <w:r w:rsidRPr="00214FE3">
              <w:rPr>
                <w:rFonts w:ascii="Arial" w:hAnsi="Arial" w:cs="Arial"/>
                <w:b/>
                <w:sz w:val="18"/>
              </w:rPr>
              <w:t>M’24</w:t>
            </w:r>
          </w:p>
        </w:tc>
      </w:tr>
      <w:tr w:rsidR="003B27F4" w14:paraId="35B74288" w14:textId="77777777" w:rsidTr="001F1F41">
        <w:trPr>
          <w:trHeight w:val="253"/>
        </w:trPr>
        <w:tc>
          <w:tcPr>
            <w:tcW w:w="4756" w:type="dxa"/>
            <w:tcBorders>
              <w:top w:val="single" w:sz="2" w:space="0" w:color="BFBFBF" w:themeColor="background1" w:themeShade="BF"/>
              <w:right w:val="single" w:sz="2" w:space="0" w:color="BFBFBF" w:themeColor="background1" w:themeShade="BF"/>
            </w:tcBorders>
            <w:vAlign w:val="center"/>
          </w:tcPr>
          <w:p w14:paraId="72EF6A22" w14:textId="097F9CD0" w:rsidR="003B27F4" w:rsidRPr="003B27F4" w:rsidRDefault="003B27F4" w:rsidP="001F1F41">
            <w:pPr>
              <w:jc w:val="both"/>
              <w:rPr>
                <w:rFonts w:ascii="Arial" w:hAnsi="Arial" w:cs="Arial"/>
                <w:sz w:val="18"/>
                <w:lang w:val="el-GR"/>
              </w:rPr>
            </w:pPr>
            <w:r w:rsidRPr="0049145A">
              <w:rPr>
                <w:rFonts w:ascii="Arial" w:hAnsi="Arial" w:cs="Arial"/>
                <w:spacing w:val="-2"/>
                <w:sz w:val="18"/>
                <w:lang w:val="el-GR"/>
              </w:rPr>
              <w:t>Καθαρές</w:t>
            </w:r>
            <w:r w:rsidRPr="0049145A">
              <w:rPr>
                <w:rFonts w:ascii="Arial" w:hAnsi="Arial" w:cs="Arial"/>
                <w:spacing w:val="-7"/>
                <w:sz w:val="18"/>
                <w:lang w:val="el-GR"/>
              </w:rPr>
              <w:t xml:space="preserve"> </w:t>
            </w:r>
            <w:r w:rsidRPr="0049145A">
              <w:rPr>
                <w:rFonts w:ascii="Arial" w:hAnsi="Arial" w:cs="Arial"/>
                <w:spacing w:val="-2"/>
                <w:sz w:val="18"/>
                <w:lang w:val="el-GR"/>
              </w:rPr>
              <w:t>ταμειακές</w:t>
            </w:r>
            <w:r w:rsidRPr="0049145A">
              <w:rPr>
                <w:rFonts w:ascii="Arial" w:hAnsi="Arial" w:cs="Arial"/>
                <w:spacing w:val="-5"/>
                <w:sz w:val="18"/>
                <w:lang w:val="el-GR"/>
              </w:rPr>
              <w:t xml:space="preserve"> </w:t>
            </w:r>
            <w:r w:rsidRPr="0049145A">
              <w:rPr>
                <w:rFonts w:ascii="Arial" w:hAnsi="Arial" w:cs="Arial"/>
                <w:spacing w:val="-2"/>
                <w:sz w:val="18"/>
                <w:lang w:val="el-GR"/>
              </w:rPr>
              <w:t>εισροές</w:t>
            </w:r>
            <w:r w:rsidRPr="0049145A">
              <w:rPr>
                <w:rFonts w:ascii="Arial" w:hAnsi="Arial" w:cs="Arial"/>
                <w:spacing w:val="-7"/>
                <w:sz w:val="18"/>
                <w:lang w:val="el-GR"/>
              </w:rPr>
              <w:t xml:space="preserve"> </w:t>
            </w:r>
            <w:r w:rsidRPr="0049145A">
              <w:rPr>
                <w:rFonts w:ascii="Arial" w:hAnsi="Arial" w:cs="Arial"/>
                <w:spacing w:val="-2"/>
                <w:sz w:val="18"/>
                <w:lang w:val="el-GR"/>
              </w:rPr>
              <w:t>από</w:t>
            </w:r>
            <w:r w:rsidRPr="0049145A">
              <w:rPr>
                <w:rFonts w:ascii="Arial" w:hAnsi="Arial" w:cs="Arial"/>
                <w:spacing w:val="-5"/>
                <w:sz w:val="18"/>
                <w:lang w:val="el-GR"/>
              </w:rPr>
              <w:t xml:space="preserve"> </w:t>
            </w:r>
            <w:r w:rsidRPr="0049145A">
              <w:rPr>
                <w:rFonts w:ascii="Arial" w:hAnsi="Arial" w:cs="Arial"/>
                <w:spacing w:val="-2"/>
                <w:sz w:val="18"/>
                <w:lang w:val="el-GR"/>
              </w:rPr>
              <w:t>λειτουργικές</w:t>
            </w:r>
            <w:r w:rsidRPr="0049145A">
              <w:rPr>
                <w:rFonts w:ascii="Arial" w:hAnsi="Arial" w:cs="Arial"/>
                <w:spacing w:val="-4"/>
                <w:sz w:val="18"/>
                <w:lang w:val="el-GR"/>
              </w:rPr>
              <w:t xml:space="preserve"> </w:t>
            </w:r>
            <w:r w:rsidRPr="0049145A">
              <w:rPr>
                <w:rFonts w:ascii="Arial" w:hAnsi="Arial" w:cs="Arial"/>
                <w:spacing w:val="-2"/>
                <w:sz w:val="18"/>
                <w:lang w:val="el-GR"/>
              </w:rPr>
              <w:t>δραστηριότητες</w:t>
            </w:r>
          </w:p>
        </w:tc>
        <w:tc>
          <w:tcPr>
            <w:tcW w:w="1983" w:type="dxa"/>
            <w:tcBorders>
              <w:top w:val="single" w:sz="2" w:space="0" w:color="BFBFBF" w:themeColor="background1" w:themeShade="BF"/>
              <w:left w:val="single" w:sz="2" w:space="0" w:color="BFBFBF" w:themeColor="background1" w:themeShade="BF"/>
            </w:tcBorders>
            <w:vAlign w:val="center"/>
          </w:tcPr>
          <w:p w14:paraId="65C78FB0" w14:textId="6451E0C4" w:rsidR="003B27F4" w:rsidRPr="00C73355" w:rsidRDefault="003B27F4" w:rsidP="001F1F41">
            <w:pPr>
              <w:jc w:val="center"/>
              <w:rPr>
                <w:rFonts w:ascii="Arial" w:hAnsi="Arial" w:cs="Arial"/>
                <w:sz w:val="18"/>
                <w:szCs w:val="18"/>
              </w:rPr>
            </w:pPr>
            <w:r w:rsidRPr="00C73355">
              <w:rPr>
                <w:rFonts w:ascii="Arial" w:hAnsi="Arial" w:cs="Arial"/>
                <w:sz w:val="18"/>
                <w:szCs w:val="18"/>
              </w:rPr>
              <w:t>240</w:t>
            </w:r>
            <w:r w:rsidR="00DB23A2">
              <w:rPr>
                <w:rFonts w:ascii="Arial" w:hAnsi="Arial" w:cs="Arial"/>
                <w:sz w:val="18"/>
                <w:szCs w:val="18"/>
              </w:rPr>
              <w:t>,</w:t>
            </w:r>
            <w:r w:rsidRPr="00C73355">
              <w:rPr>
                <w:rFonts w:ascii="Arial" w:hAnsi="Arial" w:cs="Arial"/>
                <w:sz w:val="18"/>
                <w:szCs w:val="18"/>
              </w:rPr>
              <w:t>4</w:t>
            </w:r>
          </w:p>
        </w:tc>
        <w:tc>
          <w:tcPr>
            <w:tcW w:w="1224" w:type="dxa"/>
            <w:tcBorders>
              <w:top w:val="single" w:sz="2" w:space="0" w:color="BFBFBF" w:themeColor="background1" w:themeShade="BF"/>
              <w:right w:val="single" w:sz="2" w:space="0" w:color="BFBFBF" w:themeColor="background1" w:themeShade="BF"/>
            </w:tcBorders>
            <w:vAlign w:val="center"/>
          </w:tcPr>
          <w:p w14:paraId="33E03E29" w14:textId="16305967" w:rsidR="003B27F4" w:rsidRPr="00C73355" w:rsidRDefault="003B27F4" w:rsidP="001F1F41">
            <w:pPr>
              <w:jc w:val="center"/>
              <w:rPr>
                <w:rFonts w:ascii="Arial" w:hAnsi="Arial" w:cs="Arial"/>
                <w:sz w:val="18"/>
                <w:szCs w:val="18"/>
              </w:rPr>
            </w:pPr>
            <w:r w:rsidRPr="00C73355">
              <w:rPr>
                <w:rFonts w:ascii="Arial" w:hAnsi="Arial" w:cs="Arial"/>
                <w:sz w:val="18"/>
                <w:szCs w:val="18"/>
              </w:rPr>
              <w:t>268</w:t>
            </w:r>
            <w:r w:rsidR="00DB23A2">
              <w:rPr>
                <w:rFonts w:ascii="Arial" w:hAnsi="Arial" w:cs="Arial"/>
                <w:sz w:val="18"/>
                <w:szCs w:val="18"/>
              </w:rPr>
              <w:t>,</w:t>
            </w:r>
            <w:r w:rsidRPr="00C73355">
              <w:rPr>
                <w:rFonts w:ascii="Arial" w:hAnsi="Arial" w:cs="Arial"/>
                <w:sz w:val="18"/>
                <w:szCs w:val="18"/>
              </w:rPr>
              <w:t>3</w:t>
            </w:r>
          </w:p>
        </w:tc>
        <w:tc>
          <w:tcPr>
            <w:tcW w:w="1495" w:type="dxa"/>
            <w:tcBorders>
              <w:top w:val="single" w:sz="2" w:space="0" w:color="BFBFBF" w:themeColor="background1" w:themeShade="BF"/>
              <w:left w:val="single" w:sz="2" w:space="0" w:color="BFBFBF" w:themeColor="background1" w:themeShade="BF"/>
            </w:tcBorders>
            <w:vAlign w:val="center"/>
          </w:tcPr>
          <w:p w14:paraId="3CBD81F6" w14:textId="26047F07" w:rsidR="003B27F4" w:rsidRPr="00C73355" w:rsidRDefault="003B27F4" w:rsidP="001F1F41">
            <w:pPr>
              <w:jc w:val="center"/>
              <w:rPr>
                <w:rFonts w:ascii="Arial" w:hAnsi="Arial" w:cs="Arial"/>
                <w:sz w:val="18"/>
                <w:szCs w:val="18"/>
              </w:rPr>
            </w:pPr>
            <w:r w:rsidRPr="00A431F0">
              <w:rPr>
                <w:rFonts w:ascii="Arial" w:hAnsi="Arial" w:cs="Arial"/>
                <w:sz w:val="18"/>
                <w:szCs w:val="18"/>
              </w:rPr>
              <w:t>823</w:t>
            </w:r>
            <w:r w:rsidR="00DB23A2">
              <w:rPr>
                <w:rFonts w:ascii="Arial" w:hAnsi="Arial" w:cs="Arial"/>
                <w:sz w:val="18"/>
                <w:szCs w:val="18"/>
              </w:rPr>
              <w:t>,</w:t>
            </w:r>
            <w:r w:rsidRPr="00A431F0">
              <w:rPr>
                <w:rFonts w:ascii="Arial" w:hAnsi="Arial" w:cs="Arial"/>
                <w:sz w:val="18"/>
                <w:szCs w:val="18"/>
              </w:rPr>
              <w:t>4</w:t>
            </w:r>
          </w:p>
        </w:tc>
        <w:tc>
          <w:tcPr>
            <w:tcW w:w="1061" w:type="dxa"/>
            <w:tcBorders>
              <w:top w:val="single" w:sz="2" w:space="0" w:color="BFBFBF" w:themeColor="background1" w:themeShade="BF"/>
            </w:tcBorders>
            <w:vAlign w:val="center"/>
          </w:tcPr>
          <w:p w14:paraId="4D2F96C1" w14:textId="6B54A93F" w:rsidR="003B27F4" w:rsidRPr="00C73355" w:rsidRDefault="003B27F4" w:rsidP="001F1F41">
            <w:pPr>
              <w:jc w:val="center"/>
              <w:rPr>
                <w:rFonts w:ascii="Arial" w:hAnsi="Arial" w:cs="Arial"/>
                <w:sz w:val="18"/>
                <w:szCs w:val="18"/>
              </w:rPr>
            </w:pPr>
            <w:r w:rsidRPr="00A431F0">
              <w:rPr>
                <w:rFonts w:ascii="Arial" w:hAnsi="Arial" w:cs="Arial"/>
                <w:sz w:val="18"/>
                <w:szCs w:val="18"/>
              </w:rPr>
              <w:t>818</w:t>
            </w:r>
            <w:r w:rsidR="00DB23A2">
              <w:rPr>
                <w:rFonts w:ascii="Arial" w:hAnsi="Arial" w:cs="Arial"/>
                <w:sz w:val="18"/>
                <w:szCs w:val="18"/>
              </w:rPr>
              <w:t>,</w:t>
            </w:r>
            <w:r w:rsidRPr="00A431F0">
              <w:rPr>
                <w:rFonts w:ascii="Arial" w:hAnsi="Arial" w:cs="Arial"/>
                <w:sz w:val="18"/>
                <w:szCs w:val="18"/>
              </w:rPr>
              <w:t>3</w:t>
            </w:r>
          </w:p>
        </w:tc>
      </w:tr>
      <w:tr w:rsidR="003B27F4" w14:paraId="6D28A823" w14:textId="77777777" w:rsidTr="001F1F41">
        <w:trPr>
          <w:trHeight w:val="253"/>
        </w:trPr>
        <w:tc>
          <w:tcPr>
            <w:tcW w:w="4756" w:type="dxa"/>
            <w:tcBorders>
              <w:top w:val="single" w:sz="2" w:space="0" w:color="BFBFBF" w:themeColor="background1" w:themeShade="BF"/>
              <w:right w:val="single" w:sz="2" w:space="0" w:color="BFBFBF" w:themeColor="background1" w:themeShade="BF"/>
            </w:tcBorders>
            <w:shd w:val="clear" w:color="auto" w:fill="F2F2F2" w:themeFill="background1" w:themeFillShade="F2"/>
            <w:vAlign w:val="center"/>
          </w:tcPr>
          <w:p w14:paraId="52801BC5" w14:textId="0FDCF1EC" w:rsidR="003B27F4" w:rsidRPr="003B27F4" w:rsidRDefault="00F82DE5" w:rsidP="001F1F41">
            <w:pPr>
              <w:jc w:val="both"/>
              <w:rPr>
                <w:rFonts w:ascii="Arial" w:hAnsi="Arial" w:cs="Arial"/>
                <w:sz w:val="18"/>
                <w:lang w:val="el-GR"/>
              </w:rPr>
            </w:pPr>
            <w:r>
              <w:rPr>
                <w:rFonts w:ascii="Arial" w:hAnsi="Arial" w:cs="Arial"/>
                <w:spacing w:val="-2"/>
                <w:sz w:val="18"/>
                <w:lang w:val="el-GR"/>
              </w:rPr>
              <w:t>Μείον</w:t>
            </w:r>
            <w:r w:rsidRPr="00F82DE5">
              <w:rPr>
                <w:rFonts w:ascii="Arial" w:hAnsi="Arial" w:cs="Arial"/>
                <w:spacing w:val="-2"/>
                <w:sz w:val="18"/>
                <w:lang w:val="el-GR"/>
              </w:rPr>
              <w:t xml:space="preserve">: </w:t>
            </w:r>
            <w:r w:rsidR="003B27F4" w:rsidRPr="0049145A">
              <w:rPr>
                <w:rFonts w:ascii="Arial" w:hAnsi="Arial" w:cs="Arial"/>
                <w:spacing w:val="-2"/>
                <w:sz w:val="18"/>
                <w:lang w:val="el-GR"/>
              </w:rPr>
              <w:t>Καθαρές</w:t>
            </w:r>
            <w:r w:rsidR="003B27F4" w:rsidRPr="0049145A">
              <w:rPr>
                <w:rFonts w:ascii="Arial" w:hAnsi="Arial" w:cs="Arial"/>
                <w:spacing w:val="-7"/>
                <w:sz w:val="18"/>
                <w:lang w:val="el-GR"/>
              </w:rPr>
              <w:t xml:space="preserve"> </w:t>
            </w:r>
            <w:r w:rsidR="003B27F4" w:rsidRPr="0049145A">
              <w:rPr>
                <w:rFonts w:ascii="Arial" w:hAnsi="Arial" w:cs="Arial"/>
                <w:spacing w:val="-2"/>
                <w:sz w:val="18"/>
                <w:lang w:val="el-GR"/>
              </w:rPr>
              <w:t>ταμειακές</w:t>
            </w:r>
            <w:r w:rsidR="003B27F4" w:rsidRPr="0049145A">
              <w:rPr>
                <w:rFonts w:ascii="Arial" w:hAnsi="Arial" w:cs="Arial"/>
                <w:spacing w:val="-5"/>
                <w:sz w:val="18"/>
                <w:lang w:val="el-GR"/>
              </w:rPr>
              <w:t xml:space="preserve"> </w:t>
            </w:r>
            <w:r w:rsidR="003B27F4" w:rsidRPr="0049145A">
              <w:rPr>
                <w:rFonts w:ascii="Arial" w:hAnsi="Arial" w:cs="Arial"/>
                <w:spacing w:val="-2"/>
                <w:sz w:val="18"/>
                <w:lang w:val="el-GR"/>
              </w:rPr>
              <w:t>εισροές</w:t>
            </w:r>
            <w:r w:rsidR="003B27F4" w:rsidRPr="0049145A">
              <w:rPr>
                <w:rFonts w:ascii="Arial" w:hAnsi="Arial" w:cs="Arial"/>
                <w:spacing w:val="-7"/>
                <w:sz w:val="18"/>
                <w:lang w:val="el-GR"/>
              </w:rPr>
              <w:t xml:space="preserve"> </w:t>
            </w:r>
            <w:r w:rsidR="003B27F4" w:rsidRPr="0049145A">
              <w:rPr>
                <w:rFonts w:ascii="Arial" w:hAnsi="Arial" w:cs="Arial"/>
                <w:spacing w:val="-2"/>
                <w:sz w:val="18"/>
                <w:lang w:val="el-GR"/>
              </w:rPr>
              <w:t>από</w:t>
            </w:r>
            <w:r w:rsidR="003B27F4" w:rsidRPr="0049145A">
              <w:rPr>
                <w:rFonts w:ascii="Arial" w:hAnsi="Arial" w:cs="Arial"/>
                <w:spacing w:val="-5"/>
                <w:sz w:val="18"/>
                <w:lang w:val="el-GR"/>
              </w:rPr>
              <w:t xml:space="preserve"> </w:t>
            </w:r>
            <w:r w:rsidR="003B27F4" w:rsidRPr="0049145A">
              <w:rPr>
                <w:rFonts w:ascii="Arial" w:hAnsi="Arial" w:cs="Arial"/>
                <w:spacing w:val="-2"/>
                <w:sz w:val="18"/>
                <w:lang w:val="el-GR"/>
              </w:rPr>
              <w:t>λειτουργικές</w:t>
            </w:r>
            <w:r w:rsidR="003B27F4" w:rsidRPr="0049145A">
              <w:rPr>
                <w:rFonts w:ascii="Arial" w:hAnsi="Arial" w:cs="Arial"/>
                <w:spacing w:val="-4"/>
                <w:sz w:val="18"/>
                <w:lang w:val="el-GR"/>
              </w:rPr>
              <w:t xml:space="preserve"> </w:t>
            </w:r>
            <w:r w:rsidR="003B27F4" w:rsidRPr="0049145A">
              <w:rPr>
                <w:rFonts w:ascii="Arial" w:hAnsi="Arial" w:cs="Arial"/>
                <w:spacing w:val="-2"/>
                <w:sz w:val="18"/>
                <w:lang w:val="el-GR"/>
              </w:rPr>
              <w:t>δραστηριότητες</w:t>
            </w:r>
            <w:r w:rsidR="003B27F4">
              <w:rPr>
                <w:rFonts w:ascii="Arial" w:hAnsi="Arial" w:cs="Arial"/>
                <w:spacing w:val="-2"/>
                <w:sz w:val="18"/>
                <w:lang w:val="el-GR"/>
              </w:rPr>
              <w:t xml:space="preserve"> διακοπεισών δραστηριοτήτων</w:t>
            </w:r>
          </w:p>
        </w:tc>
        <w:tc>
          <w:tcPr>
            <w:tcW w:w="1983" w:type="dxa"/>
            <w:tcBorders>
              <w:top w:val="single" w:sz="2" w:space="0" w:color="BFBFBF" w:themeColor="background1" w:themeShade="BF"/>
              <w:left w:val="single" w:sz="2" w:space="0" w:color="BFBFBF" w:themeColor="background1" w:themeShade="BF"/>
            </w:tcBorders>
            <w:shd w:val="clear" w:color="auto" w:fill="F2F2F2" w:themeFill="background1" w:themeFillShade="F2"/>
            <w:vAlign w:val="center"/>
          </w:tcPr>
          <w:p w14:paraId="17B62F88" w14:textId="211EC601" w:rsidR="003B27F4" w:rsidRPr="00C73355" w:rsidRDefault="003B27F4" w:rsidP="001F1F41">
            <w:pPr>
              <w:jc w:val="center"/>
              <w:rPr>
                <w:rFonts w:ascii="Arial" w:hAnsi="Arial" w:cs="Arial"/>
                <w:sz w:val="18"/>
                <w:szCs w:val="18"/>
              </w:rPr>
            </w:pPr>
            <w:r w:rsidRPr="0099748D">
              <w:rPr>
                <w:rFonts w:ascii="Arial" w:hAnsi="Arial" w:cs="Arial"/>
                <w:sz w:val="18"/>
                <w:szCs w:val="18"/>
              </w:rPr>
              <w:t>(27</w:t>
            </w:r>
            <w:r w:rsidR="00DB23A2">
              <w:rPr>
                <w:rFonts w:ascii="Arial" w:hAnsi="Arial" w:cs="Arial"/>
                <w:sz w:val="18"/>
                <w:szCs w:val="18"/>
              </w:rPr>
              <w:t>,</w:t>
            </w:r>
            <w:r w:rsidRPr="0099748D">
              <w:rPr>
                <w:rFonts w:ascii="Arial" w:hAnsi="Arial" w:cs="Arial"/>
                <w:sz w:val="18"/>
                <w:szCs w:val="18"/>
              </w:rPr>
              <w:t>1)</w:t>
            </w:r>
          </w:p>
        </w:tc>
        <w:tc>
          <w:tcPr>
            <w:tcW w:w="1224" w:type="dxa"/>
            <w:tcBorders>
              <w:top w:val="single" w:sz="2" w:space="0" w:color="BFBFBF" w:themeColor="background1" w:themeShade="BF"/>
              <w:right w:val="single" w:sz="2" w:space="0" w:color="BFBFBF" w:themeColor="background1" w:themeShade="BF"/>
            </w:tcBorders>
            <w:shd w:val="clear" w:color="auto" w:fill="F2F2F2" w:themeFill="background1" w:themeFillShade="F2"/>
            <w:vAlign w:val="center"/>
          </w:tcPr>
          <w:p w14:paraId="434A3B83" w14:textId="4B036DAA" w:rsidR="003B27F4" w:rsidRPr="00C73355" w:rsidRDefault="003B27F4" w:rsidP="001F1F41">
            <w:pPr>
              <w:jc w:val="center"/>
              <w:rPr>
                <w:rFonts w:ascii="Arial" w:hAnsi="Arial" w:cs="Arial"/>
                <w:sz w:val="18"/>
                <w:szCs w:val="18"/>
              </w:rPr>
            </w:pPr>
            <w:r w:rsidRPr="0099748D">
              <w:rPr>
                <w:rFonts w:ascii="Arial" w:hAnsi="Arial" w:cs="Arial"/>
                <w:sz w:val="18"/>
                <w:szCs w:val="18"/>
              </w:rPr>
              <w:t>7</w:t>
            </w:r>
            <w:r w:rsidR="00DB23A2">
              <w:rPr>
                <w:rFonts w:ascii="Arial" w:hAnsi="Arial" w:cs="Arial"/>
                <w:sz w:val="18"/>
                <w:szCs w:val="18"/>
              </w:rPr>
              <w:t>,</w:t>
            </w:r>
            <w:r w:rsidRPr="0099748D">
              <w:rPr>
                <w:rFonts w:ascii="Arial" w:hAnsi="Arial" w:cs="Arial"/>
                <w:sz w:val="18"/>
                <w:szCs w:val="18"/>
              </w:rPr>
              <w:t>2</w:t>
            </w:r>
          </w:p>
        </w:tc>
        <w:tc>
          <w:tcPr>
            <w:tcW w:w="1495" w:type="dxa"/>
            <w:tcBorders>
              <w:top w:val="single" w:sz="2" w:space="0" w:color="BFBFBF" w:themeColor="background1" w:themeShade="BF"/>
              <w:left w:val="single" w:sz="2" w:space="0" w:color="BFBFBF" w:themeColor="background1" w:themeShade="BF"/>
            </w:tcBorders>
            <w:shd w:val="clear" w:color="auto" w:fill="F2F2F2" w:themeFill="background1" w:themeFillShade="F2"/>
            <w:vAlign w:val="center"/>
          </w:tcPr>
          <w:p w14:paraId="11D9F8E5" w14:textId="690155F3" w:rsidR="003B27F4" w:rsidRPr="00A431F0" w:rsidRDefault="003B27F4" w:rsidP="001F1F41">
            <w:pPr>
              <w:jc w:val="center"/>
              <w:rPr>
                <w:rFonts w:ascii="Arial" w:hAnsi="Arial" w:cs="Arial"/>
                <w:sz w:val="18"/>
                <w:szCs w:val="18"/>
              </w:rPr>
            </w:pPr>
            <w:r w:rsidRPr="0099748D">
              <w:rPr>
                <w:rFonts w:ascii="Arial" w:hAnsi="Arial" w:cs="Arial"/>
                <w:sz w:val="18"/>
                <w:szCs w:val="18"/>
              </w:rPr>
              <w:t>(18</w:t>
            </w:r>
            <w:r w:rsidR="00DB23A2">
              <w:rPr>
                <w:rFonts w:ascii="Arial" w:hAnsi="Arial" w:cs="Arial"/>
                <w:sz w:val="18"/>
                <w:szCs w:val="18"/>
              </w:rPr>
              <w:t>,</w:t>
            </w:r>
            <w:r w:rsidRPr="0099748D">
              <w:rPr>
                <w:rFonts w:ascii="Arial" w:hAnsi="Arial" w:cs="Arial"/>
                <w:sz w:val="18"/>
                <w:szCs w:val="18"/>
              </w:rPr>
              <w:t>6)</w:t>
            </w:r>
          </w:p>
        </w:tc>
        <w:tc>
          <w:tcPr>
            <w:tcW w:w="1061" w:type="dxa"/>
            <w:tcBorders>
              <w:top w:val="single" w:sz="2" w:space="0" w:color="BFBFBF" w:themeColor="background1" w:themeShade="BF"/>
            </w:tcBorders>
            <w:shd w:val="clear" w:color="auto" w:fill="F2F2F2" w:themeFill="background1" w:themeFillShade="F2"/>
            <w:vAlign w:val="center"/>
          </w:tcPr>
          <w:p w14:paraId="722E16AC" w14:textId="28373AE7" w:rsidR="003B27F4" w:rsidRPr="00A431F0" w:rsidRDefault="003B27F4" w:rsidP="001F1F41">
            <w:pPr>
              <w:jc w:val="center"/>
              <w:rPr>
                <w:rFonts w:ascii="Arial" w:hAnsi="Arial" w:cs="Arial"/>
                <w:sz w:val="18"/>
                <w:szCs w:val="18"/>
              </w:rPr>
            </w:pPr>
            <w:r w:rsidRPr="0099748D">
              <w:rPr>
                <w:rFonts w:ascii="Arial" w:hAnsi="Arial" w:cs="Arial"/>
                <w:sz w:val="18"/>
                <w:szCs w:val="18"/>
              </w:rPr>
              <w:t>10</w:t>
            </w:r>
            <w:r w:rsidR="00DB23A2">
              <w:rPr>
                <w:rFonts w:ascii="Arial" w:hAnsi="Arial" w:cs="Arial"/>
                <w:sz w:val="18"/>
                <w:szCs w:val="18"/>
              </w:rPr>
              <w:t>,</w:t>
            </w:r>
            <w:r w:rsidRPr="0099748D">
              <w:rPr>
                <w:rFonts w:ascii="Arial" w:hAnsi="Arial" w:cs="Arial"/>
                <w:sz w:val="18"/>
                <w:szCs w:val="18"/>
              </w:rPr>
              <w:t>2</w:t>
            </w:r>
          </w:p>
        </w:tc>
      </w:tr>
      <w:tr w:rsidR="003B27F4" w14:paraId="4D989FC4" w14:textId="77777777" w:rsidTr="001F1F41">
        <w:trPr>
          <w:trHeight w:val="253"/>
        </w:trPr>
        <w:tc>
          <w:tcPr>
            <w:tcW w:w="4756" w:type="dxa"/>
            <w:tcBorders>
              <w:right w:val="single" w:sz="2" w:space="0" w:color="BFBFBF" w:themeColor="background1" w:themeShade="BF"/>
            </w:tcBorders>
            <w:vAlign w:val="center"/>
          </w:tcPr>
          <w:p w14:paraId="4BC73708" w14:textId="36F470D8" w:rsidR="003B27F4" w:rsidRPr="003B27F4" w:rsidRDefault="003B27F4" w:rsidP="003B27F4">
            <w:pPr>
              <w:jc w:val="both"/>
              <w:rPr>
                <w:rFonts w:ascii="Arial" w:hAnsi="Arial" w:cs="Arial"/>
                <w:sz w:val="18"/>
                <w:lang w:val="el-GR"/>
              </w:rPr>
            </w:pPr>
            <w:r w:rsidRPr="0049145A">
              <w:rPr>
                <w:rFonts w:ascii="Arial" w:hAnsi="Arial" w:cs="Arial"/>
                <w:spacing w:val="-2"/>
                <w:sz w:val="18"/>
                <w:lang w:val="el-GR"/>
              </w:rPr>
              <w:t>Αγορά</w:t>
            </w:r>
            <w:r w:rsidRPr="0049145A">
              <w:rPr>
                <w:rFonts w:ascii="Arial" w:hAnsi="Arial" w:cs="Arial"/>
                <w:spacing w:val="-6"/>
                <w:sz w:val="18"/>
                <w:lang w:val="el-GR"/>
              </w:rPr>
              <w:t xml:space="preserve"> </w:t>
            </w:r>
            <w:r w:rsidRPr="0049145A">
              <w:rPr>
                <w:rFonts w:ascii="Arial" w:hAnsi="Arial" w:cs="Arial"/>
                <w:spacing w:val="-2"/>
                <w:sz w:val="18"/>
                <w:lang w:val="el-GR"/>
              </w:rPr>
              <w:t>ενσώματων</w:t>
            </w:r>
            <w:r w:rsidRPr="0049145A">
              <w:rPr>
                <w:rFonts w:ascii="Arial" w:hAnsi="Arial" w:cs="Arial"/>
                <w:spacing w:val="-5"/>
                <w:sz w:val="18"/>
                <w:lang w:val="el-GR"/>
              </w:rPr>
              <w:t xml:space="preserve"> </w:t>
            </w:r>
            <w:r w:rsidRPr="0049145A">
              <w:rPr>
                <w:rFonts w:ascii="Arial" w:hAnsi="Arial" w:cs="Arial"/>
                <w:spacing w:val="-2"/>
                <w:sz w:val="18"/>
                <w:lang w:val="el-GR"/>
              </w:rPr>
              <w:t>και</w:t>
            </w:r>
            <w:r w:rsidRPr="0049145A">
              <w:rPr>
                <w:rFonts w:ascii="Arial" w:hAnsi="Arial" w:cs="Arial"/>
                <w:spacing w:val="-5"/>
                <w:sz w:val="18"/>
                <w:lang w:val="el-GR"/>
              </w:rPr>
              <w:t xml:space="preserve"> </w:t>
            </w:r>
            <w:r w:rsidRPr="0049145A">
              <w:rPr>
                <w:rFonts w:ascii="Arial" w:hAnsi="Arial" w:cs="Arial"/>
                <w:spacing w:val="-2"/>
                <w:sz w:val="18"/>
                <w:lang w:val="el-GR"/>
              </w:rPr>
              <w:t>άυλων</w:t>
            </w:r>
            <w:r w:rsidRPr="0049145A">
              <w:rPr>
                <w:rFonts w:ascii="Arial" w:hAnsi="Arial" w:cs="Arial"/>
                <w:spacing w:val="-6"/>
                <w:sz w:val="18"/>
                <w:lang w:val="el-GR"/>
              </w:rPr>
              <w:t xml:space="preserve"> </w:t>
            </w:r>
            <w:r w:rsidRPr="0049145A">
              <w:rPr>
                <w:rFonts w:ascii="Arial" w:hAnsi="Arial" w:cs="Arial"/>
                <w:spacing w:val="-2"/>
                <w:sz w:val="18"/>
                <w:lang w:val="el-GR"/>
              </w:rPr>
              <w:t>παγίων</w:t>
            </w:r>
            <w:r w:rsidRPr="0049145A">
              <w:rPr>
                <w:rFonts w:ascii="Arial" w:hAnsi="Arial" w:cs="Arial"/>
                <w:spacing w:val="-5"/>
                <w:sz w:val="18"/>
                <w:lang w:val="el-GR"/>
              </w:rPr>
              <w:t xml:space="preserve"> </w:t>
            </w:r>
            <w:r w:rsidRPr="0049145A">
              <w:rPr>
                <w:rFonts w:ascii="Arial" w:hAnsi="Arial" w:cs="Arial"/>
                <w:spacing w:val="-2"/>
                <w:sz w:val="18"/>
                <w:lang w:val="el-GR"/>
              </w:rPr>
              <w:t>περιουσιακών</w:t>
            </w:r>
            <w:r w:rsidRPr="0049145A">
              <w:rPr>
                <w:rFonts w:ascii="Arial" w:hAnsi="Arial" w:cs="Arial"/>
                <w:spacing w:val="-5"/>
                <w:sz w:val="18"/>
                <w:lang w:val="el-GR"/>
              </w:rPr>
              <w:t xml:space="preserve"> </w:t>
            </w:r>
            <w:r w:rsidRPr="0049145A">
              <w:rPr>
                <w:rFonts w:ascii="Arial" w:hAnsi="Arial" w:cs="Arial"/>
                <w:spacing w:val="-2"/>
                <w:sz w:val="18"/>
                <w:lang w:val="el-GR"/>
              </w:rPr>
              <w:t>στοιχείων</w:t>
            </w:r>
          </w:p>
        </w:tc>
        <w:tc>
          <w:tcPr>
            <w:tcW w:w="1983" w:type="dxa"/>
            <w:tcBorders>
              <w:left w:val="single" w:sz="2" w:space="0" w:color="BFBFBF" w:themeColor="background1" w:themeShade="BF"/>
            </w:tcBorders>
            <w:vAlign w:val="center"/>
          </w:tcPr>
          <w:p w14:paraId="34971289" w14:textId="2582F1B0" w:rsidR="003B27F4" w:rsidRPr="00A431F0" w:rsidRDefault="003B27F4" w:rsidP="003B27F4">
            <w:pPr>
              <w:jc w:val="center"/>
              <w:rPr>
                <w:rFonts w:ascii="Arial" w:hAnsi="Arial" w:cs="Arial"/>
                <w:sz w:val="18"/>
                <w:szCs w:val="18"/>
              </w:rPr>
            </w:pPr>
            <w:r w:rsidRPr="00A431F0">
              <w:rPr>
                <w:rFonts w:ascii="Arial" w:hAnsi="Arial" w:cs="Arial"/>
                <w:sz w:val="18"/>
                <w:szCs w:val="18"/>
              </w:rPr>
              <w:t>(149</w:t>
            </w:r>
            <w:r w:rsidR="00DB23A2">
              <w:rPr>
                <w:rFonts w:ascii="Arial" w:hAnsi="Arial" w:cs="Arial"/>
                <w:sz w:val="18"/>
                <w:szCs w:val="18"/>
              </w:rPr>
              <w:t>,</w:t>
            </w:r>
            <w:r w:rsidRPr="00A431F0">
              <w:rPr>
                <w:rFonts w:ascii="Arial" w:hAnsi="Arial" w:cs="Arial"/>
                <w:sz w:val="18"/>
                <w:szCs w:val="18"/>
              </w:rPr>
              <w:t>8)</w:t>
            </w:r>
          </w:p>
        </w:tc>
        <w:tc>
          <w:tcPr>
            <w:tcW w:w="1224" w:type="dxa"/>
            <w:tcBorders>
              <w:right w:val="single" w:sz="2" w:space="0" w:color="BFBFBF" w:themeColor="background1" w:themeShade="BF"/>
            </w:tcBorders>
            <w:vAlign w:val="center"/>
          </w:tcPr>
          <w:p w14:paraId="22AEE970" w14:textId="344FCF02" w:rsidR="003B27F4" w:rsidRPr="00A431F0" w:rsidRDefault="003B27F4" w:rsidP="003B27F4">
            <w:pPr>
              <w:jc w:val="center"/>
              <w:rPr>
                <w:rFonts w:ascii="Arial" w:hAnsi="Arial" w:cs="Arial"/>
                <w:sz w:val="18"/>
                <w:szCs w:val="18"/>
              </w:rPr>
            </w:pPr>
            <w:r w:rsidRPr="00A431F0">
              <w:rPr>
                <w:rFonts w:ascii="Arial" w:hAnsi="Arial" w:cs="Arial"/>
                <w:sz w:val="18"/>
                <w:szCs w:val="18"/>
              </w:rPr>
              <w:t>(152</w:t>
            </w:r>
            <w:r w:rsidR="00DB23A2">
              <w:rPr>
                <w:rFonts w:ascii="Arial" w:hAnsi="Arial" w:cs="Arial"/>
                <w:sz w:val="18"/>
                <w:szCs w:val="18"/>
              </w:rPr>
              <w:t>,</w:t>
            </w:r>
            <w:r w:rsidRPr="00A431F0">
              <w:rPr>
                <w:rFonts w:ascii="Arial" w:hAnsi="Arial" w:cs="Arial"/>
                <w:sz w:val="18"/>
                <w:szCs w:val="18"/>
              </w:rPr>
              <w:t>2)</w:t>
            </w:r>
          </w:p>
        </w:tc>
        <w:tc>
          <w:tcPr>
            <w:tcW w:w="1495" w:type="dxa"/>
            <w:tcBorders>
              <w:left w:val="single" w:sz="2" w:space="0" w:color="BFBFBF" w:themeColor="background1" w:themeShade="BF"/>
            </w:tcBorders>
            <w:vAlign w:val="center"/>
          </w:tcPr>
          <w:p w14:paraId="2B3E3519" w14:textId="5043B5C8" w:rsidR="003B27F4" w:rsidRPr="00A431F0" w:rsidRDefault="003B27F4" w:rsidP="003B27F4">
            <w:pPr>
              <w:jc w:val="center"/>
              <w:rPr>
                <w:rFonts w:ascii="Arial" w:hAnsi="Arial" w:cs="Arial"/>
                <w:sz w:val="18"/>
                <w:szCs w:val="18"/>
              </w:rPr>
            </w:pPr>
            <w:r w:rsidRPr="00A431F0">
              <w:rPr>
                <w:rFonts w:ascii="Arial" w:hAnsi="Arial" w:cs="Arial"/>
                <w:sz w:val="18"/>
                <w:szCs w:val="18"/>
              </w:rPr>
              <w:t>(437</w:t>
            </w:r>
            <w:r w:rsidR="00DB23A2">
              <w:rPr>
                <w:rFonts w:ascii="Arial" w:hAnsi="Arial" w:cs="Arial"/>
                <w:sz w:val="18"/>
                <w:szCs w:val="18"/>
              </w:rPr>
              <w:t>,</w:t>
            </w:r>
            <w:r w:rsidRPr="00A431F0">
              <w:rPr>
                <w:rFonts w:ascii="Arial" w:hAnsi="Arial" w:cs="Arial"/>
                <w:sz w:val="18"/>
                <w:szCs w:val="18"/>
              </w:rPr>
              <w:t>1)</w:t>
            </w:r>
          </w:p>
        </w:tc>
        <w:tc>
          <w:tcPr>
            <w:tcW w:w="1061" w:type="dxa"/>
            <w:vAlign w:val="center"/>
          </w:tcPr>
          <w:p w14:paraId="0C87B788" w14:textId="616AC365" w:rsidR="003B27F4" w:rsidRPr="00A431F0" w:rsidRDefault="003B27F4" w:rsidP="003B27F4">
            <w:pPr>
              <w:jc w:val="center"/>
              <w:rPr>
                <w:rFonts w:ascii="Arial" w:hAnsi="Arial" w:cs="Arial"/>
                <w:sz w:val="18"/>
                <w:szCs w:val="18"/>
              </w:rPr>
            </w:pPr>
            <w:r w:rsidRPr="00A431F0">
              <w:rPr>
                <w:rFonts w:ascii="Arial" w:hAnsi="Arial" w:cs="Arial"/>
                <w:sz w:val="18"/>
                <w:szCs w:val="18"/>
              </w:rPr>
              <w:t>(404</w:t>
            </w:r>
            <w:r w:rsidR="00DB23A2">
              <w:rPr>
                <w:rFonts w:ascii="Arial" w:hAnsi="Arial" w:cs="Arial"/>
                <w:sz w:val="18"/>
                <w:szCs w:val="18"/>
              </w:rPr>
              <w:t>,</w:t>
            </w:r>
            <w:r w:rsidRPr="00A431F0">
              <w:rPr>
                <w:rFonts w:ascii="Arial" w:hAnsi="Arial" w:cs="Arial"/>
                <w:sz w:val="18"/>
                <w:szCs w:val="18"/>
              </w:rPr>
              <w:t>1)</w:t>
            </w:r>
          </w:p>
        </w:tc>
      </w:tr>
      <w:tr w:rsidR="003B27F4" w14:paraId="6BCF7019" w14:textId="77777777" w:rsidTr="001F1F41">
        <w:trPr>
          <w:trHeight w:val="253"/>
        </w:trPr>
        <w:tc>
          <w:tcPr>
            <w:tcW w:w="4756" w:type="dxa"/>
            <w:tcBorders>
              <w:right w:val="single" w:sz="2" w:space="0" w:color="BFBFBF" w:themeColor="background1" w:themeShade="BF"/>
            </w:tcBorders>
            <w:vAlign w:val="center"/>
          </w:tcPr>
          <w:p w14:paraId="7336075B" w14:textId="3C533E2E" w:rsidR="003B27F4" w:rsidRPr="00047C99" w:rsidRDefault="003B27F4" w:rsidP="003B27F4">
            <w:pPr>
              <w:jc w:val="both"/>
              <w:rPr>
                <w:rFonts w:ascii="Arial" w:hAnsi="Arial" w:cs="Arial"/>
                <w:sz w:val="18"/>
              </w:rPr>
            </w:pPr>
            <w:proofErr w:type="spellStart"/>
            <w:r w:rsidRPr="0049145A">
              <w:rPr>
                <w:rFonts w:ascii="Arial" w:hAnsi="Arial" w:cs="Arial"/>
                <w:spacing w:val="-2"/>
                <w:sz w:val="18"/>
              </w:rPr>
              <w:t>Πιστωτικοί</w:t>
            </w:r>
            <w:proofErr w:type="spellEnd"/>
            <w:r w:rsidRPr="0049145A">
              <w:rPr>
                <w:rFonts w:ascii="Arial" w:hAnsi="Arial" w:cs="Arial"/>
                <w:spacing w:val="-7"/>
                <w:sz w:val="18"/>
              </w:rPr>
              <w:t xml:space="preserve"> </w:t>
            </w:r>
            <w:proofErr w:type="spellStart"/>
            <w:r w:rsidRPr="0049145A">
              <w:rPr>
                <w:rFonts w:ascii="Arial" w:hAnsi="Arial" w:cs="Arial"/>
                <w:spacing w:val="-2"/>
                <w:sz w:val="18"/>
              </w:rPr>
              <w:t>τόκοι</w:t>
            </w:r>
            <w:proofErr w:type="spellEnd"/>
            <w:r w:rsidRPr="0049145A">
              <w:rPr>
                <w:rFonts w:ascii="Arial" w:hAnsi="Arial" w:cs="Arial"/>
                <w:spacing w:val="-7"/>
                <w:sz w:val="18"/>
              </w:rPr>
              <w:t xml:space="preserve"> </w:t>
            </w:r>
            <w:proofErr w:type="spellStart"/>
            <w:r w:rsidRPr="0049145A">
              <w:rPr>
                <w:rFonts w:ascii="Arial" w:hAnsi="Arial" w:cs="Arial"/>
                <w:spacing w:val="-2"/>
                <w:sz w:val="18"/>
              </w:rPr>
              <w:t>εισ</w:t>
            </w:r>
            <w:proofErr w:type="spellEnd"/>
            <w:r w:rsidRPr="0049145A">
              <w:rPr>
                <w:rFonts w:ascii="Arial" w:hAnsi="Arial" w:cs="Arial"/>
                <w:spacing w:val="-2"/>
                <w:sz w:val="18"/>
              </w:rPr>
              <w:t>πραχθέντες</w:t>
            </w:r>
          </w:p>
        </w:tc>
        <w:tc>
          <w:tcPr>
            <w:tcW w:w="1983" w:type="dxa"/>
            <w:tcBorders>
              <w:left w:val="single" w:sz="2" w:space="0" w:color="BFBFBF" w:themeColor="background1" w:themeShade="BF"/>
            </w:tcBorders>
            <w:vAlign w:val="center"/>
          </w:tcPr>
          <w:p w14:paraId="7AC51023" w14:textId="68471106" w:rsidR="003B27F4" w:rsidRPr="00A431F0" w:rsidRDefault="003B27F4" w:rsidP="003B27F4">
            <w:pPr>
              <w:jc w:val="center"/>
              <w:rPr>
                <w:rFonts w:ascii="Arial" w:hAnsi="Arial" w:cs="Arial"/>
                <w:sz w:val="18"/>
                <w:szCs w:val="18"/>
              </w:rPr>
            </w:pPr>
            <w:r w:rsidRPr="00A431F0">
              <w:rPr>
                <w:rFonts w:ascii="Arial" w:hAnsi="Arial" w:cs="Arial"/>
                <w:sz w:val="18"/>
                <w:szCs w:val="18"/>
              </w:rPr>
              <w:t>1</w:t>
            </w:r>
            <w:r w:rsidR="00DB23A2">
              <w:rPr>
                <w:rFonts w:ascii="Arial" w:hAnsi="Arial" w:cs="Arial"/>
                <w:sz w:val="18"/>
                <w:szCs w:val="18"/>
              </w:rPr>
              <w:t>,</w:t>
            </w:r>
            <w:r w:rsidRPr="00A431F0">
              <w:rPr>
                <w:rFonts w:ascii="Arial" w:hAnsi="Arial" w:cs="Arial"/>
                <w:sz w:val="18"/>
                <w:szCs w:val="18"/>
              </w:rPr>
              <w:t>4</w:t>
            </w:r>
          </w:p>
        </w:tc>
        <w:tc>
          <w:tcPr>
            <w:tcW w:w="1224" w:type="dxa"/>
            <w:tcBorders>
              <w:right w:val="single" w:sz="2" w:space="0" w:color="BFBFBF" w:themeColor="background1" w:themeShade="BF"/>
            </w:tcBorders>
            <w:vAlign w:val="center"/>
          </w:tcPr>
          <w:p w14:paraId="75090613" w14:textId="02978B74" w:rsidR="003B27F4" w:rsidRPr="00A431F0" w:rsidRDefault="003B27F4" w:rsidP="003B27F4">
            <w:pPr>
              <w:jc w:val="center"/>
              <w:rPr>
                <w:rFonts w:ascii="Arial" w:hAnsi="Arial" w:cs="Arial"/>
                <w:sz w:val="18"/>
                <w:szCs w:val="18"/>
              </w:rPr>
            </w:pPr>
            <w:r w:rsidRPr="00A431F0">
              <w:rPr>
                <w:rFonts w:ascii="Arial" w:hAnsi="Arial" w:cs="Arial"/>
                <w:sz w:val="18"/>
                <w:szCs w:val="18"/>
              </w:rPr>
              <w:t>2</w:t>
            </w:r>
            <w:r w:rsidR="00DB23A2">
              <w:rPr>
                <w:rFonts w:ascii="Arial" w:hAnsi="Arial" w:cs="Arial"/>
                <w:sz w:val="18"/>
                <w:szCs w:val="18"/>
              </w:rPr>
              <w:t>,</w:t>
            </w:r>
            <w:r w:rsidRPr="00A431F0">
              <w:rPr>
                <w:rFonts w:ascii="Arial" w:hAnsi="Arial" w:cs="Arial"/>
                <w:sz w:val="18"/>
                <w:szCs w:val="18"/>
              </w:rPr>
              <w:t>2</w:t>
            </w:r>
          </w:p>
        </w:tc>
        <w:tc>
          <w:tcPr>
            <w:tcW w:w="1495" w:type="dxa"/>
            <w:tcBorders>
              <w:left w:val="single" w:sz="2" w:space="0" w:color="BFBFBF" w:themeColor="background1" w:themeShade="BF"/>
            </w:tcBorders>
            <w:vAlign w:val="center"/>
          </w:tcPr>
          <w:p w14:paraId="763AEE60" w14:textId="0CFBF55E" w:rsidR="003B27F4" w:rsidRPr="00A431F0" w:rsidRDefault="003B27F4" w:rsidP="003B27F4">
            <w:pPr>
              <w:jc w:val="center"/>
              <w:rPr>
                <w:rFonts w:ascii="Arial" w:hAnsi="Arial" w:cs="Arial"/>
                <w:sz w:val="18"/>
                <w:szCs w:val="18"/>
              </w:rPr>
            </w:pPr>
            <w:r w:rsidRPr="00A431F0">
              <w:rPr>
                <w:rFonts w:ascii="Arial" w:hAnsi="Arial" w:cs="Arial"/>
                <w:sz w:val="18"/>
                <w:szCs w:val="18"/>
              </w:rPr>
              <w:t>6</w:t>
            </w:r>
            <w:r w:rsidR="00DB23A2">
              <w:rPr>
                <w:rFonts w:ascii="Arial" w:hAnsi="Arial" w:cs="Arial"/>
                <w:sz w:val="18"/>
                <w:szCs w:val="18"/>
              </w:rPr>
              <w:t>,</w:t>
            </w:r>
            <w:r w:rsidRPr="00A431F0">
              <w:rPr>
                <w:rFonts w:ascii="Arial" w:hAnsi="Arial" w:cs="Arial"/>
                <w:sz w:val="18"/>
                <w:szCs w:val="18"/>
              </w:rPr>
              <w:t>2</w:t>
            </w:r>
          </w:p>
        </w:tc>
        <w:tc>
          <w:tcPr>
            <w:tcW w:w="1061" w:type="dxa"/>
            <w:vAlign w:val="center"/>
          </w:tcPr>
          <w:p w14:paraId="4DD7D33B" w14:textId="6F91E47D" w:rsidR="003B27F4" w:rsidRPr="00A431F0" w:rsidRDefault="003B27F4" w:rsidP="003B27F4">
            <w:pPr>
              <w:jc w:val="center"/>
              <w:rPr>
                <w:rFonts w:ascii="Arial" w:hAnsi="Arial" w:cs="Arial"/>
                <w:sz w:val="18"/>
                <w:szCs w:val="18"/>
              </w:rPr>
            </w:pPr>
            <w:r w:rsidRPr="00A431F0">
              <w:rPr>
                <w:rFonts w:ascii="Arial" w:hAnsi="Arial" w:cs="Arial"/>
                <w:sz w:val="18"/>
                <w:szCs w:val="18"/>
              </w:rPr>
              <w:t>9</w:t>
            </w:r>
            <w:r w:rsidR="00DB23A2">
              <w:rPr>
                <w:rFonts w:ascii="Arial" w:hAnsi="Arial" w:cs="Arial"/>
                <w:sz w:val="18"/>
                <w:szCs w:val="18"/>
              </w:rPr>
              <w:t>,</w:t>
            </w:r>
            <w:r w:rsidRPr="00A431F0">
              <w:rPr>
                <w:rFonts w:ascii="Arial" w:hAnsi="Arial" w:cs="Arial"/>
                <w:sz w:val="18"/>
                <w:szCs w:val="18"/>
              </w:rPr>
              <w:t>2</w:t>
            </w:r>
          </w:p>
        </w:tc>
      </w:tr>
      <w:tr w:rsidR="003B27F4" w14:paraId="32F03833" w14:textId="77777777" w:rsidTr="001F1F41">
        <w:trPr>
          <w:trHeight w:val="253"/>
        </w:trPr>
        <w:tc>
          <w:tcPr>
            <w:tcW w:w="4756" w:type="dxa"/>
            <w:tcBorders>
              <w:right w:val="single" w:sz="2" w:space="0" w:color="BFBFBF" w:themeColor="background1" w:themeShade="BF"/>
            </w:tcBorders>
            <w:vAlign w:val="center"/>
          </w:tcPr>
          <w:p w14:paraId="100C5DFB" w14:textId="75FC9447" w:rsidR="003B27F4" w:rsidRPr="00047C99" w:rsidRDefault="003B27F4" w:rsidP="003B27F4">
            <w:pPr>
              <w:jc w:val="both"/>
              <w:rPr>
                <w:rFonts w:ascii="Arial" w:hAnsi="Arial" w:cs="Arial"/>
                <w:b/>
                <w:sz w:val="18"/>
              </w:rPr>
            </w:pPr>
            <w:proofErr w:type="spellStart"/>
            <w:r w:rsidRPr="0049145A">
              <w:rPr>
                <w:rFonts w:ascii="Arial" w:hAnsi="Arial" w:cs="Arial"/>
                <w:b/>
                <w:bCs/>
                <w:spacing w:val="-2"/>
                <w:sz w:val="18"/>
              </w:rPr>
              <w:t>Ελεύθερες</w:t>
            </w:r>
            <w:proofErr w:type="spellEnd"/>
            <w:r w:rsidRPr="0049145A">
              <w:rPr>
                <w:rFonts w:ascii="Arial" w:hAnsi="Arial" w:cs="Arial"/>
                <w:b/>
                <w:bCs/>
                <w:spacing w:val="-7"/>
                <w:sz w:val="18"/>
              </w:rPr>
              <w:t xml:space="preserve"> </w:t>
            </w:r>
            <w:r w:rsidRPr="0049145A">
              <w:rPr>
                <w:rFonts w:ascii="Arial" w:hAnsi="Arial" w:cs="Arial"/>
                <w:b/>
                <w:bCs/>
                <w:spacing w:val="-2"/>
                <w:sz w:val="18"/>
              </w:rPr>
              <w:t>Τα</w:t>
            </w:r>
            <w:proofErr w:type="spellStart"/>
            <w:r w:rsidRPr="0049145A">
              <w:rPr>
                <w:rFonts w:ascii="Arial" w:hAnsi="Arial" w:cs="Arial"/>
                <w:b/>
                <w:bCs/>
                <w:spacing w:val="-2"/>
                <w:sz w:val="18"/>
              </w:rPr>
              <w:t>μει</w:t>
            </w:r>
            <w:proofErr w:type="spellEnd"/>
            <w:r w:rsidRPr="0049145A">
              <w:rPr>
                <w:rFonts w:ascii="Arial" w:hAnsi="Arial" w:cs="Arial"/>
                <w:b/>
                <w:bCs/>
                <w:spacing w:val="-2"/>
                <w:sz w:val="18"/>
              </w:rPr>
              <w:t>ακές</w:t>
            </w:r>
            <w:r w:rsidRPr="0049145A">
              <w:rPr>
                <w:rFonts w:ascii="Arial" w:hAnsi="Arial" w:cs="Arial"/>
                <w:b/>
                <w:bCs/>
                <w:spacing w:val="-4"/>
                <w:sz w:val="18"/>
              </w:rPr>
              <w:t xml:space="preserve"> </w:t>
            </w:r>
            <w:proofErr w:type="spellStart"/>
            <w:r w:rsidRPr="0049145A">
              <w:rPr>
                <w:rFonts w:ascii="Arial" w:hAnsi="Arial" w:cs="Arial"/>
                <w:b/>
                <w:bCs/>
                <w:spacing w:val="-4"/>
                <w:sz w:val="18"/>
              </w:rPr>
              <w:t>Ροές</w:t>
            </w:r>
            <w:proofErr w:type="spellEnd"/>
          </w:p>
        </w:tc>
        <w:tc>
          <w:tcPr>
            <w:tcW w:w="1983" w:type="dxa"/>
            <w:tcBorders>
              <w:left w:val="single" w:sz="2" w:space="0" w:color="BFBFBF" w:themeColor="background1" w:themeShade="BF"/>
            </w:tcBorders>
            <w:vAlign w:val="center"/>
          </w:tcPr>
          <w:p w14:paraId="457E1311" w14:textId="16A947A5" w:rsidR="003B27F4" w:rsidRPr="00A431F0" w:rsidRDefault="003B27F4" w:rsidP="003B27F4">
            <w:pPr>
              <w:jc w:val="center"/>
              <w:rPr>
                <w:rFonts w:ascii="Arial" w:hAnsi="Arial" w:cs="Arial"/>
                <w:b/>
                <w:bCs/>
                <w:sz w:val="18"/>
                <w:szCs w:val="18"/>
              </w:rPr>
            </w:pPr>
            <w:r w:rsidRPr="00A431F0">
              <w:rPr>
                <w:rFonts w:ascii="Arial" w:hAnsi="Arial" w:cs="Arial"/>
                <w:b/>
                <w:bCs/>
                <w:sz w:val="18"/>
                <w:szCs w:val="18"/>
              </w:rPr>
              <w:t>119</w:t>
            </w:r>
            <w:r w:rsidR="00DB23A2">
              <w:rPr>
                <w:rFonts w:ascii="Arial" w:hAnsi="Arial" w:cs="Arial"/>
                <w:b/>
                <w:bCs/>
                <w:sz w:val="18"/>
                <w:szCs w:val="18"/>
              </w:rPr>
              <w:t>,</w:t>
            </w:r>
            <w:r w:rsidRPr="00A431F0">
              <w:rPr>
                <w:rFonts w:ascii="Arial" w:hAnsi="Arial" w:cs="Arial"/>
                <w:b/>
                <w:bCs/>
                <w:sz w:val="18"/>
                <w:szCs w:val="18"/>
              </w:rPr>
              <w:t>1</w:t>
            </w:r>
          </w:p>
        </w:tc>
        <w:tc>
          <w:tcPr>
            <w:tcW w:w="1224" w:type="dxa"/>
            <w:tcBorders>
              <w:right w:val="single" w:sz="2" w:space="0" w:color="BFBFBF" w:themeColor="background1" w:themeShade="BF"/>
            </w:tcBorders>
            <w:vAlign w:val="center"/>
          </w:tcPr>
          <w:p w14:paraId="10AE4573" w14:textId="476D220C" w:rsidR="003B27F4" w:rsidRPr="00A431F0" w:rsidRDefault="003B27F4" w:rsidP="003B27F4">
            <w:pPr>
              <w:jc w:val="center"/>
              <w:rPr>
                <w:rFonts w:ascii="Arial" w:hAnsi="Arial" w:cs="Arial"/>
                <w:b/>
                <w:bCs/>
                <w:sz w:val="18"/>
                <w:szCs w:val="18"/>
              </w:rPr>
            </w:pPr>
            <w:r w:rsidRPr="00A431F0">
              <w:rPr>
                <w:rFonts w:ascii="Arial" w:hAnsi="Arial" w:cs="Arial"/>
                <w:b/>
                <w:bCs/>
                <w:sz w:val="18"/>
                <w:szCs w:val="18"/>
              </w:rPr>
              <w:t>111</w:t>
            </w:r>
            <w:r w:rsidR="00DB23A2">
              <w:rPr>
                <w:rFonts w:ascii="Arial" w:hAnsi="Arial" w:cs="Arial"/>
                <w:b/>
                <w:bCs/>
                <w:sz w:val="18"/>
                <w:szCs w:val="18"/>
              </w:rPr>
              <w:t>,</w:t>
            </w:r>
            <w:r w:rsidRPr="00A431F0">
              <w:rPr>
                <w:rFonts w:ascii="Arial" w:hAnsi="Arial" w:cs="Arial"/>
                <w:b/>
                <w:bCs/>
                <w:sz w:val="18"/>
                <w:szCs w:val="18"/>
              </w:rPr>
              <w:t>1</w:t>
            </w:r>
          </w:p>
        </w:tc>
        <w:tc>
          <w:tcPr>
            <w:tcW w:w="1495" w:type="dxa"/>
            <w:tcBorders>
              <w:left w:val="single" w:sz="2" w:space="0" w:color="BFBFBF" w:themeColor="background1" w:themeShade="BF"/>
            </w:tcBorders>
            <w:vAlign w:val="center"/>
          </w:tcPr>
          <w:p w14:paraId="08AB1131" w14:textId="1F25499A" w:rsidR="003B27F4" w:rsidRPr="00A431F0" w:rsidRDefault="003B27F4" w:rsidP="003B27F4">
            <w:pPr>
              <w:jc w:val="center"/>
              <w:rPr>
                <w:rFonts w:ascii="Arial" w:hAnsi="Arial" w:cs="Arial"/>
                <w:b/>
                <w:bCs/>
                <w:sz w:val="18"/>
                <w:szCs w:val="18"/>
              </w:rPr>
            </w:pPr>
            <w:r w:rsidRPr="00A431F0">
              <w:rPr>
                <w:rFonts w:ascii="Arial" w:hAnsi="Arial" w:cs="Arial"/>
                <w:b/>
                <w:bCs/>
                <w:sz w:val="18"/>
                <w:szCs w:val="18"/>
              </w:rPr>
              <w:t>411</w:t>
            </w:r>
            <w:r w:rsidR="00DB23A2">
              <w:rPr>
                <w:rFonts w:ascii="Arial" w:hAnsi="Arial" w:cs="Arial"/>
                <w:b/>
                <w:bCs/>
                <w:sz w:val="18"/>
                <w:szCs w:val="18"/>
              </w:rPr>
              <w:t>,</w:t>
            </w:r>
            <w:r w:rsidRPr="00A431F0">
              <w:rPr>
                <w:rFonts w:ascii="Arial" w:hAnsi="Arial" w:cs="Arial"/>
                <w:b/>
                <w:bCs/>
                <w:sz w:val="18"/>
                <w:szCs w:val="18"/>
              </w:rPr>
              <w:t>1</w:t>
            </w:r>
          </w:p>
        </w:tc>
        <w:tc>
          <w:tcPr>
            <w:tcW w:w="1061" w:type="dxa"/>
            <w:vAlign w:val="center"/>
          </w:tcPr>
          <w:p w14:paraId="25BF320F" w14:textId="3967162F" w:rsidR="003B27F4" w:rsidRPr="00A431F0" w:rsidRDefault="003B27F4" w:rsidP="003B27F4">
            <w:pPr>
              <w:jc w:val="center"/>
              <w:rPr>
                <w:rFonts w:ascii="Arial" w:hAnsi="Arial" w:cs="Arial"/>
                <w:b/>
                <w:bCs/>
                <w:sz w:val="18"/>
                <w:szCs w:val="18"/>
              </w:rPr>
            </w:pPr>
            <w:r w:rsidRPr="00A431F0">
              <w:rPr>
                <w:rFonts w:ascii="Arial" w:hAnsi="Arial" w:cs="Arial"/>
                <w:b/>
                <w:bCs/>
                <w:sz w:val="18"/>
                <w:szCs w:val="18"/>
              </w:rPr>
              <w:t>413</w:t>
            </w:r>
            <w:r w:rsidR="00DB23A2">
              <w:rPr>
                <w:rFonts w:ascii="Arial" w:hAnsi="Arial" w:cs="Arial"/>
                <w:b/>
                <w:bCs/>
                <w:sz w:val="18"/>
                <w:szCs w:val="18"/>
              </w:rPr>
              <w:t>,</w:t>
            </w:r>
            <w:r w:rsidRPr="00A431F0">
              <w:rPr>
                <w:rFonts w:ascii="Arial" w:hAnsi="Arial" w:cs="Arial"/>
                <w:b/>
                <w:bCs/>
                <w:sz w:val="18"/>
                <w:szCs w:val="18"/>
              </w:rPr>
              <w:t>2</w:t>
            </w:r>
          </w:p>
        </w:tc>
      </w:tr>
      <w:tr w:rsidR="003B27F4" w14:paraId="2168A39D" w14:textId="77777777" w:rsidTr="001F1F41">
        <w:trPr>
          <w:trHeight w:val="253"/>
        </w:trPr>
        <w:tc>
          <w:tcPr>
            <w:tcW w:w="4756" w:type="dxa"/>
            <w:tcBorders>
              <w:right w:val="single" w:sz="2" w:space="0" w:color="BFBFBF" w:themeColor="background1" w:themeShade="BF"/>
            </w:tcBorders>
            <w:vAlign w:val="center"/>
          </w:tcPr>
          <w:p w14:paraId="44A8D2B2" w14:textId="7C3F2296" w:rsidR="003B27F4" w:rsidRPr="00047C99" w:rsidRDefault="003B27F4" w:rsidP="003B27F4">
            <w:pPr>
              <w:jc w:val="both"/>
              <w:rPr>
                <w:rFonts w:ascii="Arial" w:hAnsi="Arial" w:cs="Arial"/>
                <w:sz w:val="18"/>
              </w:rPr>
            </w:pPr>
            <w:r w:rsidRPr="0049145A">
              <w:rPr>
                <w:rFonts w:ascii="Arial" w:hAnsi="Arial" w:cs="Arial"/>
                <w:spacing w:val="-2"/>
                <w:sz w:val="18"/>
              </w:rPr>
              <w:t>Αποπ</w:t>
            </w:r>
            <w:proofErr w:type="spellStart"/>
            <w:r w:rsidRPr="0049145A">
              <w:rPr>
                <w:rFonts w:ascii="Arial" w:hAnsi="Arial" w:cs="Arial"/>
                <w:spacing w:val="-2"/>
                <w:sz w:val="18"/>
              </w:rPr>
              <w:t>ληρωμή</w:t>
            </w:r>
            <w:proofErr w:type="spellEnd"/>
            <w:r w:rsidRPr="0049145A">
              <w:rPr>
                <w:rFonts w:ascii="Arial" w:hAnsi="Arial" w:cs="Arial"/>
                <w:spacing w:val="-7"/>
                <w:sz w:val="18"/>
              </w:rPr>
              <w:t xml:space="preserve"> </w:t>
            </w:r>
            <w:r w:rsidRPr="0049145A">
              <w:rPr>
                <w:rFonts w:ascii="Arial" w:hAnsi="Arial" w:cs="Arial"/>
                <w:spacing w:val="-2"/>
                <w:sz w:val="18"/>
              </w:rPr>
              <w:t>υπ</w:t>
            </w:r>
            <w:proofErr w:type="spellStart"/>
            <w:r w:rsidRPr="0049145A">
              <w:rPr>
                <w:rFonts w:ascii="Arial" w:hAnsi="Arial" w:cs="Arial"/>
                <w:spacing w:val="-2"/>
                <w:sz w:val="18"/>
              </w:rPr>
              <w:t>οχρεώσεων</w:t>
            </w:r>
            <w:proofErr w:type="spellEnd"/>
            <w:r w:rsidRPr="0049145A">
              <w:rPr>
                <w:rFonts w:ascii="Arial" w:hAnsi="Arial" w:cs="Arial"/>
                <w:spacing w:val="-6"/>
                <w:sz w:val="18"/>
              </w:rPr>
              <w:t xml:space="preserve"> </w:t>
            </w:r>
            <w:r w:rsidRPr="0049145A">
              <w:rPr>
                <w:rFonts w:ascii="Arial" w:hAnsi="Arial" w:cs="Arial"/>
                <w:spacing w:val="-2"/>
                <w:sz w:val="18"/>
              </w:rPr>
              <w:t>από</w:t>
            </w:r>
            <w:r w:rsidRPr="0049145A">
              <w:rPr>
                <w:rFonts w:ascii="Arial" w:hAnsi="Arial" w:cs="Arial"/>
                <w:spacing w:val="-4"/>
                <w:sz w:val="18"/>
              </w:rPr>
              <w:t xml:space="preserve"> </w:t>
            </w:r>
            <w:proofErr w:type="spellStart"/>
            <w:r w:rsidRPr="0049145A">
              <w:rPr>
                <w:rFonts w:ascii="Arial" w:hAnsi="Arial" w:cs="Arial"/>
                <w:spacing w:val="-2"/>
                <w:sz w:val="18"/>
              </w:rPr>
              <w:t>μισθώσεις</w:t>
            </w:r>
            <w:proofErr w:type="spellEnd"/>
          </w:p>
        </w:tc>
        <w:tc>
          <w:tcPr>
            <w:tcW w:w="1983" w:type="dxa"/>
            <w:tcBorders>
              <w:left w:val="single" w:sz="2" w:space="0" w:color="BFBFBF" w:themeColor="background1" w:themeShade="BF"/>
            </w:tcBorders>
            <w:vAlign w:val="center"/>
          </w:tcPr>
          <w:p w14:paraId="1BA7CC29" w14:textId="790623FE" w:rsidR="003B27F4" w:rsidRPr="00A431F0" w:rsidRDefault="003B27F4" w:rsidP="003B27F4">
            <w:pPr>
              <w:jc w:val="center"/>
              <w:rPr>
                <w:rFonts w:ascii="Arial" w:hAnsi="Arial" w:cs="Arial"/>
                <w:sz w:val="18"/>
                <w:szCs w:val="18"/>
              </w:rPr>
            </w:pPr>
            <w:r w:rsidRPr="00A431F0">
              <w:rPr>
                <w:rFonts w:ascii="Arial" w:hAnsi="Arial" w:cs="Arial"/>
                <w:sz w:val="18"/>
                <w:szCs w:val="18"/>
              </w:rPr>
              <w:t>(11</w:t>
            </w:r>
            <w:r w:rsidR="00DB23A2">
              <w:rPr>
                <w:rFonts w:ascii="Arial" w:hAnsi="Arial" w:cs="Arial"/>
                <w:sz w:val="18"/>
                <w:szCs w:val="18"/>
              </w:rPr>
              <w:t>,</w:t>
            </w:r>
            <w:r w:rsidRPr="00A431F0">
              <w:rPr>
                <w:rFonts w:ascii="Arial" w:hAnsi="Arial" w:cs="Arial"/>
                <w:sz w:val="18"/>
                <w:szCs w:val="18"/>
              </w:rPr>
              <w:t>5)</w:t>
            </w:r>
          </w:p>
        </w:tc>
        <w:tc>
          <w:tcPr>
            <w:tcW w:w="1224" w:type="dxa"/>
            <w:tcBorders>
              <w:right w:val="single" w:sz="2" w:space="0" w:color="BFBFBF" w:themeColor="background1" w:themeShade="BF"/>
            </w:tcBorders>
            <w:vAlign w:val="center"/>
          </w:tcPr>
          <w:p w14:paraId="0F4FFE0A" w14:textId="39A93C9B" w:rsidR="003B27F4" w:rsidRPr="00A431F0" w:rsidRDefault="003B27F4" w:rsidP="003B27F4">
            <w:pPr>
              <w:jc w:val="center"/>
              <w:rPr>
                <w:rFonts w:ascii="Arial" w:hAnsi="Arial" w:cs="Arial"/>
                <w:sz w:val="18"/>
                <w:szCs w:val="18"/>
              </w:rPr>
            </w:pPr>
            <w:r w:rsidRPr="00A431F0">
              <w:rPr>
                <w:rFonts w:ascii="Arial" w:hAnsi="Arial" w:cs="Arial"/>
                <w:sz w:val="18"/>
                <w:szCs w:val="18"/>
              </w:rPr>
              <w:t>(11</w:t>
            </w:r>
            <w:r w:rsidR="00DB23A2">
              <w:rPr>
                <w:rFonts w:ascii="Arial" w:hAnsi="Arial" w:cs="Arial"/>
                <w:sz w:val="18"/>
                <w:szCs w:val="18"/>
              </w:rPr>
              <w:t>,</w:t>
            </w:r>
            <w:r w:rsidRPr="00A431F0">
              <w:rPr>
                <w:rFonts w:ascii="Arial" w:hAnsi="Arial" w:cs="Arial"/>
                <w:sz w:val="18"/>
                <w:szCs w:val="18"/>
              </w:rPr>
              <w:t>2)</w:t>
            </w:r>
          </w:p>
        </w:tc>
        <w:tc>
          <w:tcPr>
            <w:tcW w:w="1495" w:type="dxa"/>
            <w:tcBorders>
              <w:left w:val="single" w:sz="2" w:space="0" w:color="BFBFBF" w:themeColor="background1" w:themeShade="BF"/>
            </w:tcBorders>
            <w:vAlign w:val="center"/>
          </w:tcPr>
          <w:p w14:paraId="0AD18181" w14:textId="4BB9B5D7" w:rsidR="003B27F4" w:rsidRPr="00A431F0" w:rsidRDefault="003B27F4" w:rsidP="003B27F4">
            <w:pPr>
              <w:jc w:val="center"/>
              <w:rPr>
                <w:rFonts w:ascii="Arial" w:hAnsi="Arial" w:cs="Arial"/>
                <w:sz w:val="18"/>
                <w:szCs w:val="18"/>
              </w:rPr>
            </w:pPr>
            <w:r w:rsidRPr="00A431F0">
              <w:rPr>
                <w:rFonts w:ascii="Arial" w:hAnsi="Arial" w:cs="Arial"/>
                <w:sz w:val="18"/>
                <w:szCs w:val="18"/>
              </w:rPr>
              <w:t>(36</w:t>
            </w:r>
            <w:r w:rsidR="00DB23A2">
              <w:rPr>
                <w:rFonts w:ascii="Arial" w:hAnsi="Arial" w:cs="Arial"/>
                <w:sz w:val="18"/>
                <w:szCs w:val="18"/>
              </w:rPr>
              <w:t>,</w:t>
            </w:r>
            <w:r w:rsidRPr="00A431F0">
              <w:rPr>
                <w:rFonts w:ascii="Arial" w:hAnsi="Arial" w:cs="Arial"/>
                <w:sz w:val="18"/>
                <w:szCs w:val="18"/>
              </w:rPr>
              <w:t>6)</w:t>
            </w:r>
          </w:p>
        </w:tc>
        <w:tc>
          <w:tcPr>
            <w:tcW w:w="1061" w:type="dxa"/>
            <w:vAlign w:val="center"/>
          </w:tcPr>
          <w:p w14:paraId="2261EA5D" w14:textId="46EACF8D" w:rsidR="003B27F4" w:rsidRPr="00A431F0" w:rsidRDefault="003B27F4" w:rsidP="003B27F4">
            <w:pPr>
              <w:jc w:val="center"/>
              <w:rPr>
                <w:rFonts w:ascii="Arial" w:hAnsi="Arial" w:cs="Arial"/>
                <w:sz w:val="18"/>
                <w:szCs w:val="18"/>
              </w:rPr>
            </w:pPr>
            <w:r w:rsidRPr="00A431F0">
              <w:rPr>
                <w:rFonts w:ascii="Arial" w:hAnsi="Arial" w:cs="Arial"/>
                <w:sz w:val="18"/>
                <w:szCs w:val="18"/>
              </w:rPr>
              <w:t>(36</w:t>
            </w:r>
            <w:r w:rsidR="00DB23A2">
              <w:rPr>
                <w:rFonts w:ascii="Arial" w:hAnsi="Arial" w:cs="Arial"/>
                <w:sz w:val="18"/>
                <w:szCs w:val="18"/>
              </w:rPr>
              <w:t>,</w:t>
            </w:r>
            <w:r w:rsidRPr="00A431F0">
              <w:rPr>
                <w:rFonts w:ascii="Arial" w:hAnsi="Arial" w:cs="Arial"/>
                <w:sz w:val="18"/>
                <w:szCs w:val="18"/>
              </w:rPr>
              <w:t>1)</w:t>
            </w:r>
          </w:p>
        </w:tc>
      </w:tr>
      <w:tr w:rsidR="00040471" w14:paraId="7DE4EC2B" w14:textId="77777777" w:rsidTr="001F1F41">
        <w:trPr>
          <w:trHeight w:val="253"/>
        </w:trPr>
        <w:tc>
          <w:tcPr>
            <w:tcW w:w="4756" w:type="dxa"/>
            <w:tcBorders>
              <w:right w:val="single" w:sz="2" w:space="0" w:color="BFBFBF" w:themeColor="background1" w:themeShade="BF"/>
            </w:tcBorders>
            <w:vAlign w:val="center"/>
          </w:tcPr>
          <w:p w14:paraId="46598FDB" w14:textId="66EC65E5" w:rsidR="00040471" w:rsidRPr="00040471" w:rsidRDefault="00040471" w:rsidP="00040471">
            <w:pPr>
              <w:jc w:val="both"/>
              <w:rPr>
                <w:rFonts w:ascii="Arial" w:hAnsi="Arial" w:cs="Arial"/>
                <w:b/>
                <w:sz w:val="18"/>
                <w:lang w:val="el-GR"/>
              </w:rPr>
            </w:pPr>
            <w:r w:rsidRPr="0049145A">
              <w:rPr>
                <w:rFonts w:ascii="Arial" w:hAnsi="Arial" w:cs="Arial"/>
                <w:b/>
                <w:bCs/>
                <w:spacing w:val="-2"/>
                <w:sz w:val="18"/>
                <w:lang w:val="el-GR"/>
              </w:rPr>
              <w:t>Ελεύθερες</w:t>
            </w:r>
            <w:r w:rsidRPr="0049145A">
              <w:rPr>
                <w:rFonts w:ascii="Arial" w:hAnsi="Arial" w:cs="Arial"/>
                <w:b/>
                <w:bCs/>
                <w:spacing w:val="-5"/>
                <w:sz w:val="18"/>
                <w:lang w:val="el-GR"/>
              </w:rPr>
              <w:t xml:space="preserve"> </w:t>
            </w:r>
            <w:r w:rsidRPr="0049145A">
              <w:rPr>
                <w:rFonts w:ascii="Arial" w:hAnsi="Arial" w:cs="Arial"/>
                <w:b/>
                <w:bCs/>
                <w:spacing w:val="-2"/>
                <w:sz w:val="18"/>
                <w:lang w:val="el-GR"/>
              </w:rPr>
              <w:t>Ταμειακές</w:t>
            </w:r>
            <w:r w:rsidRPr="0049145A">
              <w:rPr>
                <w:rFonts w:ascii="Arial" w:hAnsi="Arial" w:cs="Arial"/>
                <w:b/>
                <w:bCs/>
                <w:spacing w:val="-4"/>
                <w:sz w:val="18"/>
                <w:lang w:val="el-GR"/>
              </w:rPr>
              <w:t xml:space="preserve"> </w:t>
            </w:r>
            <w:r w:rsidRPr="0049145A">
              <w:rPr>
                <w:rFonts w:ascii="Arial" w:hAnsi="Arial" w:cs="Arial"/>
                <w:b/>
                <w:bCs/>
                <w:spacing w:val="-2"/>
                <w:sz w:val="18"/>
                <w:lang w:val="el-GR"/>
              </w:rPr>
              <w:t>Ροές</w:t>
            </w:r>
            <w:r w:rsidRPr="0049145A">
              <w:rPr>
                <w:rFonts w:ascii="Arial" w:hAnsi="Arial" w:cs="Arial"/>
                <w:b/>
                <w:bCs/>
                <w:spacing w:val="-4"/>
                <w:sz w:val="18"/>
                <w:lang w:val="el-GR"/>
              </w:rPr>
              <w:t xml:space="preserve"> </w:t>
            </w:r>
            <w:r w:rsidRPr="0049145A">
              <w:rPr>
                <w:rFonts w:ascii="Arial" w:hAnsi="Arial" w:cs="Arial"/>
                <w:b/>
                <w:bCs/>
                <w:spacing w:val="-2"/>
                <w:sz w:val="18"/>
                <w:lang w:val="el-GR"/>
              </w:rPr>
              <w:t>μετά</w:t>
            </w:r>
            <w:r w:rsidRPr="0049145A">
              <w:rPr>
                <w:rFonts w:ascii="Arial" w:hAnsi="Arial" w:cs="Arial"/>
                <w:b/>
                <w:bCs/>
                <w:spacing w:val="-5"/>
                <w:sz w:val="18"/>
                <w:lang w:val="el-GR"/>
              </w:rPr>
              <w:t xml:space="preserve"> </w:t>
            </w:r>
            <w:r w:rsidRPr="0049145A">
              <w:rPr>
                <w:rFonts w:ascii="Arial" w:hAnsi="Arial" w:cs="Arial"/>
                <w:b/>
                <w:bCs/>
                <w:spacing w:val="-2"/>
                <w:sz w:val="18"/>
                <w:lang w:val="el-GR"/>
              </w:rPr>
              <w:t>από μισθώσεις</w:t>
            </w:r>
            <w:r w:rsidRPr="0049145A">
              <w:rPr>
                <w:rFonts w:ascii="Arial" w:hAnsi="Arial" w:cs="Arial"/>
                <w:b/>
                <w:bCs/>
                <w:spacing w:val="-4"/>
                <w:sz w:val="18"/>
                <w:lang w:val="el-GR"/>
              </w:rPr>
              <w:t xml:space="preserve"> (</w:t>
            </w:r>
            <w:r w:rsidRPr="0049145A">
              <w:rPr>
                <w:rFonts w:ascii="Arial" w:hAnsi="Arial" w:cs="Arial"/>
                <w:b/>
                <w:bCs/>
                <w:spacing w:val="-4"/>
                <w:sz w:val="18"/>
              </w:rPr>
              <w:t>AL</w:t>
            </w:r>
            <w:r w:rsidRPr="0049145A">
              <w:rPr>
                <w:rFonts w:ascii="Arial" w:hAnsi="Arial" w:cs="Arial"/>
                <w:b/>
                <w:bCs/>
                <w:spacing w:val="-4"/>
                <w:sz w:val="18"/>
                <w:lang w:val="el-GR"/>
              </w:rPr>
              <w:t>)</w:t>
            </w:r>
          </w:p>
        </w:tc>
        <w:tc>
          <w:tcPr>
            <w:tcW w:w="1983" w:type="dxa"/>
            <w:tcBorders>
              <w:left w:val="single" w:sz="2" w:space="0" w:color="BFBFBF" w:themeColor="background1" w:themeShade="BF"/>
            </w:tcBorders>
            <w:vAlign w:val="center"/>
          </w:tcPr>
          <w:p w14:paraId="74F0ABE2" w14:textId="79F04377" w:rsidR="00040471" w:rsidRPr="00A431F0" w:rsidRDefault="00040471" w:rsidP="00040471">
            <w:pPr>
              <w:jc w:val="center"/>
              <w:rPr>
                <w:rFonts w:ascii="Arial" w:hAnsi="Arial" w:cs="Arial"/>
                <w:b/>
                <w:bCs/>
                <w:sz w:val="18"/>
                <w:szCs w:val="18"/>
              </w:rPr>
            </w:pPr>
            <w:r w:rsidRPr="00A431F0">
              <w:rPr>
                <w:rFonts w:ascii="Arial" w:hAnsi="Arial" w:cs="Arial"/>
                <w:b/>
                <w:bCs/>
                <w:sz w:val="18"/>
                <w:szCs w:val="18"/>
              </w:rPr>
              <w:t>107</w:t>
            </w:r>
            <w:r>
              <w:rPr>
                <w:rFonts w:ascii="Arial" w:hAnsi="Arial" w:cs="Arial"/>
                <w:b/>
                <w:bCs/>
                <w:sz w:val="18"/>
                <w:szCs w:val="18"/>
              </w:rPr>
              <w:t>,</w:t>
            </w:r>
            <w:r w:rsidRPr="00A431F0">
              <w:rPr>
                <w:rFonts w:ascii="Arial" w:hAnsi="Arial" w:cs="Arial"/>
                <w:b/>
                <w:bCs/>
                <w:sz w:val="18"/>
                <w:szCs w:val="18"/>
              </w:rPr>
              <w:t>6</w:t>
            </w:r>
          </w:p>
        </w:tc>
        <w:tc>
          <w:tcPr>
            <w:tcW w:w="1224" w:type="dxa"/>
            <w:tcBorders>
              <w:right w:val="single" w:sz="2" w:space="0" w:color="BFBFBF" w:themeColor="background1" w:themeShade="BF"/>
            </w:tcBorders>
            <w:vAlign w:val="center"/>
          </w:tcPr>
          <w:p w14:paraId="4FFEE972" w14:textId="267A5F85" w:rsidR="00040471" w:rsidRPr="00A431F0" w:rsidRDefault="00040471" w:rsidP="00040471">
            <w:pPr>
              <w:jc w:val="center"/>
              <w:rPr>
                <w:rFonts w:ascii="Arial" w:hAnsi="Arial" w:cs="Arial"/>
                <w:b/>
                <w:bCs/>
                <w:sz w:val="18"/>
                <w:szCs w:val="18"/>
              </w:rPr>
            </w:pPr>
            <w:r w:rsidRPr="00A431F0">
              <w:rPr>
                <w:rFonts w:ascii="Arial" w:hAnsi="Arial" w:cs="Arial"/>
                <w:b/>
                <w:bCs/>
                <w:sz w:val="18"/>
                <w:szCs w:val="18"/>
              </w:rPr>
              <w:t>99</w:t>
            </w:r>
            <w:r>
              <w:rPr>
                <w:rFonts w:ascii="Arial" w:hAnsi="Arial" w:cs="Arial"/>
                <w:b/>
                <w:bCs/>
                <w:sz w:val="18"/>
                <w:szCs w:val="18"/>
              </w:rPr>
              <w:t>,</w:t>
            </w:r>
            <w:r w:rsidRPr="00A431F0">
              <w:rPr>
                <w:rFonts w:ascii="Arial" w:hAnsi="Arial" w:cs="Arial"/>
                <w:b/>
                <w:bCs/>
                <w:sz w:val="18"/>
                <w:szCs w:val="18"/>
              </w:rPr>
              <w:t>9</w:t>
            </w:r>
          </w:p>
        </w:tc>
        <w:tc>
          <w:tcPr>
            <w:tcW w:w="1495" w:type="dxa"/>
            <w:tcBorders>
              <w:left w:val="single" w:sz="2" w:space="0" w:color="BFBFBF" w:themeColor="background1" w:themeShade="BF"/>
            </w:tcBorders>
            <w:vAlign w:val="center"/>
          </w:tcPr>
          <w:p w14:paraId="014EAD6F" w14:textId="3F8D559D" w:rsidR="00040471" w:rsidRPr="00A431F0" w:rsidRDefault="00040471" w:rsidP="00040471">
            <w:pPr>
              <w:jc w:val="center"/>
              <w:rPr>
                <w:rFonts w:ascii="Arial" w:hAnsi="Arial" w:cs="Arial"/>
                <w:b/>
                <w:bCs/>
                <w:sz w:val="18"/>
                <w:szCs w:val="18"/>
              </w:rPr>
            </w:pPr>
            <w:r w:rsidRPr="00A431F0">
              <w:rPr>
                <w:rFonts w:ascii="Arial" w:hAnsi="Arial" w:cs="Arial"/>
                <w:b/>
                <w:bCs/>
                <w:sz w:val="18"/>
                <w:szCs w:val="18"/>
              </w:rPr>
              <w:t>374</w:t>
            </w:r>
            <w:r>
              <w:rPr>
                <w:rFonts w:ascii="Arial" w:hAnsi="Arial" w:cs="Arial"/>
                <w:b/>
                <w:bCs/>
                <w:sz w:val="18"/>
                <w:szCs w:val="18"/>
              </w:rPr>
              <w:t>,</w:t>
            </w:r>
            <w:r w:rsidRPr="00A431F0">
              <w:rPr>
                <w:rFonts w:ascii="Arial" w:hAnsi="Arial" w:cs="Arial"/>
                <w:b/>
                <w:bCs/>
                <w:sz w:val="18"/>
                <w:szCs w:val="18"/>
              </w:rPr>
              <w:t>5</w:t>
            </w:r>
          </w:p>
        </w:tc>
        <w:tc>
          <w:tcPr>
            <w:tcW w:w="1061" w:type="dxa"/>
            <w:vAlign w:val="center"/>
          </w:tcPr>
          <w:p w14:paraId="426027D5" w14:textId="05BFE72A" w:rsidR="00040471" w:rsidRPr="00A431F0" w:rsidRDefault="00040471" w:rsidP="00040471">
            <w:pPr>
              <w:jc w:val="center"/>
              <w:rPr>
                <w:rFonts w:ascii="Arial" w:hAnsi="Arial" w:cs="Arial"/>
                <w:b/>
                <w:bCs/>
                <w:sz w:val="18"/>
                <w:szCs w:val="18"/>
              </w:rPr>
            </w:pPr>
            <w:r w:rsidRPr="00A431F0">
              <w:rPr>
                <w:rFonts w:ascii="Arial" w:hAnsi="Arial" w:cs="Arial"/>
                <w:b/>
                <w:bCs/>
                <w:sz w:val="18"/>
                <w:szCs w:val="18"/>
              </w:rPr>
              <w:t>377</w:t>
            </w:r>
            <w:r>
              <w:rPr>
                <w:rFonts w:ascii="Arial" w:hAnsi="Arial" w:cs="Arial"/>
                <w:b/>
                <w:bCs/>
                <w:sz w:val="18"/>
                <w:szCs w:val="18"/>
              </w:rPr>
              <w:t>,</w:t>
            </w:r>
            <w:r w:rsidRPr="00A431F0">
              <w:rPr>
                <w:rFonts w:ascii="Arial" w:hAnsi="Arial" w:cs="Arial"/>
                <w:b/>
                <w:bCs/>
                <w:sz w:val="18"/>
                <w:szCs w:val="18"/>
              </w:rPr>
              <w:t>1</w:t>
            </w:r>
          </w:p>
        </w:tc>
      </w:tr>
      <w:tr w:rsidR="00040471" w14:paraId="3CD5294D" w14:textId="77777777" w:rsidTr="001F1F41">
        <w:trPr>
          <w:trHeight w:val="253"/>
        </w:trPr>
        <w:tc>
          <w:tcPr>
            <w:tcW w:w="4756" w:type="dxa"/>
            <w:tcBorders>
              <w:right w:val="single" w:sz="2" w:space="0" w:color="BFBFBF" w:themeColor="background1" w:themeShade="BF"/>
            </w:tcBorders>
            <w:vAlign w:val="center"/>
          </w:tcPr>
          <w:p w14:paraId="52453876" w14:textId="719F2554" w:rsidR="00040471" w:rsidRPr="003B27F4" w:rsidRDefault="00040471" w:rsidP="00040471">
            <w:pPr>
              <w:jc w:val="both"/>
              <w:rPr>
                <w:rFonts w:ascii="Arial" w:hAnsi="Arial" w:cs="Arial"/>
                <w:sz w:val="18"/>
                <w:lang w:val="el-GR"/>
              </w:rPr>
            </w:pPr>
            <w:r w:rsidRPr="0049145A">
              <w:rPr>
                <w:rFonts w:ascii="Arial" w:hAnsi="Arial" w:cs="Arial"/>
                <w:spacing w:val="-2"/>
                <w:sz w:val="18"/>
              </w:rPr>
              <w:t>Καταβ</w:t>
            </w:r>
            <w:proofErr w:type="spellStart"/>
            <w:r w:rsidRPr="0049145A">
              <w:rPr>
                <w:rFonts w:ascii="Arial" w:hAnsi="Arial" w:cs="Arial"/>
                <w:spacing w:val="-2"/>
                <w:sz w:val="18"/>
              </w:rPr>
              <w:t>ολές</w:t>
            </w:r>
            <w:proofErr w:type="spellEnd"/>
            <w:r w:rsidRPr="0049145A">
              <w:rPr>
                <w:rFonts w:ascii="Arial" w:hAnsi="Arial" w:cs="Arial"/>
                <w:spacing w:val="-8"/>
                <w:sz w:val="18"/>
              </w:rPr>
              <w:t xml:space="preserve"> </w:t>
            </w:r>
            <w:r w:rsidRPr="0049145A">
              <w:rPr>
                <w:rFonts w:ascii="Arial" w:hAnsi="Arial" w:cs="Arial"/>
                <w:spacing w:val="-2"/>
                <w:sz w:val="18"/>
              </w:rPr>
              <w:t>π</w:t>
            </w:r>
            <w:proofErr w:type="spellStart"/>
            <w:r w:rsidRPr="0049145A">
              <w:rPr>
                <w:rFonts w:ascii="Arial" w:hAnsi="Arial" w:cs="Arial"/>
                <w:spacing w:val="-2"/>
                <w:sz w:val="18"/>
              </w:rPr>
              <w:t>ρογρ</w:t>
            </w:r>
            <w:proofErr w:type="spellEnd"/>
            <w:r w:rsidRPr="0049145A">
              <w:rPr>
                <w:rFonts w:ascii="Arial" w:hAnsi="Arial" w:cs="Arial"/>
                <w:spacing w:val="-2"/>
                <w:sz w:val="18"/>
              </w:rPr>
              <w:t>αμμάτων</w:t>
            </w:r>
            <w:r w:rsidRPr="0049145A">
              <w:rPr>
                <w:rFonts w:ascii="Arial" w:hAnsi="Arial" w:cs="Arial"/>
                <w:spacing w:val="-7"/>
                <w:sz w:val="18"/>
              </w:rPr>
              <w:t xml:space="preserve"> </w:t>
            </w:r>
            <w:proofErr w:type="spellStart"/>
            <w:r w:rsidRPr="0049145A">
              <w:rPr>
                <w:rFonts w:ascii="Arial" w:hAnsi="Arial" w:cs="Arial"/>
                <w:spacing w:val="-2"/>
                <w:sz w:val="18"/>
              </w:rPr>
              <w:t>εθελούσι</w:t>
            </w:r>
            <w:proofErr w:type="spellEnd"/>
            <w:r w:rsidRPr="0049145A">
              <w:rPr>
                <w:rFonts w:ascii="Arial" w:hAnsi="Arial" w:cs="Arial"/>
                <w:spacing w:val="-2"/>
                <w:sz w:val="18"/>
              </w:rPr>
              <w:t>ας</w:t>
            </w:r>
            <w:r w:rsidRPr="0049145A">
              <w:rPr>
                <w:rFonts w:ascii="Arial" w:hAnsi="Arial" w:cs="Arial"/>
                <w:spacing w:val="-7"/>
                <w:sz w:val="18"/>
              </w:rPr>
              <w:t xml:space="preserve"> </w:t>
            </w:r>
            <w:r w:rsidRPr="0049145A">
              <w:rPr>
                <w:rFonts w:ascii="Arial" w:hAnsi="Arial" w:cs="Arial"/>
                <w:spacing w:val="-2"/>
                <w:sz w:val="18"/>
              </w:rPr>
              <w:t>απ</w:t>
            </w:r>
            <w:proofErr w:type="spellStart"/>
            <w:r w:rsidRPr="0049145A">
              <w:rPr>
                <w:rFonts w:ascii="Arial" w:hAnsi="Arial" w:cs="Arial"/>
                <w:spacing w:val="-2"/>
                <w:sz w:val="18"/>
              </w:rPr>
              <w:t>οχώρησης</w:t>
            </w:r>
            <w:proofErr w:type="spellEnd"/>
          </w:p>
        </w:tc>
        <w:tc>
          <w:tcPr>
            <w:tcW w:w="1983" w:type="dxa"/>
            <w:tcBorders>
              <w:left w:val="single" w:sz="2" w:space="0" w:color="BFBFBF" w:themeColor="background1" w:themeShade="BF"/>
            </w:tcBorders>
            <w:vAlign w:val="center"/>
          </w:tcPr>
          <w:p w14:paraId="4493F709" w14:textId="228587B6" w:rsidR="00040471" w:rsidRPr="00A431F0" w:rsidRDefault="00040471" w:rsidP="00040471">
            <w:pPr>
              <w:jc w:val="center"/>
              <w:rPr>
                <w:rFonts w:ascii="Arial" w:hAnsi="Arial" w:cs="Arial"/>
                <w:sz w:val="18"/>
                <w:szCs w:val="18"/>
              </w:rPr>
            </w:pPr>
            <w:r w:rsidRPr="00A431F0">
              <w:rPr>
                <w:rFonts w:ascii="Arial" w:hAnsi="Arial" w:cs="Arial"/>
                <w:sz w:val="18"/>
                <w:szCs w:val="18"/>
              </w:rPr>
              <w:t>6</w:t>
            </w:r>
            <w:r>
              <w:rPr>
                <w:rFonts w:ascii="Arial" w:hAnsi="Arial" w:cs="Arial"/>
                <w:sz w:val="18"/>
                <w:szCs w:val="18"/>
              </w:rPr>
              <w:t>,</w:t>
            </w:r>
            <w:r w:rsidRPr="00A431F0">
              <w:rPr>
                <w:rFonts w:ascii="Arial" w:hAnsi="Arial" w:cs="Arial"/>
                <w:sz w:val="18"/>
                <w:szCs w:val="18"/>
              </w:rPr>
              <w:t>7</w:t>
            </w:r>
          </w:p>
        </w:tc>
        <w:tc>
          <w:tcPr>
            <w:tcW w:w="1224" w:type="dxa"/>
            <w:tcBorders>
              <w:right w:val="single" w:sz="2" w:space="0" w:color="BFBFBF" w:themeColor="background1" w:themeShade="BF"/>
            </w:tcBorders>
            <w:vAlign w:val="center"/>
          </w:tcPr>
          <w:p w14:paraId="7B78EAE2" w14:textId="52F56C4D" w:rsidR="00040471" w:rsidRPr="00A431F0" w:rsidRDefault="00040471" w:rsidP="00040471">
            <w:pPr>
              <w:jc w:val="center"/>
              <w:rPr>
                <w:rFonts w:ascii="Arial" w:hAnsi="Arial" w:cs="Arial"/>
                <w:sz w:val="18"/>
                <w:szCs w:val="18"/>
              </w:rPr>
            </w:pPr>
            <w:r w:rsidRPr="00A431F0">
              <w:rPr>
                <w:rFonts w:ascii="Arial" w:hAnsi="Arial" w:cs="Arial"/>
                <w:sz w:val="18"/>
                <w:szCs w:val="18"/>
              </w:rPr>
              <w:t>7</w:t>
            </w:r>
            <w:r>
              <w:rPr>
                <w:rFonts w:ascii="Arial" w:hAnsi="Arial" w:cs="Arial"/>
                <w:sz w:val="18"/>
                <w:szCs w:val="18"/>
              </w:rPr>
              <w:t>,</w:t>
            </w:r>
            <w:r w:rsidRPr="00A431F0">
              <w:rPr>
                <w:rFonts w:ascii="Arial" w:hAnsi="Arial" w:cs="Arial"/>
                <w:sz w:val="18"/>
                <w:szCs w:val="18"/>
              </w:rPr>
              <w:t>6</w:t>
            </w:r>
          </w:p>
        </w:tc>
        <w:tc>
          <w:tcPr>
            <w:tcW w:w="1495" w:type="dxa"/>
            <w:tcBorders>
              <w:left w:val="single" w:sz="2" w:space="0" w:color="BFBFBF" w:themeColor="background1" w:themeShade="BF"/>
            </w:tcBorders>
            <w:vAlign w:val="center"/>
          </w:tcPr>
          <w:p w14:paraId="68D7DF67" w14:textId="42106DE2" w:rsidR="00040471" w:rsidRPr="00A431F0" w:rsidRDefault="00040471" w:rsidP="00040471">
            <w:pPr>
              <w:jc w:val="center"/>
              <w:rPr>
                <w:rFonts w:ascii="Arial" w:hAnsi="Arial" w:cs="Arial"/>
                <w:sz w:val="18"/>
                <w:szCs w:val="18"/>
              </w:rPr>
            </w:pPr>
            <w:r w:rsidRPr="00A431F0">
              <w:rPr>
                <w:rFonts w:ascii="Arial" w:hAnsi="Arial" w:cs="Arial"/>
                <w:sz w:val="18"/>
                <w:szCs w:val="18"/>
              </w:rPr>
              <w:t>32</w:t>
            </w:r>
            <w:r>
              <w:rPr>
                <w:rFonts w:ascii="Arial" w:hAnsi="Arial" w:cs="Arial"/>
                <w:sz w:val="18"/>
                <w:szCs w:val="18"/>
              </w:rPr>
              <w:t>,</w:t>
            </w:r>
            <w:r w:rsidRPr="00A431F0">
              <w:rPr>
                <w:rFonts w:ascii="Arial" w:hAnsi="Arial" w:cs="Arial"/>
                <w:sz w:val="18"/>
                <w:szCs w:val="18"/>
              </w:rPr>
              <w:t>6</w:t>
            </w:r>
          </w:p>
        </w:tc>
        <w:tc>
          <w:tcPr>
            <w:tcW w:w="1061" w:type="dxa"/>
            <w:vAlign w:val="center"/>
          </w:tcPr>
          <w:p w14:paraId="3CA263A3" w14:textId="39C0E11B" w:rsidR="00040471" w:rsidRPr="00A431F0" w:rsidRDefault="00040471" w:rsidP="00040471">
            <w:pPr>
              <w:jc w:val="center"/>
              <w:rPr>
                <w:rFonts w:ascii="Arial" w:hAnsi="Arial" w:cs="Arial"/>
                <w:sz w:val="18"/>
                <w:szCs w:val="18"/>
              </w:rPr>
            </w:pPr>
            <w:r w:rsidRPr="00A431F0">
              <w:rPr>
                <w:rFonts w:ascii="Arial" w:hAnsi="Arial" w:cs="Arial"/>
                <w:sz w:val="18"/>
                <w:szCs w:val="18"/>
              </w:rPr>
              <w:t>33</w:t>
            </w:r>
            <w:r>
              <w:rPr>
                <w:rFonts w:ascii="Arial" w:hAnsi="Arial" w:cs="Arial"/>
                <w:sz w:val="18"/>
                <w:szCs w:val="18"/>
              </w:rPr>
              <w:t>,</w:t>
            </w:r>
            <w:r w:rsidRPr="00A431F0">
              <w:rPr>
                <w:rFonts w:ascii="Arial" w:hAnsi="Arial" w:cs="Arial"/>
                <w:sz w:val="18"/>
                <w:szCs w:val="18"/>
              </w:rPr>
              <w:t>1</w:t>
            </w:r>
          </w:p>
        </w:tc>
      </w:tr>
      <w:tr w:rsidR="00040471" w14:paraId="16E38CD5" w14:textId="77777777" w:rsidTr="001F1F41">
        <w:trPr>
          <w:trHeight w:val="253"/>
        </w:trPr>
        <w:tc>
          <w:tcPr>
            <w:tcW w:w="4756" w:type="dxa"/>
            <w:tcBorders>
              <w:right w:val="single" w:sz="2" w:space="0" w:color="BFBFBF" w:themeColor="background1" w:themeShade="BF"/>
            </w:tcBorders>
            <w:vAlign w:val="center"/>
          </w:tcPr>
          <w:p w14:paraId="589E3494" w14:textId="0167EE3F" w:rsidR="00040471" w:rsidRDefault="00040471" w:rsidP="00040471">
            <w:pPr>
              <w:jc w:val="both"/>
              <w:rPr>
                <w:rFonts w:ascii="Arial" w:hAnsi="Arial" w:cs="Arial"/>
                <w:sz w:val="18"/>
              </w:rPr>
            </w:pPr>
            <w:r w:rsidRPr="0049145A">
              <w:rPr>
                <w:rFonts w:ascii="Arial" w:hAnsi="Arial" w:cs="Arial"/>
                <w:spacing w:val="-2"/>
                <w:sz w:val="18"/>
              </w:rPr>
              <w:t>Καταβ</w:t>
            </w:r>
            <w:proofErr w:type="spellStart"/>
            <w:r w:rsidRPr="0049145A">
              <w:rPr>
                <w:rFonts w:ascii="Arial" w:hAnsi="Arial" w:cs="Arial"/>
                <w:spacing w:val="-2"/>
                <w:sz w:val="18"/>
              </w:rPr>
              <w:t>ολές</w:t>
            </w:r>
            <w:proofErr w:type="spellEnd"/>
            <w:r w:rsidRPr="0049145A">
              <w:rPr>
                <w:rFonts w:ascii="Arial" w:hAnsi="Arial" w:cs="Arial"/>
                <w:spacing w:val="-7"/>
                <w:sz w:val="18"/>
              </w:rPr>
              <w:t xml:space="preserve"> </w:t>
            </w:r>
            <w:proofErr w:type="spellStart"/>
            <w:r w:rsidRPr="0049145A">
              <w:rPr>
                <w:rFonts w:ascii="Arial" w:hAnsi="Arial" w:cs="Arial"/>
                <w:spacing w:val="-2"/>
                <w:sz w:val="18"/>
              </w:rPr>
              <w:t>λοι</w:t>
            </w:r>
            <w:proofErr w:type="spellEnd"/>
            <w:r w:rsidRPr="0049145A">
              <w:rPr>
                <w:rFonts w:ascii="Arial" w:hAnsi="Arial" w:cs="Arial"/>
                <w:spacing w:val="-2"/>
                <w:sz w:val="18"/>
              </w:rPr>
              <w:t>πών</w:t>
            </w:r>
            <w:r w:rsidRPr="0049145A">
              <w:rPr>
                <w:rFonts w:ascii="Arial" w:hAnsi="Arial" w:cs="Arial"/>
                <w:spacing w:val="-7"/>
                <w:sz w:val="18"/>
              </w:rPr>
              <w:t xml:space="preserve"> </w:t>
            </w:r>
            <w:proofErr w:type="spellStart"/>
            <w:r w:rsidRPr="0049145A">
              <w:rPr>
                <w:rFonts w:ascii="Arial" w:hAnsi="Arial" w:cs="Arial"/>
                <w:spacing w:val="-2"/>
                <w:sz w:val="18"/>
              </w:rPr>
              <w:t>εξόδων</w:t>
            </w:r>
            <w:proofErr w:type="spellEnd"/>
            <w:r w:rsidRPr="0049145A">
              <w:rPr>
                <w:rFonts w:ascii="Arial" w:hAnsi="Arial" w:cs="Arial"/>
                <w:spacing w:val="-7"/>
                <w:sz w:val="18"/>
              </w:rPr>
              <w:t xml:space="preserve"> </w:t>
            </w:r>
            <w:r w:rsidRPr="0049145A">
              <w:rPr>
                <w:rFonts w:ascii="Arial" w:hAnsi="Arial" w:cs="Arial"/>
                <w:spacing w:val="-2"/>
                <w:sz w:val="18"/>
              </w:rPr>
              <w:t>ανα</w:t>
            </w:r>
            <w:proofErr w:type="spellStart"/>
            <w:r w:rsidRPr="0049145A">
              <w:rPr>
                <w:rFonts w:ascii="Arial" w:hAnsi="Arial" w:cs="Arial"/>
                <w:spacing w:val="-2"/>
                <w:sz w:val="18"/>
              </w:rPr>
              <w:t>διοργάνωσης</w:t>
            </w:r>
            <w:proofErr w:type="spellEnd"/>
          </w:p>
        </w:tc>
        <w:tc>
          <w:tcPr>
            <w:tcW w:w="1983" w:type="dxa"/>
            <w:tcBorders>
              <w:left w:val="single" w:sz="2" w:space="0" w:color="BFBFBF" w:themeColor="background1" w:themeShade="BF"/>
            </w:tcBorders>
            <w:vAlign w:val="center"/>
          </w:tcPr>
          <w:p w14:paraId="48540827" w14:textId="10980330" w:rsidR="00040471" w:rsidRPr="00A431F0" w:rsidRDefault="00040471" w:rsidP="00040471">
            <w:pPr>
              <w:jc w:val="center"/>
              <w:rPr>
                <w:rFonts w:ascii="Arial" w:hAnsi="Arial" w:cs="Arial"/>
                <w:sz w:val="18"/>
                <w:szCs w:val="18"/>
              </w:rPr>
            </w:pPr>
            <w:r w:rsidRPr="00A431F0">
              <w:rPr>
                <w:rFonts w:ascii="Arial" w:hAnsi="Arial" w:cs="Arial"/>
                <w:sz w:val="18"/>
                <w:szCs w:val="18"/>
              </w:rPr>
              <w:t>0</w:t>
            </w:r>
            <w:r>
              <w:rPr>
                <w:rFonts w:ascii="Arial" w:hAnsi="Arial" w:cs="Arial"/>
                <w:sz w:val="18"/>
                <w:szCs w:val="18"/>
              </w:rPr>
              <w:t>,</w:t>
            </w:r>
            <w:r w:rsidRPr="00A431F0">
              <w:rPr>
                <w:rFonts w:ascii="Arial" w:hAnsi="Arial" w:cs="Arial"/>
                <w:sz w:val="18"/>
                <w:szCs w:val="18"/>
              </w:rPr>
              <w:t>2</w:t>
            </w:r>
          </w:p>
        </w:tc>
        <w:tc>
          <w:tcPr>
            <w:tcW w:w="1224" w:type="dxa"/>
            <w:tcBorders>
              <w:right w:val="single" w:sz="2" w:space="0" w:color="BFBFBF" w:themeColor="background1" w:themeShade="BF"/>
            </w:tcBorders>
            <w:vAlign w:val="center"/>
          </w:tcPr>
          <w:p w14:paraId="5AC999B5" w14:textId="620166A1" w:rsidR="00040471" w:rsidRPr="00A431F0" w:rsidRDefault="00040471" w:rsidP="00040471">
            <w:pPr>
              <w:jc w:val="center"/>
              <w:rPr>
                <w:rFonts w:ascii="Arial" w:hAnsi="Arial" w:cs="Arial"/>
                <w:sz w:val="18"/>
                <w:szCs w:val="18"/>
              </w:rPr>
            </w:pPr>
            <w:r w:rsidRPr="00A431F0">
              <w:rPr>
                <w:rFonts w:ascii="Arial" w:hAnsi="Arial" w:cs="Arial"/>
                <w:sz w:val="18"/>
                <w:szCs w:val="18"/>
              </w:rPr>
              <w:t>1</w:t>
            </w:r>
            <w:r>
              <w:rPr>
                <w:rFonts w:ascii="Arial" w:hAnsi="Arial" w:cs="Arial"/>
                <w:sz w:val="18"/>
                <w:szCs w:val="18"/>
              </w:rPr>
              <w:t>,</w:t>
            </w:r>
            <w:r w:rsidRPr="00A431F0">
              <w:rPr>
                <w:rFonts w:ascii="Arial" w:hAnsi="Arial" w:cs="Arial"/>
                <w:sz w:val="18"/>
                <w:szCs w:val="18"/>
              </w:rPr>
              <w:t>0</w:t>
            </w:r>
          </w:p>
        </w:tc>
        <w:tc>
          <w:tcPr>
            <w:tcW w:w="1495" w:type="dxa"/>
            <w:tcBorders>
              <w:left w:val="single" w:sz="2" w:space="0" w:color="BFBFBF" w:themeColor="background1" w:themeShade="BF"/>
            </w:tcBorders>
            <w:vAlign w:val="center"/>
          </w:tcPr>
          <w:p w14:paraId="031A90EB" w14:textId="0C4A3653" w:rsidR="00040471" w:rsidRPr="00A431F0" w:rsidRDefault="00040471" w:rsidP="00040471">
            <w:pPr>
              <w:jc w:val="center"/>
              <w:rPr>
                <w:rFonts w:ascii="Arial" w:hAnsi="Arial" w:cs="Arial"/>
                <w:sz w:val="18"/>
                <w:szCs w:val="18"/>
              </w:rPr>
            </w:pPr>
            <w:r w:rsidRPr="00A431F0">
              <w:rPr>
                <w:rFonts w:ascii="Arial" w:hAnsi="Arial" w:cs="Arial"/>
                <w:sz w:val="18"/>
                <w:szCs w:val="18"/>
              </w:rPr>
              <w:t>1</w:t>
            </w:r>
            <w:r>
              <w:rPr>
                <w:rFonts w:ascii="Arial" w:hAnsi="Arial" w:cs="Arial"/>
                <w:sz w:val="18"/>
                <w:szCs w:val="18"/>
              </w:rPr>
              <w:t>,</w:t>
            </w:r>
            <w:r w:rsidRPr="00A431F0">
              <w:rPr>
                <w:rFonts w:ascii="Arial" w:hAnsi="Arial" w:cs="Arial"/>
                <w:sz w:val="18"/>
                <w:szCs w:val="18"/>
              </w:rPr>
              <w:t>4</w:t>
            </w:r>
          </w:p>
        </w:tc>
        <w:tc>
          <w:tcPr>
            <w:tcW w:w="1061" w:type="dxa"/>
            <w:vAlign w:val="center"/>
          </w:tcPr>
          <w:p w14:paraId="2D364AE2" w14:textId="6B866D88" w:rsidR="00040471" w:rsidRPr="00A431F0" w:rsidRDefault="00040471" w:rsidP="00040471">
            <w:pPr>
              <w:jc w:val="center"/>
              <w:rPr>
                <w:rFonts w:ascii="Arial" w:hAnsi="Arial" w:cs="Arial"/>
                <w:sz w:val="18"/>
                <w:szCs w:val="18"/>
              </w:rPr>
            </w:pPr>
            <w:r w:rsidRPr="00A431F0">
              <w:rPr>
                <w:rFonts w:ascii="Arial" w:hAnsi="Arial" w:cs="Arial"/>
                <w:sz w:val="18"/>
                <w:szCs w:val="18"/>
              </w:rPr>
              <w:t>2</w:t>
            </w:r>
            <w:r>
              <w:rPr>
                <w:rFonts w:ascii="Arial" w:hAnsi="Arial" w:cs="Arial"/>
                <w:sz w:val="18"/>
                <w:szCs w:val="18"/>
              </w:rPr>
              <w:t>,</w:t>
            </w:r>
            <w:r w:rsidRPr="00A431F0">
              <w:rPr>
                <w:rFonts w:ascii="Arial" w:hAnsi="Arial" w:cs="Arial"/>
                <w:sz w:val="18"/>
                <w:szCs w:val="18"/>
              </w:rPr>
              <w:t>3</w:t>
            </w:r>
          </w:p>
        </w:tc>
      </w:tr>
      <w:tr w:rsidR="00040471" w14:paraId="0AC8C208" w14:textId="77777777" w:rsidTr="001F1F41">
        <w:trPr>
          <w:trHeight w:val="253"/>
        </w:trPr>
        <w:tc>
          <w:tcPr>
            <w:tcW w:w="4756" w:type="dxa"/>
            <w:tcBorders>
              <w:bottom w:val="nil"/>
              <w:right w:val="single" w:sz="2" w:space="0" w:color="BFBFBF" w:themeColor="background1" w:themeShade="BF"/>
            </w:tcBorders>
            <w:vAlign w:val="center"/>
          </w:tcPr>
          <w:p w14:paraId="329E91DC" w14:textId="56C65453" w:rsidR="00040471" w:rsidRPr="00047C99" w:rsidRDefault="00040471" w:rsidP="00040471">
            <w:pPr>
              <w:jc w:val="both"/>
              <w:rPr>
                <w:rFonts w:ascii="Arial" w:hAnsi="Arial" w:cs="Arial"/>
                <w:sz w:val="18"/>
              </w:rPr>
            </w:pPr>
            <w:r w:rsidRPr="00A7639D">
              <w:rPr>
                <w:rFonts w:ascii="Arial" w:hAnsi="Arial" w:cs="Arial"/>
                <w:sz w:val="18"/>
                <w:szCs w:val="18"/>
              </w:rPr>
              <w:t>Καταβ</w:t>
            </w:r>
            <w:proofErr w:type="spellStart"/>
            <w:r w:rsidRPr="00A7639D">
              <w:rPr>
                <w:rFonts w:ascii="Arial" w:hAnsi="Arial" w:cs="Arial"/>
                <w:sz w:val="18"/>
                <w:szCs w:val="18"/>
              </w:rPr>
              <w:t>ολές</w:t>
            </w:r>
            <w:proofErr w:type="spellEnd"/>
            <w:r w:rsidRPr="00A7639D">
              <w:rPr>
                <w:rFonts w:ascii="Arial" w:hAnsi="Arial" w:cs="Arial"/>
                <w:sz w:val="18"/>
                <w:szCs w:val="18"/>
              </w:rPr>
              <w:t xml:space="preserve"> </w:t>
            </w:r>
            <w:proofErr w:type="spellStart"/>
            <w:r w:rsidRPr="00A7639D">
              <w:rPr>
                <w:rFonts w:ascii="Arial" w:hAnsi="Arial" w:cs="Arial"/>
                <w:sz w:val="18"/>
                <w:szCs w:val="18"/>
              </w:rPr>
              <w:t>γι</w:t>
            </w:r>
            <w:proofErr w:type="spellEnd"/>
            <w:r w:rsidRPr="00A7639D">
              <w:rPr>
                <w:rFonts w:ascii="Arial" w:hAnsi="Arial" w:cs="Arial"/>
                <w:sz w:val="18"/>
                <w:szCs w:val="18"/>
              </w:rPr>
              <w:t>α α</w:t>
            </w:r>
            <w:proofErr w:type="spellStart"/>
            <w:r w:rsidRPr="00A7639D">
              <w:rPr>
                <w:rFonts w:ascii="Arial" w:hAnsi="Arial" w:cs="Arial"/>
                <w:sz w:val="18"/>
                <w:szCs w:val="18"/>
              </w:rPr>
              <w:t>γορά</w:t>
            </w:r>
            <w:proofErr w:type="spellEnd"/>
            <w:r w:rsidRPr="00A7639D">
              <w:rPr>
                <w:rFonts w:ascii="Arial" w:hAnsi="Arial" w:cs="Arial"/>
                <w:sz w:val="18"/>
                <w:szCs w:val="18"/>
              </w:rPr>
              <w:t xml:space="preserve"> </w:t>
            </w:r>
            <w:proofErr w:type="spellStart"/>
            <w:r w:rsidRPr="00A7639D">
              <w:rPr>
                <w:rFonts w:ascii="Arial" w:hAnsi="Arial" w:cs="Arial"/>
                <w:sz w:val="18"/>
                <w:szCs w:val="18"/>
              </w:rPr>
              <w:t>φάσμ</w:t>
            </w:r>
            <w:proofErr w:type="spellEnd"/>
            <w:r w:rsidRPr="00A7639D">
              <w:rPr>
                <w:rFonts w:ascii="Arial" w:hAnsi="Arial" w:cs="Arial"/>
                <w:sz w:val="18"/>
                <w:szCs w:val="18"/>
              </w:rPr>
              <w:t>ατος</w:t>
            </w:r>
          </w:p>
        </w:tc>
        <w:tc>
          <w:tcPr>
            <w:tcW w:w="1983" w:type="dxa"/>
            <w:tcBorders>
              <w:left w:val="single" w:sz="2" w:space="0" w:color="BFBFBF" w:themeColor="background1" w:themeShade="BF"/>
              <w:bottom w:val="nil"/>
            </w:tcBorders>
            <w:vAlign w:val="center"/>
          </w:tcPr>
          <w:p w14:paraId="084E6D88" w14:textId="77777777" w:rsidR="00040471" w:rsidRPr="00C73355" w:rsidRDefault="00040471" w:rsidP="00040471">
            <w:pPr>
              <w:jc w:val="center"/>
              <w:rPr>
                <w:rFonts w:ascii="Arial" w:hAnsi="Arial" w:cs="Arial"/>
                <w:sz w:val="18"/>
                <w:szCs w:val="18"/>
              </w:rPr>
            </w:pPr>
            <w:r w:rsidRPr="00C73355">
              <w:rPr>
                <w:rFonts w:ascii="Arial" w:hAnsi="Arial" w:cs="Arial"/>
                <w:sz w:val="18"/>
                <w:szCs w:val="18"/>
              </w:rPr>
              <w:t>-</w:t>
            </w:r>
          </w:p>
        </w:tc>
        <w:tc>
          <w:tcPr>
            <w:tcW w:w="1224" w:type="dxa"/>
            <w:tcBorders>
              <w:bottom w:val="nil"/>
              <w:right w:val="single" w:sz="2" w:space="0" w:color="BFBFBF" w:themeColor="background1" w:themeShade="BF"/>
            </w:tcBorders>
            <w:vAlign w:val="center"/>
          </w:tcPr>
          <w:p w14:paraId="43CCAE42" w14:textId="77777777" w:rsidR="00040471" w:rsidRPr="00C73355" w:rsidRDefault="00040471" w:rsidP="00040471">
            <w:pPr>
              <w:jc w:val="center"/>
              <w:rPr>
                <w:rFonts w:ascii="Arial" w:hAnsi="Arial" w:cs="Arial"/>
                <w:sz w:val="18"/>
                <w:szCs w:val="18"/>
              </w:rPr>
            </w:pPr>
            <w:r w:rsidRPr="00C73355">
              <w:rPr>
                <w:rFonts w:ascii="Arial" w:hAnsi="Arial" w:cs="Arial"/>
                <w:sz w:val="18"/>
                <w:szCs w:val="18"/>
              </w:rPr>
              <w:t>-</w:t>
            </w:r>
          </w:p>
        </w:tc>
        <w:tc>
          <w:tcPr>
            <w:tcW w:w="1495" w:type="dxa"/>
            <w:tcBorders>
              <w:left w:val="single" w:sz="2" w:space="0" w:color="BFBFBF" w:themeColor="background1" w:themeShade="BF"/>
              <w:bottom w:val="nil"/>
            </w:tcBorders>
            <w:vAlign w:val="center"/>
          </w:tcPr>
          <w:p w14:paraId="1E45E821" w14:textId="77777777" w:rsidR="00040471" w:rsidRPr="00C73355" w:rsidRDefault="00040471" w:rsidP="00040471">
            <w:pPr>
              <w:jc w:val="center"/>
              <w:rPr>
                <w:rFonts w:ascii="Arial" w:hAnsi="Arial" w:cs="Arial"/>
                <w:sz w:val="18"/>
                <w:szCs w:val="18"/>
              </w:rPr>
            </w:pPr>
            <w:r w:rsidRPr="00C73355">
              <w:rPr>
                <w:rFonts w:ascii="Arial" w:hAnsi="Arial" w:cs="Arial"/>
                <w:sz w:val="18"/>
                <w:szCs w:val="18"/>
              </w:rPr>
              <w:t>-</w:t>
            </w:r>
          </w:p>
        </w:tc>
        <w:tc>
          <w:tcPr>
            <w:tcW w:w="1061" w:type="dxa"/>
            <w:tcBorders>
              <w:bottom w:val="nil"/>
            </w:tcBorders>
            <w:vAlign w:val="center"/>
          </w:tcPr>
          <w:p w14:paraId="7AE6FEC5" w14:textId="77777777" w:rsidR="00040471" w:rsidRPr="00C73355" w:rsidRDefault="00040471" w:rsidP="00040471">
            <w:pPr>
              <w:jc w:val="center"/>
              <w:rPr>
                <w:rFonts w:ascii="Arial" w:hAnsi="Arial" w:cs="Arial"/>
                <w:sz w:val="18"/>
                <w:szCs w:val="18"/>
              </w:rPr>
            </w:pPr>
            <w:r w:rsidRPr="00C73355">
              <w:rPr>
                <w:rFonts w:ascii="Arial" w:hAnsi="Arial" w:cs="Arial"/>
                <w:sz w:val="18"/>
                <w:szCs w:val="18"/>
              </w:rPr>
              <w:t>-</w:t>
            </w:r>
          </w:p>
        </w:tc>
      </w:tr>
      <w:tr w:rsidR="00040471" w14:paraId="6E7B1733" w14:textId="77777777" w:rsidTr="001F1F41">
        <w:trPr>
          <w:trHeight w:val="253"/>
        </w:trPr>
        <w:tc>
          <w:tcPr>
            <w:tcW w:w="4756" w:type="dxa"/>
            <w:tcBorders>
              <w:top w:val="nil"/>
              <w:bottom w:val="single" w:sz="2" w:space="0" w:color="BFBFBF" w:themeColor="background1" w:themeShade="BF"/>
              <w:right w:val="single" w:sz="2" w:space="0" w:color="BFBFBF" w:themeColor="background1" w:themeShade="BF"/>
            </w:tcBorders>
            <w:shd w:val="clear" w:color="auto" w:fill="F2F2F2" w:themeFill="background1" w:themeFillShade="F2"/>
            <w:vAlign w:val="center"/>
          </w:tcPr>
          <w:p w14:paraId="52C86720" w14:textId="5BD21537" w:rsidR="00040471" w:rsidRPr="003B27F4" w:rsidRDefault="00040471" w:rsidP="00040471">
            <w:pPr>
              <w:jc w:val="both"/>
              <w:rPr>
                <w:rFonts w:ascii="Arial" w:hAnsi="Arial" w:cs="Arial"/>
                <w:b/>
                <w:sz w:val="18"/>
                <w:lang w:val="el-GR"/>
              </w:rPr>
            </w:pPr>
            <w:r w:rsidRPr="0049145A">
              <w:rPr>
                <w:rFonts w:ascii="Arial" w:hAnsi="Arial" w:cs="Arial"/>
                <w:b/>
                <w:bCs/>
                <w:spacing w:val="-2"/>
                <w:sz w:val="18"/>
                <w:lang w:val="el-GR"/>
              </w:rPr>
              <w:t>Προσαρμοσμένες</w:t>
            </w:r>
            <w:r w:rsidRPr="0049145A">
              <w:rPr>
                <w:rFonts w:ascii="Arial" w:hAnsi="Arial" w:cs="Arial"/>
                <w:b/>
                <w:bCs/>
                <w:spacing w:val="-4"/>
                <w:sz w:val="18"/>
                <w:lang w:val="el-GR"/>
              </w:rPr>
              <w:t xml:space="preserve"> </w:t>
            </w:r>
            <w:r w:rsidRPr="0049145A">
              <w:rPr>
                <w:rFonts w:ascii="Arial" w:hAnsi="Arial" w:cs="Arial"/>
                <w:b/>
                <w:bCs/>
                <w:spacing w:val="-2"/>
                <w:sz w:val="18"/>
                <w:lang w:val="el-GR"/>
              </w:rPr>
              <w:t>Ελεύθερες</w:t>
            </w:r>
            <w:r w:rsidRPr="0049145A">
              <w:rPr>
                <w:rFonts w:ascii="Arial" w:hAnsi="Arial" w:cs="Arial"/>
                <w:b/>
                <w:bCs/>
                <w:spacing w:val="-3"/>
                <w:sz w:val="18"/>
                <w:lang w:val="el-GR"/>
              </w:rPr>
              <w:t xml:space="preserve"> </w:t>
            </w:r>
            <w:r w:rsidRPr="0049145A">
              <w:rPr>
                <w:rFonts w:ascii="Arial" w:hAnsi="Arial" w:cs="Arial"/>
                <w:b/>
                <w:bCs/>
                <w:spacing w:val="-2"/>
                <w:sz w:val="18"/>
                <w:lang w:val="el-GR"/>
              </w:rPr>
              <w:t>Ταμειακές</w:t>
            </w:r>
            <w:r w:rsidRPr="0049145A">
              <w:rPr>
                <w:rFonts w:ascii="Arial" w:hAnsi="Arial" w:cs="Arial"/>
                <w:b/>
                <w:bCs/>
                <w:spacing w:val="-5"/>
                <w:sz w:val="18"/>
                <w:lang w:val="el-GR"/>
              </w:rPr>
              <w:t xml:space="preserve"> </w:t>
            </w:r>
            <w:r w:rsidRPr="0049145A">
              <w:rPr>
                <w:rFonts w:ascii="Arial" w:hAnsi="Arial" w:cs="Arial"/>
                <w:b/>
                <w:bCs/>
                <w:spacing w:val="-2"/>
                <w:sz w:val="18"/>
                <w:lang w:val="el-GR"/>
              </w:rPr>
              <w:t>Ροές</w:t>
            </w:r>
            <w:r w:rsidRPr="0049145A">
              <w:rPr>
                <w:rFonts w:ascii="Arial" w:hAnsi="Arial" w:cs="Arial"/>
                <w:b/>
                <w:bCs/>
                <w:spacing w:val="-6"/>
                <w:sz w:val="18"/>
                <w:lang w:val="el-GR"/>
              </w:rPr>
              <w:t xml:space="preserve"> </w:t>
            </w:r>
            <w:r w:rsidRPr="0049145A">
              <w:rPr>
                <w:rFonts w:ascii="Arial" w:hAnsi="Arial" w:cs="Arial"/>
                <w:b/>
                <w:bCs/>
                <w:spacing w:val="-2"/>
                <w:sz w:val="18"/>
                <w:lang w:val="el-GR"/>
              </w:rPr>
              <w:t>μετά</w:t>
            </w:r>
            <w:r w:rsidRPr="0049145A">
              <w:rPr>
                <w:rFonts w:ascii="Arial" w:hAnsi="Arial" w:cs="Arial"/>
                <w:b/>
                <w:bCs/>
                <w:spacing w:val="-5"/>
                <w:sz w:val="18"/>
                <w:lang w:val="el-GR"/>
              </w:rPr>
              <w:t xml:space="preserve"> </w:t>
            </w:r>
            <w:r w:rsidRPr="0049145A">
              <w:rPr>
                <w:rFonts w:ascii="Arial" w:hAnsi="Arial" w:cs="Arial"/>
                <w:b/>
                <w:bCs/>
                <w:spacing w:val="-2"/>
                <w:sz w:val="18"/>
                <w:lang w:val="el-GR"/>
              </w:rPr>
              <w:t>από</w:t>
            </w:r>
            <w:r w:rsidRPr="0049145A">
              <w:rPr>
                <w:rFonts w:ascii="Arial" w:hAnsi="Arial" w:cs="Arial"/>
                <w:b/>
                <w:bCs/>
                <w:spacing w:val="-6"/>
                <w:sz w:val="18"/>
                <w:lang w:val="el-GR"/>
              </w:rPr>
              <w:t xml:space="preserve"> </w:t>
            </w:r>
            <w:r w:rsidRPr="0049145A">
              <w:rPr>
                <w:rFonts w:ascii="Arial" w:hAnsi="Arial" w:cs="Arial"/>
                <w:b/>
                <w:bCs/>
                <w:spacing w:val="-2"/>
                <w:sz w:val="18"/>
                <w:lang w:val="el-GR"/>
              </w:rPr>
              <w:t>μισθώσεις</w:t>
            </w:r>
            <w:r w:rsidRPr="0049145A">
              <w:rPr>
                <w:rFonts w:ascii="Arial" w:hAnsi="Arial" w:cs="Arial"/>
                <w:b/>
                <w:bCs/>
                <w:spacing w:val="-5"/>
                <w:sz w:val="18"/>
                <w:lang w:val="el-GR"/>
              </w:rPr>
              <w:t xml:space="preserve"> </w:t>
            </w:r>
            <w:r w:rsidRPr="0049145A">
              <w:rPr>
                <w:rFonts w:ascii="Arial" w:hAnsi="Arial" w:cs="Arial"/>
                <w:b/>
                <w:bCs/>
                <w:spacing w:val="-4"/>
                <w:sz w:val="18"/>
                <w:lang w:val="el-GR"/>
              </w:rPr>
              <w:t>(</w:t>
            </w:r>
            <w:r w:rsidRPr="0049145A">
              <w:rPr>
                <w:rFonts w:ascii="Arial" w:hAnsi="Arial" w:cs="Arial"/>
                <w:b/>
                <w:bCs/>
                <w:spacing w:val="-4"/>
                <w:sz w:val="18"/>
              </w:rPr>
              <w:t>AL</w:t>
            </w:r>
            <w:r w:rsidRPr="0049145A">
              <w:rPr>
                <w:rFonts w:ascii="Arial" w:hAnsi="Arial" w:cs="Arial"/>
                <w:b/>
                <w:bCs/>
                <w:spacing w:val="-4"/>
                <w:sz w:val="18"/>
                <w:lang w:val="el-GR"/>
              </w:rPr>
              <w:t>)</w:t>
            </w:r>
          </w:p>
        </w:tc>
        <w:tc>
          <w:tcPr>
            <w:tcW w:w="1983" w:type="dxa"/>
            <w:tcBorders>
              <w:top w:val="nil"/>
              <w:left w:val="single" w:sz="2" w:space="0" w:color="BFBFBF" w:themeColor="background1" w:themeShade="BF"/>
              <w:bottom w:val="single" w:sz="2" w:space="0" w:color="BFBFBF" w:themeColor="background1" w:themeShade="BF"/>
            </w:tcBorders>
            <w:shd w:val="clear" w:color="auto" w:fill="F2F2F2" w:themeFill="background1" w:themeFillShade="F2"/>
            <w:vAlign w:val="center"/>
          </w:tcPr>
          <w:p w14:paraId="6D2915A2" w14:textId="69054089" w:rsidR="00040471" w:rsidRPr="00A431F0" w:rsidRDefault="00040471" w:rsidP="00040471">
            <w:pPr>
              <w:jc w:val="center"/>
              <w:rPr>
                <w:rFonts w:ascii="Arial" w:hAnsi="Arial" w:cs="Arial"/>
                <w:b/>
                <w:bCs/>
                <w:sz w:val="18"/>
                <w:szCs w:val="18"/>
              </w:rPr>
            </w:pPr>
            <w:r w:rsidRPr="00A431F0">
              <w:rPr>
                <w:rFonts w:ascii="Arial" w:hAnsi="Arial" w:cs="Arial"/>
                <w:b/>
                <w:bCs/>
                <w:sz w:val="18"/>
                <w:szCs w:val="18"/>
              </w:rPr>
              <w:t>114</w:t>
            </w:r>
            <w:r>
              <w:rPr>
                <w:rFonts w:ascii="Arial" w:hAnsi="Arial" w:cs="Arial"/>
                <w:b/>
                <w:bCs/>
                <w:sz w:val="18"/>
                <w:szCs w:val="18"/>
              </w:rPr>
              <w:t>,</w:t>
            </w:r>
            <w:r w:rsidRPr="00A431F0">
              <w:rPr>
                <w:rFonts w:ascii="Arial" w:hAnsi="Arial" w:cs="Arial"/>
                <w:b/>
                <w:bCs/>
                <w:sz w:val="18"/>
                <w:szCs w:val="18"/>
              </w:rPr>
              <w:t>5</w:t>
            </w:r>
          </w:p>
        </w:tc>
        <w:tc>
          <w:tcPr>
            <w:tcW w:w="1224" w:type="dxa"/>
            <w:tcBorders>
              <w:top w:val="nil"/>
              <w:bottom w:val="single" w:sz="2" w:space="0" w:color="BFBFBF" w:themeColor="background1" w:themeShade="BF"/>
              <w:right w:val="single" w:sz="2" w:space="0" w:color="BFBFBF" w:themeColor="background1" w:themeShade="BF"/>
            </w:tcBorders>
            <w:shd w:val="clear" w:color="auto" w:fill="F2F2F2" w:themeFill="background1" w:themeFillShade="F2"/>
            <w:vAlign w:val="center"/>
          </w:tcPr>
          <w:p w14:paraId="5C2FCDFA" w14:textId="057BD0A0" w:rsidR="00040471" w:rsidRPr="00A431F0" w:rsidRDefault="00040471" w:rsidP="00040471">
            <w:pPr>
              <w:jc w:val="center"/>
              <w:rPr>
                <w:rFonts w:ascii="Arial" w:hAnsi="Arial" w:cs="Arial"/>
                <w:b/>
                <w:bCs/>
                <w:sz w:val="18"/>
                <w:szCs w:val="18"/>
              </w:rPr>
            </w:pPr>
            <w:r w:rsidRPr="00A431F0">
              <w:rPr>
                <w:rFonts w:ascii="Arial" w:hAnsi="Arial" w:cs="Arial"/>
                <w:b/>
                <w:bCs/>
                <w:sz w:val="18"/>
                <w:szCs w:val="18"/>
              </w:rPr>
              <w:t>108</w:t>
            </w:r>
            <w:r>
              <w:rPr>
                <w:rFonts w:ascii="Arial" w:hAnsi="Arial" w:cs="Arial"/>
                <w:b/>
                <w:bCs/>
                <w:sz w:val="18"/>
                <w:szCs w:val="18"/>
              </w:rPr>
              <w:t>,</w:t>
            </w:r>
            <w:r w:rsidRPr="00A431F0">
              <w:rPr>
                <w:rFonts w:ascii="Arial" w:hAnsi="Arial" w:cs="Arial"/>
                <w:b/>
                <w:bCs/>
                <w:sz w:val="18"/>
                <w:szCs w:val="18"/>
              </w:rPr>
              <w:t>5</w:t>
            </w:r>
          </w:p>
        </w:tc>
        <w:tc>
          <w:tcPr>
            <w:tcW w:w="1495" w:type="dxa"/>
            <w:tcBorders>
              <w:top w:val="nil"/>
              <w:left w:val="single" w:sz="2" w:space="0" w:color="BFBFBF" w:themeColor="background1" w:themeShade="BF"/>
              <w:bottom w:val="single" w:sz="2" w:space="0" w:color="BFBFBF" w:themeColor="background1" w:themeShade="BF"/>
            </w:tcBorders>
            <w:shd w:val="clear" w:color="auto" w:fill="F2F2F2" w:themeFill="background1" w:themeFillShade="F2"/>
            <w:vAlign w:val="center"/>
          </w:tcPr>
          <w:p w14:paraId="30FDDFD7" w14:textId="4F4735FD" w:rsidR="00040471" w:rsidRPr="00A431F0" w:rsidRDefault="00040471" w:rsidP="00040471">
            <w:pPr>
              <w:jc w:val="center"/>
              <w:rPr>
                <w:rFonts w:ascii="Arial" w:hAnsi="Arial" w:cs="Arial"/>
                <w:b/>
                <w:bCs/>
                <w:sz w:val="18"/>
                <w:szCs w:val="18"/>
              </w:rPr>
            </w:pPr>
            <w:r w:rsidRPr="00A431F0">
              <w:rPr>
                <w:rFonts w:ascii="Arial" w:hAnsi="Arial" w:cs="Arial"/>
                <w:b/>
                <w:bCs/>
                <w:sz w:val="18"/>
                <w:szCs w:val="18"/>
              </w:rPr>
              <w:t>408</w:t>
            </w:r>
            <w:r>
              <w:rPr>
                <w:rFonts w:ascii="Arial" w:hAnsi="Arial" w:cs="Arial"/>
                <w:b/>
                <w:bCs/>
                <w:sz w:val="18"/>
                <w:szCs w:val="18"/>
              </w:rPr>
              <w:t>,</w:t>
            </w:r>
            <w:r w:rsidRPr="00A431F0">
              <w:rPr>
                <w:rFonts w:ascii="Arial" w:hAnsi="Arial" w:cs="Arial"/>
                <w:b/>
                <w:bCs/>
                <w:sz w:val="18"/>
                <w:szCs w:val="18"/>
              </w:rPr>
              <w:t>5</w:t>
            </w:r>
          </w:p>
        </w:tc>
        <w:tc>
          <w:tcPr>
            <w:tcW w:w="1061" w:type="dxa"/>
            <w:tcBorders>
              <w:top w:val="nil"/>
              <w:bottom w:val="single" w:sz="2" w:space="0" w:color="BFBFBF" w:themeColor="background1" w:themeShade="BF"/>
            </w:tcBorders>
            <w:shd w:val="clear" w:color="auto" w:fill="F2F2F2" w:themeFill="background1" w:themeFillShade="F2"/>
            <w:vAlign w:val="center"/>
          </w:tcPr>
          <w:p w14:paraId="168103CA" w14:textId="623CC3EB" w:rsidR="00040471" w:rsidRPr="00A431F0" w:rsidRDefault="00040471" w:rsidP="00040471">
            <w:pPr>
              <w:jc w:val="center"/>
              <w:rPr>
                <w:rFonts w:ascii="Arial" w:hAnsi="Arial" w:cs="Arial"/>
                <w:b/>
                <w:bCs/>
                <w:sz w:val="18"/>
                <w:szCs w:val="18"/>
              </w:rPr>
            </w:pPr>
            <w:r w:rsidRPr="00A431F0">
              <w:rPr>
                <w:rFonts w:ascii="Arial" w:hAnsi="Arial" w:cs="Arial"/>
                <w:b/>
                <w:bCs/>
                <w:sz w:val="18"/>
                <w:szCs w:val="18"/>
              </w:rPr>
              <w:t>412</w:t>
            </w:r>
            <w:r>
              <w:rPr>
                <w:rFonts w:ascii="Arial" w:hAnsi="Arial" w:cs="Arial"/>
                <w:b/>
                <w:bCs/>
                <w:sz w:val="18"/>
                <w:szCs w:val="18"/>
              </w:rPr>
              <w:t>,</w:t>
            </w:r>
            <w:r w:rsidRPr="00A431F0">
              <w:rPr>
                <w:rFonts w:ascii="Arial" w:hAnsi="Arial" w:cs="Arial"/>
                <w:b/>
                <w:bCs/>
                <w:sz w:val="18"/>
                <w:szCs w:val="18"/>
              </w:rPr>
              <w:t>5</w:t>
            </w:r>
          </w:p>
        </w:tc>
      </w:tr>
    </w:tbl>
    <w:p w14:paraId="2C9F96E9" w14:textId="77777777" w:rsidR="003B27F4" w:rsidRPr="005D6711" w:rsidRDefault="003B27F4" w:rsidP="000B05AD">
      <w:pPr>
        <w:spacing w:line="280" w:lineRule="exact"/>
        <w:jc w:val="both"/>
        <w:rPr>
          <w:rFonts w:ascii="Arial" w:eastAsia="Times New Roman" w:hAnsi="Arial" w:cs="Arial"/>
        </w:rPr>
      </w:pPr>
    </w:p>
    <w:p w14:paraId="10D4295B" w14:textId="77777777" w:rsidR="002306CF" w:rsidRDefault="002306CF" w:rsidP="00386EA0">
      <w:pPr>
        <w:spacing w:after="0" w:line="240" w:lineRule="auto"/>
        <w:jc w:val="both"/>
        <w:rPr>
          <w:rFonts w:ascii="Arial" w:eastAsia="Times New Roman" w:hAnsi="Arial" w:cs="Arial"/>
          <w:b/>
          <w:color w:val="004B87"/>
        </w:rPr>
      </w:pPr>
    </w:p>
    <w:p w14:paraId="16779D74" w14:textId="4D0FC86F" w:rsidR="009E285A" w:rsidRPr="0042272D" w:rsidRDefault="009E285A" w:rsidP="00386EA0">
      <w:pPr>
        <w:spacing w:after="0" w:line="240" w:lineRule="auto"/>
        <w:jc w:val="both"/>
        <w:rPr>
          <w:rFonts w:ascii="Arial" w:eastAsia="Times New Roman" w:hAnsi="Arial" w:cs="Arial"/>
          <w:b/>
          <w:color w:val="004B87"/>
        </w:rPr>
      </w:pPr>
      <w:r w:rsidRPr="003C7A07">
        <w:rPr>
          <w:rFonts w:ascii="Arial" w:eastAsia="Times New Roman" w:hAnsi="Arial" w:cs="Arial"/>
          <w:b/>
          <w:color w:val="004B87"/>
        </w:rPr>
        <w:t xml:space="preserve">Προσαρμοσμένα Καθαρά Κέρδη σε μετόχους της </w:t>
      </w:r>
      <w:r w:rsidR="00CC0E4F">
        <w:rPr>
          <w:rFonts w:ascii="Arial" w:eastAsia="Times New Roman" w:hAnsi="Arial" w:cs="Arial"/>
          <w:b/>
          <w:color w:val="004B87"/>
        </w:rPr>
        <w:t>Ε</w:t>
      </w:r>
      <w:r w:rsidRPr="003C7A07">
        <w:rPr>
          <w:rFonts w:ascii="Arial" w:eastAsia="Times New Roman" w:hAnsi="Arial" w:cs="Arial"/>
          <w:b/>
          <w:color w:val="004B87"/>
        </w:rPr>
        <w:t>ταιρείας</w:t>
      </w:r>
    </w:p>
    <w:p w14:paraId="708D4207" w14:textId="53EFD559" w:rsidR="004119D9" w:rsidRPr="00235D33" w:rsidRDefault="009E285A" w:rsidP="00C77FF5">
      <w:pPr>
        <w:tabs>
          <w:tab w:val="left" w:pos="-993"/>
        </w:tabs>
        <w:autoSpaceDE w:val="0"/>
        <w:jc w:val="both"/>
        <w:rPr>
          <w:rFonts w:ascii="Arial" w:eastAsia="Times New Roman" w:hAnsi="Arial" w:cs="Arial"/>
        </w:rPr>
      </w:pPr>
      <w:r w:rsidRPr="001D7A36">
        <w:rPr>
          <w:rFonts w:ascii="Arial" w:eastAsia="Times New Roman" w:hAnsi="Arial" w:cs="Arial"/>
        </w:rPr>
        <w:t>Τα προσαρμοσμένα καθαρά κέρδη που κατανέμονται στους μετόχους της Εταιρείας διευκολύνουν στην ανάλυση της καθαρής κερδοφορίας του Ομίλου εξαιρουμένης της επίδρασης μη επαναλαμβανόμενων ή μη περιοδικών στοιχείων και στη σύγκριση των επιδόσεων σε σχέση με προηγούμενες περιόδους. Για την αντίστοιχη περίοδο του 202</w:t>
      </w:r>
      <w:r w:rsidR="00D969BC" w:rsidRPr="00D969BC">
        <w:rPr>
          <w:rFonts w:ascii="Arial" w:eastAsia="Times New Roman" w:hAnsi="Arial" w:cs="Arial"/>
        </w:rPr>
        <w:t>5</w:t>
      </w:r>
      <w:r w:rsidRPr="001D7A36">
        <w:rPr>
          <w:rFonts w:ascii="Arial" w:eastAsia="Times New Roman" w:hAnsi="Arial" w:cs="Arial"/>
        </w:rPr>
        <w:t xml:space="preserve"> και την συγκρινόμενη περίοδο του 202</w:t>
      </w:r>
      <w:r w:rsidR="00D969BC" w:rsidRPr="00D969BC">
        <w:rPr>
          <w:rFonts w:ascii="Arial" w:eastAsia="Times New Roman" w:hAnsi="Arial" w:cs="Arial"/>
        </w:rPr>
        <w:t>4</w:t>
      </w:r>
      <w:r w:rsidRPr="001D7A36">
        <w:rPr>
          <w:rFonts w:ascii="Arial" w:eastAsia="Times New Roman" w:hAnsi="Arial" w:cs="Arial"/>
        </w:rPr>
        <w:t xml:space="preserve">, έχει ληφθεί υπόψη η </w:t>
      </w:r>
      <w:r w:rsidR="00C77FF5" w:rsidRPr="00CF38DC">
        <w:rPr>
          <w:rFonts w:ascii="Arial" w:eastAsia="Times New Roman" w:hAnsi="Arial" w:cs="Arial"/>
        </w:rPr>
        <w:t>επίδραση από τα κόστη σχετιζόμενα με προγράμματα εθελούσιας αποχώρησης,</w:t>
      </w:r>
      <w:r w:rsidR="006A0D71" w:rsidRPr="006A0D71">
        <w:rPr>
          <w:rFonts w:ascii="Arial" w:eastAsia="Times New Roman" w:hAnsi="Arial" w:cs="Arial"/>
        </w:rPr>
        <w:t xml:space="preserve"> (κέρδη) / ζημιά από πώληση θυγατρικών, αντιστροφή πρόβλεψης που σχετίζεται με πώληση περιουσιακών στοιχείων, φορολογική επίδραση από τις </w:t>
      </w:r>
      <w:proofErr w:type="spellStart"/>
      <w:r w:rsidR="006A0D71" w:rsidRPr="006A0D71">
        <w:rPr>
          <w:rFonts w:ascii="Arial" w:eastAsia="Times New Roman" w:hAnsi="Arial" w:cs="Arial"/>
        </w:rPr>
        <w:t>εκπιπτόμενες</w:t>
      </w:r>
      <w:proofErr w:type="spellEnd"/>
      <w:r w:rsidR="006A0D71" w:rsidRPr="006A0D71">
        <w:rPr>
          <w:rFonts w:ascii="Arial" w:eastAsia="Times New Roman" w:hAnsi="Arial" w:cs="Arial"/>
        </w:rPr>
        <w:t xml:space="preserve"> ζημιές συμμετοχών και </w:t>
      </w:r>
      <w:r w:rsidR="00C77FF5" w:rsidRPr="00CF38DC">
        <w:rPr>
          <w:rFonts w:ascii="Arial" w:eastAsia="Times New Roman" w:hAnsi="Arial" w:cs="Arial"/>
        </w:rPr>
        <w:t>λοιπά έξοδα αναδιοργάνωση</w:t>
      </w:r>
      <w:r w:rsidR="00CF38DC">
        <w:rPr>
          <w:rFonts w:ascii="Arial" w:eastAsia="Times New Roman" w:hAnsi="Arial" w:cs="Arial"/>
        </w:rPr>
        <w:t>ς.</w:t>
      </w:r>
    </w:p>
    <w:p w14:paraId="7F8008E8" w14:textId="77777777" w:rsidR="00887009" w:rsidRDefault="00887009" w:rsidP="00887009">
      <w:pPr>
        <w:spacing w:after="0" w:line="240" w:lineRule="auto"/>
        <w:jc w:val="both"/>
        <w:rPr>
          <w:rFonts w:ascii="Arial" w:eastAsia="Times New Roman" w:hAnsi="Arial" w:cs="Arial"/>
          <w:b/>
          <w:color w:val="004B87"/>
        </w:rPr>
      </w:pPr>
    </w:p>
    <w:p w14:paraId="6B13661D" w14:textId="2509A628" w:rsidR="00203138" w:rsidRPr="00FB20CB" w:rsidRDefault="00887009" w:rsidP="0070249D">
      <w:pPr>
        <w:pStyle w:val="Caption"/>
        <w:keepNext/>
        <w:rPr>
          <w:rFonts w:cs="Arial"/>
          <w:lang w:val="el-GR"/>
        </w:rPr>
      </w:pPr>
      <w:r w:rsidRPr="00FB20CB">
        <w:rPr>
          <w:rFonts w:cs="Arial"/>
          <w:lang w:val="el-GR"/>
        </w:rPr>
        <w:t>Προσαρμοσμένα Καθαρά Κέρδη σε μετόχους της Εταιρείας</w:t>
      </w:r>
    </w:p>
    <w:tbl>
      <w:tblPr>
        <w:tblStyle w:val="TableGrid"/>
        <w:tblW w:w="10492" w:type="dxa"/>
        <w:tblBorders>
          <w:top w:val="single" w:sz="2" w:space="0" w:color="BFBFBF" w:themeColor="background1" w:themeShade="BF"/>
          <w:left w:val="none" w:sz="0" w:space="0" w:color="auto"/>
          <w:bottom w:val="single" w:sz="2" w:space="0" w:color="BFBFBF" w:themeColor="background1" w:themeShade="BF"/>
          <w:right w:val="none" w:sz="0" w:space="0" w:color="auto"/>
          <w:insideH w:val="single" w:sz="2" w:space="0" w:color="BFBFBF" w:themeColor="background1" w:themeShade="BF"/>
          <w:insideV w:val="single" w:sz="2" w:space="0" w:color="BFBFBF" w:themeColor="background1" w:themeShade="BF"/>
        </w:tblBorders>
        <w:tblLook w:val="04A0" w:firstRow="1" w:lastRow="0" w:firstColumn="1" w:lastColumn="0" w:noHBand="0" w:noVBand="1"/>
      </w:tblPr>
      <w:tblGrid>
        <w:gridCol w:w="4764"/>
        <w:gridCol w:w="1431"/>
        <w:gridCol w:w="1431"/>
        <w:gridCol w:w="1433"/>
        <w:gridCol w:w="1433"/>
      </w:tblGrid>
      <w:tr w:rsidR="0070249D" w14:paraId="10CD6007" w14:textId="77777777" w:rsidTr="0070249D">
        <w:trPr>
          <w:trHeight w:val="374"/>
          <w:tblHeader/>
        </w:trPr>
        <w:tc>
          <w:tcPr>
            <w:tcW w:w="4764" w:type="dxa"/>
            <w:tcBorders>
              <w:bottom w:val="single" w:sz="2" w:space="0" w:color="BFBFBF" w:themeColor="background1" w:themeShade="BF"/>
            </w:tcBorders>
            <w:vAlign w:val="center"/>
          </w:tcPr>
          <w:p w14:paraId="20FE4DBC" w14:textId="65B9EA25" w:rsidR="0070249D" w:rsidRPr="00FB20CB" w:rsidRDefault="0070249D" w:rsidP="0070249D">
            <w:pPr>
              <w:jc w:val="both"/>
              <w:rPr>
                <w:rFonts w:ascii="Arial" w:hAnsi="Arial" w:cs="Arial"/>
                <w:b/>
                <w:color w:val="000000"/>
                <w:szCs w:val="22"/>
                <w:lang w:val="el-GR" w:eastAsia="el-GR"/>
              </w:rPr>
            </w:pPr>
            <w:proofErr w:type="spellStart"/>
            <w:r w:rsidRPr="0042272D">
              <w:rPr>
                <w:rFonts w:ascii="Arial" w:hAnsi="Arial" w:cs="Arial"/>
                <w:b/>
                <w:sz w:val="18"/>
                <w:szCs w:val="18"/>
              </w:rPr>
              <w:t>Όμιλος</w:t>
            </w:r>
            <w:proofErr w:type="spellEnd"/>
            <w:r w:rsidRPr="0042272D">
              <w:rPr>
                <w:rFonts w:ascii="Arial" w:hAnsi="Arial" w:cs="Arial"/>
                <w:b/>
                <w:sz w:val="18"/>
                <w:szCs w:val="18"/>
              </w:rPr>
              <w:t xml:space="preserve"> ΟΤΕ (</w:t>
            </w:r>
            <w:proofErr w:type="spellStart"/>
            <w:r w:rsidRPr="0042272D">
              <w:rPr>
                <w:rFonts w:ascii="Arial" w:hAnsi="Arial" w:cs="Arial"/>
                <w:b/>
                <w:sz w:val="18"/>
                <w:szCs w:val="18"/>
              </w:rPr>
              <w:t>Ευρώ</w:t>
            </w:r>
            <w:proofErr w:type="spellEnd"/>
            <w:r w:rsidRPr="0042272D">
              <w:rPr>
                <w:rFonts w:ascii="Arial" w:hAnsi="Arial" w:cs="Arial"/>
                <w:b/>
                <w:sz w:val="18"/>
                <w:szCs w:val="18"/>
              </w:rPr>
              <w:t xml:space="preserve"> </w:t>
            </w:r>
            <w:proofErr w:type="spellStart"/>
            <w:r w:rsidRPr="0042272D">
              <w:rPr>
                <w:rFonts w:ascii="Arial" w:hAnsi="Arial" w:cs="Arial"/>
                <w:b/>
                <w:sz w:val="18"/>
                <w:szCs w:val="18"/>
              </w:rPr>
              <w:t>εκ</w:t>
            </w:r>
            <w:proofErr w:type="spellEnd"/>
            <w:r w:rsidRPr="0042272D">
              <w:rPr>
                <w:rFonts w:ascii="Arial" w:hAnsi="Arial" w:cs="Arial"/>
                <w:b/>
                <w:sz w:val="18"/>
                <w:szCs w:val="18"/>
              </w:rPr>
              <w:t>ατ.)</w:t>
            </w:r>
            <w:r w:rsidRPr="0042272D">
              <w:rPr>
                <w:rFonts w:ascii="Arial" w:hAnsi="Arial" w:cs="Arial"/>
                <w:b/>
                <w:sz w:val="18"/>
                <w:szCs w:val="18"/>
                <w:lang w:val="el-GR"/>
              </w:rPr>
              <w:t xml:space="preserve"> </w:t>
            </w:r>
          </w:p>
        </w:tc>
        <w:tc>
          <w:tcPr>
            <w:tcW w:w="1431" w:type="dxa"/>
            <w:tcBorders>
              <w:bottom w:val="single" w:sz="2" w:space="0" w:color="BFBFBF" w:themeColor="background1" w:themeShade="BF"/>
              <w:right w:val="nil"/>
            </w:tcBorders>
            <w:vAlign w:val="center"/>
          </w:tcPr>
          <w:p w14:paraId="56F8D819" w14:textId="77777777" w:rsidR="0070249D" w:rsidRPr="00FB20CB" w:rsidRDefault="0070249D" w:rsidP="0070249D">
            <w:pPr>
              <w:jc w:val="center"/>
              <w:rPr>
                <w:rFonts w:ascii="Arial" w:hAnsi="Arial" w:cs="Arial"/>
                <w:b/>
                <w:color w:val="000000"/>
                <w:szCs w:val="22"/>
                <w:lang w:val="el-GR" w:eastAsia="el-GR"/>
              </w:rPr>
            </w:pPr>
            <w:r w:rsidRPr="00047C99">
              <w:rPr>
                <w:rFonts w:ascii="Arial" w:hAnsi="Arial" w:cs="Arial"/>
                <w:b/>
                <w:sz w:val="18"/>
              </w:rPr>
              <w:t>Q</w:t>
            </w:r>
            <w:r>
              <w:rPr>
                <w:rFonts w:ascii="Arial" w:hAnsi="Arial" w:cs="Arial"/>
                <w:b/>
                <w:sz w:val="18"/>
              </w:rPr>
              <w:t>3</w:t>
            </w:r>
            <w:r w:rsidRPr="00047C99">
              <w:rPr>
                <w:rFonts w:ascii="Arial" w:hAnsi="Arial" w:cs="Arial"/>
                <w:b/>
                <w:sz w:val="18"/>
              </w:rPr>
              <w:t>'25</w:t>
            </w:r>
          </w:p>
        </w:tc>
        <w:tc>
          <w:tcPr>
            <w:tcW w:w="1431" w:type="dxa"/>
            <w:tcBorders>
              <w:left w:val="nil"/>
              <w:bottom w:val="single" w:sz="2" w:space="0" w:color="BFBFBF" w:themeColor="background1" w:themeShade="BF"/>
            </w:tcBorders>
            <w:vAlign w:val="center"/>
          </w:tcPr>
          <w:p w14:paraId="238716C4" w14:textId="77777777" w:rsidR="0070249D" w:rsidRPr="00FB20CB" w:rsidRDefault="0070249D" w:rsidP="0070249D">
            <w:pPr>
              <w:jc w:val="center"/>
              <w:rPr>
                <w:rFonts w:ascii="Arial" w:hAnsi="Arial" w:cs="Arial"/>
                <w:b/>
                <w:color w:val="000000"/>
                <w:szCs w:val="22"/>
                <w:lang w:val="el-GR" w:eastAsia="el-GR"/>
              </w:rPr>
            </w:pPr>
            <w:r w:rsidRPr="00047C99">
              <w:rPr>
                <w:rFonts w:ascii="Arial" w:hAnsi="Arial" w:cs="Arial"/>
                <w:b/>
                <w:sz w:val="18"/>
              </w:rPr>
              <w:t>Q</w:t>
            </w:r>
            <w:r>
              <w:rPr>
                <w:rFonts w:ascii="Arial" w:hAnsi="Arial" w:cs="Arial"/>
                <w:b/>
                <w:sz w:val="18"/>
              </w:rPr>
              <w:t>3</w:t>
            </w:r>
            <w:r w:rsidRPr="00047C99">
              <w:rPr>
                <w:rFonts w:ascii="Arial" w:hAnsi="Arial" w:cs="Arial"/>
                <w:b/>
                <w:sz w:val="18"/>
              </w:rPr>
              <w:t>'24</w:t>
            </w:r>
          </w:p>
        </w:tc>
        <w:tc>
          <w:tcPr>
            <w:tcW w:w="1433" w:type="dxa"/>
            <w:tcBorders>
              <w:bottom w:val="single" w:sz="2" w:space="0" w:color="BFBFBF" w:themeColor="background1" w:themeShade="BF"/>
              <w:right w:val="nil"/>
            </w:tcBorders>
            <w:vAlign w:val="center"/>
          </w:tcPr>
          <w:p w14:paraId="10813552" w14:textId="77777777" w:rsidR="0070249D" w:rsidRPr="00FB20CB" w:rsidRDefault="0070249D" w:rsidP="0070249D">
            <w:pPr>
              <w:jc w:val="center"/>
              <w:rPr>
                <w:rFonts w:ascii="Arial" w:hAnsi="Arial" w:cs="Arial"/>
                <w:b/>
                <w:color w:val="000000"/>
                <w:szCs w:val="22"/>
                <w:lang w:val="el-GR" w:eastAsia="el-GR"/>
              </w:rPr>
            </w:pPr>
            <w:r>
              <w:rPr>
                <w:rFonts w:ascii="Arial" w:hAnsi="Arial" w:cs="Arial"/>
                <w:b/>
                <w:sz w:val="18"/>
              </w:rPr>
              <w:t>9</w:t>
            </w:r>
            <w:r w:rsidRPr="00214FE3">
              <w:rPr>
                <w:rFonts w:ascii="Arial" w:hAnsi="Arial" w:cs="Arial"/>
                <w:b/>
                <w:sz w:val="18"/>
              </w:rPr>
              <w:t>M'25</w:t>
            </w:r>
          </w:p>
        </w:tc>
        <w:tc>
          <w:tcPr>
            <w:tcW w:w="1433" w:type="dxa"/>
            <w:tcBorders>
              <w:left w:val="nil"/>
              <w:bottom w:val="single" w:sz="2" w:space="0" w:color="BFBFBF" w:themeColor="background1" w:themeShade="BF"/>
            </w:tcBorders>
            <w:vAlign w:val="center"/>
          </w:tcPr>
          <w:p w14:paraId="47E755A4" w14:textId="77777777" w:rsidR="0070249D" w:rsidRPr="00FB20CB" w:rsidRDefault="0070249D" w:rsidP="0070249D">
            <w:pPr>
              <w:jc w:val="center"/>
              <w:rPr>
                <w:rFonts w:ascii="Arial" w:hAnsi="Arial" w:cs="Arial"/>
                <w:b/>
                <w:color w:val="000000"/>
                <w:szCs w:val="22"/>
                <w:lang w:val="el-GR" w:eastAsia="el-GR"/>
              </w:rPr>
            </w:pPr>
            <w:r>
              <w:rPr>
                <w:rFonts w:ascii="Arial" w:hAnsi="Arial" w:cs="Arial"/>
                <w:b/>
                <w:sz w:val="18"/>
              </w:rPr>
              <w:t>9</w:t>
            </w:r>
            <w:r w:rsidRPr="00214FE3">
              <w:rPr>
                <w:rFonts w:ascii="Arial" w:hAnsi="Arial" w:cs="Arial"/>
                <w:b/>
                <w:sz w:val="18"/>
              </w:rPr>
              <w:t>M’24</w:t>
            </w:r>
          </w:p>
        </w:tc>
      </w:tr>
      <w:tr w:rsidR="0070249D" w14:paraId="0B806EE3" w14:textId="77777777" w:rsidTr="0070249D">
        <w:trPr>
          <w:trHeight w:val="316"/>
        </w:trPr>
        <w:tc>
          <w:tcPr>
            <w:tcW w:w="4764" w:type="dxa"/>
            <w:tcBorders>
              <w:bottom w:val="nil"/>
            </w:tcBorders>
            <w:vAlign w:val="center"/>
          </w:tcPr>
          <w:p w14:paraId="31E9B227" w14:textId="263D345F" w:rsidR="0070249D" w:rsidRPr="00FB20CB" w:rsidRDefault="0070249D" w:rsidP="0070249D">
            <w:pPr>
              <w:jc w:val="both"/>
              <w:rPr>
                <w:rFonts w:ascii="Arial" w:hAnsi="Arial" w:cs="Arial"/>
                <w:color w:val="000000"/>
                <w:szCs w:val="22"/>
                <w:lang w:val="el-GR" w:eastAsia="el-GR"/>
              </w:rPr>
            </w:pPr>
            <w:r w:rsidRPr="0042272D">
              <w:rPr>
                <w:rFonts w:ascii="Arial" w:hAnsi="Arial" w:cs="Arial"/>
                <w:b/>
                <w:sz w:val="18"/>
                <w:szCs w:val="18"/>
                <w:lang w:val="el-GR"/>
              </w:rPr>
              <w:t>Καθαρά κέρδη  σε μετόχους της Εταιρείας</w:t>
            </w:r>
            <w:r w:rsidR="00A5550D" w:rsidRPr="00A5550D">
              <w:rPr>
                <w:rFonts w:ascii="Arial" w:hAnsi="Arial" w:cs="Arial"/>
                <w:b/>
                <w:sz w:val="18"/>
                <w:szCs w:val="18"/>
                <w:lang w:val="el-GR"/>
              </w:rPr>
              <w:t xml:space="preserve"> </w:t>
            </w:r>
            <w:r w:rsidR="00A5550D">
              <w:rPr>
                <w:rFonts w:ascii="Arial" w:hAnsi="Arial" w:cs="Arial"/>
                <w:b/>
                <w:sz w:val="18"/>
                <w:szCs w:val="18"/>
                <w:lang w:val="el-GR"/>
              </w:rPr>
              <w:t>από συνεχιζόμενες δραστηριότητες</w:t>
            </w:r>
          </w:p>
        </w:tc>
        <w:tc>
          <w:tcPr>
            <w:tcW w:w="1431" w:type="dxa"/>
            <w:tcBorders>
              <w:bottom w:val="nil"/>
              <w:right w:val="nil"/>
            </w:tcBorders>
            <w:vAlign w:val="bottom"/>
          </w:tcPr>
          <w:p w14:paraId="6D645230" w14:textId="1FDC650B" w:rsidR="0070249D" w:rsidRPr="00F6364C" w:rsidRDefault="0070249D" w:rsidP="0070249D">
            <w:pPr>
              <w:jc w:val="center"/>
              <w:rPr>
                <w:rFonts w:ascii="Arial" w:hAnsi="Arial" w:cs="Arial"/>
                <w:color w:val="000000" w:themeColor="text1"/>
                <w:sz w:val="18"/>
                <w:szCs w:val="18"/>
              </w:rPr>
            </w:pPr>
            <w:r w:rsidRPr="00F6364C">
              <w:rPr>
                <w:rFonts w:ascii="Arial" w:hAnsi="Arial" w:cs="Arial"/>
                <w:color w:val="000000" w:themeColor="text1"/>
                <w:sz w:val="18"/>
                <w:szCs w:val="18"/>
              </w:rPr>
              <w:t>271</w:t>
            </w:r>
            <w:r w:rsidR="00CB2279">
              <w:rPr>
                <w:rFonts w:ascii="Arial" w:hAnsi="Arial" w:cs="Arial"/>
                <w:color w:val="000000" w:themeColor="text1"/>
                <w:sz w:val="18"/>
                <w:szCs w:val="18"/>
              </w:rPr>
              <w:t>,</w:t>
            </w:r>
            <w:r w:rsidRPr="00F6364C">
              <w:rPr>
                <w:rFonts w:ascii="Arial" w:hAnsi="Arial" w:cs="Arial"/>
                <w:color w:val="000000" w:themeColor="text1"/>
                <w:sz w:val="18"/>
                <w:szCs w:val="18"/>
              </w:rPr>
              <w:t xml:space="preserve">5 </w:t>
            </w:r>
          </w:p>
        </w:tc>
        <w:tc>
          <w:tcPr>
            <w:tcW w:w="1431" w:type="dxa"/>
            <w:tcBorders>
              <w:left w:val="nil"/>
              <w:bottom w:val="nil"/>
            </w:tcBorders>
            <w:vAlign w:val="bottom"/>
          </w:tcPr>
          <w:p w14:paraId="3CB1FB57" w14:textId="2B23DC36" w:rsidR="0070249D" w:rsidRPr="00F6364C" w:rsidRDefault="0070249D" w:rsidP="0070249D">
            <w:pPr>
              <w:jc w:val="center"/>
              <w:rPr>
                <w:rFonts w:ascii="Arial" w:hAnsi="Arial" w:cs="Arial"/>
                <w:color w:val="000000" w:themeColor="text1"/>
                <w:sz w:val="18"/>
                <w:szCs w:val="18"/>
              </w:rPr>
            </w:pPr>
            <w:r w:rsidRPr="00F6364C">
              <w:rPr>
                <w:rFonts w:ascii="Arial" w:hAnsi="Arial" w:cs="Arial"/>
                <w:color w:val="000000" w:themeColor="text1"/>
                <w:sz w:val="18"/>
                <w:szCs w:val="18"/>
              </w:rPr>
              <w:t>199</w:t>
            </w:r>
            <w:r w:rsidR="00CB2279">
              <w:rPr>
                <w:rFonts w:ascii="Arial" w:hAnsi="Arial" w:cs="Arial"/>
                <w:color w:val="000000" w:themeColor="text1"/>
                <w:sz w:val="18"/>
                <w:szCs w:val="18"/>
              </w:rPr>
              <w:t>,</w:t>
            </w:r>
            <w:r w:rsidRPr="00F6364C">
              <w:rPr>
                <w:rFonts w:ascii="Arial" w:hAnsi="Arial" w:cs="Arial"/>
                <w:color w:val="000000" w:themeColor="text1"/>
                <w:sz w:val="18"/>
                <w:szCs w:val="18"/>
              </w:rPr>
              <w:t xml:space="preserve">6 </w:t>
            </w:r>
          </w:p>
        </w:tc>
        <w:tc>
          <w:tcPr>
            <w:tcW w:w="1433" w:type="dxa"/>
            <w:tcBorders>
              <w:bottom w:val="nil"/>
              <w:right w:val="nil"/>
            </w:tcBorders>
            <w:vAlign w:val="bottom"/>
          </w:tcPr>
          <w:p w14:paraId="130414D8" w14:textId="060311FF" w:rsidR="0070249D" w:rsidRPr="00CC3C57" w:rsidRDefault="0070249D" w:rsidP="0070249D">
            <w:pPr>
              <w:jc w:val="center"/>
              <w:rPr>
                <w:rFonts w:ascii="Arial" w:hAnsi="Arial" w:cs="Arial"/>
                <w:color w:val="000000" w:themeColor="text1"/>
                <w:sz w:val="18"/>
                <w:szCs w:val="18"/>
              </w:rPr>
            </w:pPr>
            <w:r w:rsidRPr="00CC3C57">
              <w:rPr>
                <w:rFonts w:ascii="Arial" w:hAnsi="Arial" w:cs="Arial"/>
                <w:color w:val="000000" w:themeColor="text1"/>
                <w:sz w:val="18"/>
                <w:szCs w:val="18"/>
              </w:rPr>
              <w:t>552</w:t>
            </w:r>
            <w:r w:rsidR="00CB2279">
              <w:rPr>
                <w:rFonts w:ascii="Arial" w:hAnsi="Arial" w:cs="Arial"/>
                <w:color w:val="000000" w:themeColor="text1"/>
                <w:sz w:val="18"/>
                <w:szCs w:val="18"/>
              </w:rPr>
              <w:t>,</w:t>
            </w:r>
            <w:r w:rsidRPr="00CC3C57">
              <w:rPr>
                <w:rFonts w:ascii="Arial" w:hAnsi="Arial" w:cs="Arial"/>
                <w:color w:val="000000" w:themeColor="text1"/>
                <w:sz w:val="18"/>
                <w:szCs w:val="18"/>
              </w:rPr>
              <w:t xml:space="preserve">5 </w:t>
            </w:r>
          </w:p>
        </w:tc>
        <w:tc>
          <w:tcPr>
            <w:tcW w:w="1433" w:type="dxa"/>
            <w:tcBorders>
              <w:left w:val="nil"/>
              <w:bottom w:val="nil"/>
            </w:tcBorders>
            <w:vAlign w:val="bottom"/>
          </w:tcPr>
          <w:p w14:paraId="1EA06CF3" w14:textId="35898D7C" w:rsidR="0070249D" w:rsidRPr="00CC3C57" w:rsidRDefault="0070249D" w:rsidP="0070249D">
            <w:pPr>
              <w:jc w:val="center"/>
              <w:rPr>
                <w:rFonts w:ascii="Arial" w:hAnsi="Arial" w:cs="Arial"/>
                <w:color w:val="000000" w:themeColor="text1"/>
                <w:sz w:val="18"/>
                <w:szCs w:val="18"/>
              </w:rPr>
            </w:pPr>
            <w:r w:rsidRPr="00CC3C57">
              <w:rPr>
                <w:rFonts w:ascii="Arial" w:hAnsi="Arial" w:cs="Arial"/>
                <w:color w:val="000000" w:themeColor="text1"/>
                <w:sz w:val="18"/>
                <w:szCs w:val="18"/>
              </w:rPr>
              <w:t>462</w:t>
            </w:r>
            <w:r w:rsidR="00CB2279">
              <w:rPr>
                <w:rFonts w:ascii="Arial" w:hAnsi="Arial" w:cs="Arial"/>
                <w:color w:val="000000" w:themeColor="text1"/>
                <w:sz w:val="18"/>
                <w:szCs w:val="18"/>
              </w:rPr>
              <w:t>,</w:t>
            </w:r>
            <w:r w:rsidRPr="00CC3C57">
              <w:rPr>
                <w:rFonts w:ascii="Arial" w:hAnsi="Arial" w:cs="Arial"/>
                <w:color w:val="000000" w:themeColor="text1"/>
                <w:sz w:val="18"/>
                <w:szCs w:val="18"/>
              </w:rPr>
              <w:t xml:space="preserve">5 </w:t>
            </w:r>
          </w:p>
        </w:tc>
      </w:tr>
      <w:tr w:rsidR="0070249D" w14:paraId="166C2786" w14:textId="77777777" w:rsidTr="0070249D">
        <w:trPr>
          <w:trHeight w:val="316"/>
        </w:trPr>
        <w:tc>
          <w:tcPr>
            <w:tcW w:w="4764" w:type="dxa"/>
            <w:tcBorders>
              <w:top w:val="nil"/>
              <w:bottom w:val="nil"/>
            </w:tcBorders>
            <w:vAlign w:val="center"/>
          </w:tcPr>
          <w:p w14:paraId="592AAE50" w14:textId="7AC8E9CE" w:rsidR="0070249D" w:rsidRPr="00FB20CB" w:rsidRDefault="0070249D" w:rsidP="009C0DB5">
            <w:pPr>
              <w:jc w:val="both"/>
              <w:rPr>
                <w:rFonts w:ascii="Arial" w:hAnsi="Arial" w:cs="Arial"/>
                <w:color w:val="000000"/>
                <w:szCs w:val="22"/>
                <w:lang w:val="el-GR" w:eastAsia="el-GR"/>
              </w:rPr>
            </w:pPr>
            <w:r w:rsidRPr="0042272D">
              <w:rPr>
                <w:rFonts w:ascii="Arial" w:hAnsi="Arial" w:cs="Arial"/>
                <w:sz w:val="18"/>
                <w:szCs w:val="18"/>
                <w:lang w:val="el-GR"/>
              </w:rPr>
              <w:t>Κόστη σχετιζόμενα με προγράμματα εθελούσιας αποχώρησης</w:t>
            </w:r>
          </w:p>
        </w:tc>
        <w:tc>
          <w:tcPr>
            <w:tcW w:w="1431" w:type="dxa"/>
            <w:tcBorders>
              <w:top w:val="nil"/>
              <w:bottom w:val="nil"/>
              <w:right w:val="nil"/>
            </w:tcBorders>
            <w:vAlign w:val="bottom"/>
          </w:tcPr>
          <w:p w14:paraId="556E2793" w14:textId="683D4A30" w:rsidR="0070249D" w:rsidRPr="00CC3C57" w:rsidRDefault="0070249D" w:rsidP="009C0DB5">
            <w:pPr>
              <w:jc w:val="center"/>
              <w:rPr>
                <w:rFonts w:ascii="Arial" w:hAnsi="Arial" w:cs="Arial"/>
                <w:color w:val="000000" w:themeColor="text1"/>
                <w:sz w:val="18"/>
                <w:szCs w:val="18"/>
              </w:rPr>
            </w:pPr>
            <w:r w:rsidRPr="00CC3C57">
              <w:rPr>
                <w:rFonts w:ascii="Arial" w:hAnsi="Arial" w:cs="Arial"/>
                <w:color w:val="000000" w:themeColor="text1"/>
                <w:sz w:val="18"/>
                <w:szCs w:val="18"/>
              </w:rPr>
              <w:t>3</w:t>
            </w:r>
            <w:r w:rsidR="00CB2279">
              <w:rPr>
                <w:rFonts w:ascii="Arial" w:hAnsi="Arial" w:cs="Arial"/>
                <w:color w:val="000000" w:themeColor="text1"/>
                <w:sz w:val="18"/>
                <w:szCs w:val="18"/>
              </w:rPr>
              <w:t>,</w:t>
            </w:r>
            <w:r>
              <w:rPr>
                <w:rFonts w:ascii="Arial" w:hAnsi="Arial" w:cs="Arial"/>
                <w:color w:val="000000" w:themeColor="text1"/>
                <w:sz w:val="18"/>
                <w:szCs w:val="18"/>
              </w:rPr>
              <w:t>0</w:t>
            </w:r>
          </w:p>
        </w:tc>
        <w:tc>
          <w:tcPr>
            <w:tcW w:w="1431" w:type="dxa"/>
            <w:tcBorders>
              <w:top w:val="nil"/>
              <w:left w:val="nil"/>
              <w:bottom w:val="nil"/>
            </w:tcBorders>
            <w:vAlign w:val="bottom"/>
          </w:tcPr>
          <w:p w14:paraId="7DF11D8C" w14:textId="3BADECD7" w:rsidR="0070249D" w:rsidRPr="00CC3C57" w:rsidRDefault="0070249D" w:rsidP="009C0DB5">
            <w:pPr>
              <w:jc w:val="center"/>
              <w:rPr>
                <w:rFonts w:ascii="Arial" w:hAnsi="Arial" w:cs="Arial"/>
                <w:color w:val="000000" w:themeColor="text1"/>
                <w:sz w:val="18"/>
                <w:szCs w:val="18"/>
              </w:rPr>
            </w:pPr>
            <w:r w:rsidRPr="00CC3C57">
              <w:rPr>
                <w:rFonts w:ascii="Arial" w:hAnsi="Arial" w:cs="Arial"/>
                <w:color w:val="000000" w:themeColor="text1"/>
                <w:sz w:val="18"/>
                <w:szCs w:val="18"/>
              </w:rPr>
              <w:t>2</w:t>
            </w:r>
            <w:r w:rsidR="00CB2279">
              <w:rPr>
                <w:rFonts w:ascii="Arial" w:hAnsi="Arial" w:cs="Arial"/>
                <w:color w:val="000000" w:themeColor="text1"/>
                <w:sz w:val="18"/>
                <w:szCs w:val="18"/>
              </w:rPr>
              <w:t>,</w:t>
            </w:r>
            <w:r>
              <w:rPr>
                <w:rFonts w:ascii="Arial" w:hAnsi="Arial" w:cs="Arial"/>
                <w:color w:val="000000" w:themeColor="text1"/>
                <w:sz w:val="18"/>
                <w:szCs w:val="18"/>
              </w:rPr>
              <w:t>0</w:t>
            </w:r>
          </w:p>
        </w:tc>
        <w:tc>
          <w:tcPr>
            <w:tcW w:w="1433" w:type="dxa"/>
            <w:tcBorders>
              <w:top w:val="nil"/>
              <w:bottom w:val="nil"/>
              <w:right w:val="nil"/>
            </w:tcBorders>
            <w:vAlign w:val="bottom"/>
          </w:tcPr>
          <w:p w14:paraId="26077A53" w14:textId="0236CAB6" w:rsidR="0070249D" w:rsidRPr="00CC3C57" w:rsidRDefault="0070249D" w:rsidP="009C0DB5">
            <w:pPr>
              <w:jc w:val="center"/>
              <w:rPr>
                <w:rFonts w:ascii="Arial" w:hAnsi="Arial" w:cs="Arial"/>
                <w:color w:val="000000" w:themeColor="text1"/>
                <w:sz w:val="18"/>
                <w:szCs w:val="18"/>
              </w:rPr>
            </w:pPr>
            <w:r w:rsidRPr="00CC3C57">
              <w:rPr>
                <w:rFonts w:ascii="Arial" w:hAnsi="Arial" w:cs="Arial"/>
                <w:color w:val="000000" w:themeColor="text1"/>
                <w:sz w:val="18"/>
                <w:szCs w:val="18"/>
              </w:rPr>
              <w:t>2</w:t>
            </w:r>
            <w:r>
              <w:rPr>
                <w:rFonts w:ascii="Arial" w:hAnsi="Arial" w:cs="Arial"/>
                <w:color w:val="000000" w:themeColor="text1"/>
                <w:sz w:val="18"/>
                <w:szCs w:val="18"/>
              </w:rPr>
              <w:t>1</w:t>
            </w:r>
            <w:r w:rsidR="00CB2279">
              <w:rPr>
                <w:rFonts w:ascii="Arial" w:hAnsi="Arial" w:cs="Arial"/>
                <w:color w:val="000000" w:themeColor="text1"/>
                <w:sz w:val="18"/>
                <w:szCs w:val="18"/>
              </w:rPr>
              <w:t>,</w:t>
            </w:r>
            <w:r>
              <w:rPr>
                <w:rFonts w:ascii="Arial" w:hAnsi="Arial" w:cs="Arial"/>
                <w:color w:val="000000" w:themeColor="text1"/>
                <w:sz w:val="18"/>
                <w:szCs w:val="18"/>
              </w:rPr>
              <w:t>4</w:t>
            </w:r>
          </w:p>
        </w:tc>
        <w:tc>
          <w:tcPr>
            <w:tcW w:w="1433" w:type="dxa"/>
            <w:tcBorders>
              <w:top w:val="nil"/>
              <w:left w:val="nil"/>
              <w:bottom w:val="nil"/>
            </w:tcBorders>
            <w:vAlign w:val="bottom"/>
          </w:tcPr>
          <w:p w14:paraId="07EC7C60" w14:textId="4C6CB769" w:rsidR="0070249D" w:rsidRPr="00CC3C57" w:rsidRDefault="0070249D" w:rsidP="009C0DB5">
            <w:pPr>
              <w:jc w:val="center"/>
              <w:rPr>
                <w:rFonts w:ascii="Arial" w:hAnsi="Arial" w:cs="Arial"/>
                <w:color w:val="000000" w:themeColor="text1"/>
                <w:sz w:val="18"/>
                <w:szCs w:val="18"/>
              </w:rPr>
            </w:pPr>
            <w:r>
              <w:rPr>
                <w:rFonts w:ascii="Arial" w:hAnsi="Arial" w:cs="Arial"/>
                <w:color w:val="000000" w:themeColor="text1"/>
                <w:sz w:val="18"/>
                <w:szCs w:val="18"/>
              </w:rPr>
              <w:t>24</w:t>
            </w:r>
            <w:r w:rsidR="00CB2279">
              <w:rPr>
                <w:rFonts w:ascii="Arial" w:hAnsi="Arial" w:cs="Arial"/>
                <w:color w:val="000000" w:themeColor="text1"/>
                <w:sz w:val="18"/>
                <w:szCs w:val="18"/>
              </w:rPr>
              <w:t>,</w:t>
            </w:r>
            <w:r>
              <w:rPr>
                <w:rFonts w:ascii="Arial" w:hAnsi="Arial" w:cs="Arial"/>
                <w:color w:val="000000" w:themeColor="text1"/>
                <w:sz w:val="18"/>
                <w:szCs w:val="18"/>
              </w:rPr>
              <w:t>3</w:t>
            </w:r>
          </w:p>
        </w:tc>
      </w:tr>
      <w:tr w:rsidR="0070249D" w14:paraId="75A54DB0" w14:textId="77777777" w:rsidTr="0070249D">
        <w:trPr>
          <w:trHeight w:val="316"/>
        </w:trPr>
        <w:tc>
          <w:tcPr>
            <w:tcW w:w="4764" w:type="dxa"/>
            <w:tcBorders>
              <w:top w:val="nil"/>
              <w:bottom w:val="nil"/>
            </w:tcBorders>
            <w:vAlign w:val="center"/>
          </w:tcPr>
          <w:p w14:paraId="4E34FF71" w14:textId="359B3BF9" w:rsidR="0070249D" w:rsidRPr="00FB20CB" w:rsidRDefault="0070249D" w:rsidP="007B0433">
            <w:pPr>
              <w:pStyle w:val="Default"/>
              <w:jc w:val="both"/>
              <w:rPr>
                <w:rFonts w:ascii="Arial" w:hAnsi="Arial" w:cs="Arial"/>
                <w:szCs w:val="22"/>
                <w:lang w:val="el-GR"/>
              </w:rPr>
            </w:pPr>
            <w:r w:rsidRPr="00FB20CB">
              <w:rPr>
                <w:rFonts w:ascii="Arial" w:hAnsi="Arial" w:cs="Arial"/>
                <w:sz w:val="18"/>
                <w:szCs w:val="18"/>
                <w:lang w:val="el-GR"/>
              </w:rPr>
              <w:t xml:space="preserve">Ζημιά από την πώληση θυγατρικής </w:t>
            </w:r>
            <w:r w:rsidRPr="0070249D">
              <w:rPr>
                <w:rFonts w:ascii="Arial" w:hAnsi="Arial" w:cs="Arial"/>
                <w:sz w:val="18"/>
                <w:szCs w:val="18"/>
                <w:lang w:val="el-GR"/>
              </w:rPr>
              <w:t xml:space="preserve"> </w:t>
            </w:r>
          </w:p>
        </w:tc>
        <w:tc>
          <w:tcPr>
            <w:tcW w:w="1431" w:type="dxa"/>
            <w:tcBorders>
              <w:top w:val="nil"/>
              <w:bottom w:val="nil"/>
              <w:right w:val="nil"/>
            </w:tcBorders>
            <w:vAlign w:val="center"/>
          </w:tcPr>
          <w:p w14:paraId="623881FE" w14:textId="77777777" w:rsidR="0070249D" w:rsidRPr="001E2D88" w:rsidRDefault="0070249D" w:rsidP="009C0DB5">
            <w:pPr>
              <w:jc w:val="center"/>
              <w:rPr>
                <w:rFonts w:ascii="Arial" w:hAnsi="Arial" w:cs="Arial"/>
                <w:color w:val="000000" w:themeColor="text1"/>
                <w:sz w:val="18"/>
                <w:szCs w:val="18"/>
              </w:rPr>
            </w:pPr>
            <w:r>
              <w:rPr>
                <w:rFonts w:ascii="Arial" w:hAnsi="Arial" w:cs="Arial"/>
                <w:color w:val="000000" w:themeColor="text1"/>
                <w:sz w:val="18"/>
                <w:szCs w:val="18"/>
              </w:rPr>
              <w:t>-</w:t>
            </w:r>
          </w:p>
        </w:tc>
        <w:tc>
          <w:tcPr>
            <w:tcW w:w="1431" w:type="dxa"/>
            <w:tcBorders>
              <w:top w:val="nil"/>
              <w:left w:val="nil"/>
              <w:bottom w:val="nil"/>
            </w:tcBorders>
            <w:vAlign w:val="center"/>
          </w:tcPr>
          <w:p w14:paraId="2CDFD55A" w14:textId="02E94987" w:rsidR="0070249D" w:rsidRPr="001E2D88" w:rsidRDefault="0070249D" w:rsidP="009C0DB5">
            <w:pPr>
              <w:jc w:val="center"/>
              <w:rPr>
                <w:rFonts w:ascii="Arial" w:hAnsi="Arial" w:cs="Arial"/>
                <w:color w:val="000000" w:themeColor="text1"/>
                <w:sz w:val="18"/>
                <w:szCs w:val="18"/>
              </w:rPr>
            </w:pPr>
            <w:r w:rsidRPr="001E2D88">
              <w:rPr>
                <w:rFonts w:ascii="Arial" w:hAnsi="Arial" w:cs="Arial"/>
                <w:color w:val="000000" w:themeColor="text1"/>
                <w:sz w:val="18"/>
                <w:szCs w:val="18"/>
              </w:rPr>
              <w:t>1</w:t>
            </w:r>
            <w:r w:rsidR="00CB2279">
              <w:rPr>
                <w:rFonts w:ascii="Arial" w:hAnsi="Arial" w:cs="Arial"/>
                <w:color w:val="000000" w:themeColor="text1"/>
                <w:sz w:val="18"/>
                <w:szCs w:val="18"/>
              </w:rPr>
              <w:t>,</w:t>
            </w:r>
            <w:r w:rsidRPr="001E2D88">
              <w:rPr>
                <w:rFonts w:ascii="Arial" w:hAnsi="Arial" w:cs="Arial"/>
                <w:color w:val="000000" w:themeColor="text1"/>
                <w:sz w:val="18"/>
                <w:szCs w:val="18"/>
              </w:rPr>
              <w:t>9</w:t>
            </w:r>
          </w:p>
        </w:tc>
        <w:tc>
          <w:tcPr>
            <w:tcW w:w="1433" w:type="dxa"/>
            <w:tcBorders>
              <w:top w:val="nil"/>
              <w:bottom w:val="nil"/>
              <w:right w:val="nil"/>
            </w:tcBorders>
            <w:vAlign w:val="center"/>
          </w:tcPr>
          <w:p w14:paraId="22089CA3" w14:textId="77777777" w:rsidR="0070249D" w:rsidRPr="001E2D88" w:rsidRDefault="0070249D" w:rsidP="009C0DB5">
            <w:pPr>
              <w:jc w:val="center"/>
              <w:rPr>
                <w:rFonts w:ascii="Arial" w:hAnsi="Arial" w:cs="Arial"/>
                <w:color w:val="000000" w:themeColor="text1"/>
                <w:sz w:val="18"/>
                <w:szCs w:val="18"/>
              </w:rPr>
            </w:pPr>
            <w:r>
              <w:rPr>
                <w:rFonts w:ascii="Arial" w:hAnsi="Arial" w:cs="Arial"/>
                <w:color w:val="000000" w:themeColor="text1"/>
                <w:sz w:val="18"/>
                <w:szCs w:val="18"/>
              </w:rPr>
              <w:t>-</w:t>
            </w:r>
          </w:p>
        </w:tc>
        <w:tc>
          <w:tcPr>
            <w:tcW w:w="1433" w:type="dxa"/>
            <w:tcBorders>
              <w:top w:val="nil"/>
              <w:left w:val="nil"/>
              <w:bottom w:val="nil"/>
            </w:tcBorders>
            <w:vAlign w:val="center"/>
          </w:tcPr>
          <w:p w14:paraId="3F6DE2DF" w14:textId="52445777" w:rsidR="0070249D" w:rsidRPr="001E2D88" w:rsidRDefault="0070249D" w:rsidP="009C0DB5">
            <w:pPr>
              <w:jc w:val="center"/>
              <w:rPr>
                <w:rFonts w:ascii="Arial" w:hAnsi="Arial" w:cs="Arial"/>
                <w:color w:val="000000" w:themeColor="text1"/>
                <w:sz w:val="18"/>
                <w:szCs w:val="18"/>
              </w:rPr>
            </w:pPr>
            <w:r w:rsidRPr="001E2D88">
              <w:rPr>
                <w:rFonts w:ascii="Arial" w:hAnsi="Arial" w:cs="Arial"/>
                <w:color w:val="000000" w:themeColor="text1"/>
                <w:sz w:val="18"/>
                <w:szCs w:val="18"/>
              </w:rPr>
              <w:t>1</w:t>
            </w:r>
            <w:r w:rsidR="00CB2279">
              <w:rPr>
                <w:rFonts w:ascii="Arial" w:hAnsi="Arial" w:cs="Arial"/>
                <w:color w:val="000000" w:themeColor="text1"/>
                <w:sz w:val="18"/>
                <w:szCs w:val="18"/>
              </w:rPr>
              <w:t>,</w:t>
            </w:r>
            <w:r w:rsidRPr="001E2D88">
              <w:rPr>
                <w:rFonts w:ascii="Arial" w:hAnsi="Arial" w:cs="Arial"/>
                <w:color w:val="000000" w:themeColor="text1"/>
                <w:sz w:val="18"/>
                <w:szCs w:val="18"/>
              </w:rPr>
              <w:t>9</w:t>
            </w:r>
          </w:p>
        </w:tc>
      </w:tr>
      <w:tr w:rsidR="0070249D" w14:paraId="725D5FAE" w14:textId="77777777" w:rsidTr="0070249D">
        <w:trPr>
          <w:trHeight w:val="316"/>
        </w:trPr>
        <w:tc>
          <w:tcPr>
            <w:tcW w:w="4764" w:type="dxa"/>
            <w:tcBorders>
              <w:top w:val="nil"/>
              <w:bottom w:val="nil"/>
            </w:tcBorders>
            <w:vAlign w:val="center"/>
          </w:tcPr>
          <w:p w14:paraId="61A2607B" w14:textId="673A901C" w:rsidR="0070249D" w:rsidRPr="0070249D" w:rsidRDefault="0070249D" w:rsidP="007B0433">
            <w:pPr>
              <w:pStyle w:val="Default"/>
              <w:jc w:val="both"/>
              <w:rPr>
                <w:rFonts w:ascii="Arial" w:hAnsi="Arial" w:cs="Arial"/>
                <w:sz w:val="18"/>
                <w:szCs w:val="18"/>
                <w:lang w:val="el-GR"/>
              </w:rPr>
            </w:pPr>
            <w:r w:rsidRPr="00FB20CB">
              <w:rPr>
                <w:rFonts w:ascii="Arial" w:hAnsi="Arial" w:cs="Arial"/>
                <w:sz w:val="18"/>
                <w:szCs w:val="18"/>
                <w:lang w:val="el-GR"/>
              </w:rPr>
              <w:t xml:space="preserve">Αντιστροφή πρόβλεψης η οποία σχετίζεται με πώληση περιουσιακών στοιχείων </w:t>
            </w:r>
          </w:p>
        </w:tc>
        <w:tc>
          <w:tcPr>
            <w:tcW w:w="1431" w:type="dxa"/>
            <w:tcBorders>
              <w:top w:val="nil"/>
              <w:bottom w:val="nil"/>
              <w:right w:val="nil"/>
            </w:tcBorders>
            <w:vAlign w:val="center"/>
          </w:tcPr>
          <w:p w14:paraId="2D5C3F27" w14:textId="77777777" w:rsidR="0070249D" w:rsidRPr="001E2D88" w:rsidRDefault="0070249D" w:rsidP="009C0DB5">
            <w:pPr>
              <w:jc w:val="center"/>
              <w:rPr>
                <w:rFonts w:ascii="Arial" w:hAnsi="Arial" w:cs="Arial"/>
                <w:color w:val="000000" w:themeColor="text1"/>
                <w:sz w:val="18"/>
                <w:szCs w:val="18"/>
              </w:rPr>
            </w:pPr>
            <w:r>
              <w:rPr>
                <w:rFonts w:ascii="Arial" w:hAnsi="Arial" w:cs="Arial"/>
                <w:color w:val="000000" w:themeColor="text1"/>
                <w:sz w:val="18"/>
                <w:szCs w:val="18"/>
              </w:rPr>
              <w:t>-</w:t>
            </w:r>
          </w:p>
        </w:tc>
        <w:tc>
          <w:tcPr>
            <w:tcW w:w="1431" w:type="dxa"/>
            <w:tcBorders>
              <w:top w:val="nil"/>
              <w:left w:val="nil"/>
              <w:bottom w:val="nil"/>
            </w:tcBorders>
            <w:vAlign w:val="center"/>
          </w:tcPr>
          <w:p w14:paraId="46EF874C" w14:textId="766EB917" w:rsidR="0070249D" w:rsidRPr="001E2D88" w:rsidRDefault="0070249D" w:rsidP="009C0DB5">
            <w:pPr>
              <w:jc w:val="center"/>
              <w:rPr>
                <w:rFonts w:ascii="Arial" w:hAnsi="Arial" w:cs="Arial"/>
                <w:color w:val="000000" w:themeColor="text1"/>
                <w:sz w:val="18"/>
                <w:szCs w:val="18"/>
              </w:rPr>
            </w:pPr>
            <w:r>
              <w:rPr>
                <w:rFonts w:ascii="Arial" w:hAnsi="Arial" w:cs="Arial"/>
                <w:color w:val="000000" w:themeColor="text1"/>
                <w:sz w:val="18"/>
                <w:szCs w:val="18"/>
              </w:rPr>
              <w:t>(</w:t>
            </w:r>
            <w:r w:rsidRPr="001E2D88">
              <w:rPr>
                <w:rFonts w:ascii="Arial" w:hAnsi="Arial" w:cs="Arial"/>
                <w:color w:val="000000" w:themeColor="text1"/>
                <w:sz w:val="18"/>
                <w:szCs w:val="18"/>
              </w:rPr>
              <w:t>30</w:t>
            </w:r>
            <w:r w:rsidR="00CB2279">
              <w:rPr>
                <w:rFonts w:ascii="Arial" w:hAnsi="Arial" w:cs="Arial"/>
                <w:color w:val="000000" w:themeColor="text1"/>
                <w:sz w:val="18"/>
                <w:szCs w:val="18"/>
              </w:rPr>
              <w:t>,</w:t>
            </w:r>
            <w:r w:rsidRPr="001E2D88">
              <w:rPr>
                <w:rFonts w:ascii="Arial" w:hAnsi="Arial" w:cs="Arial"/>
                <w:color w:val="000000" w:themeColor="text1"/>
                <w:sz w:val="18"/>
                <w:szCs w:val="18"/>
              </w:rPr>
              <w:t>8</w:t>
            </w:r>
            <w:r>
              <w:rPr>
                <w:rFonts w:ascii="Arial" w:hAnsi="Arial" w:cs="Arial"/>
                <w:color w:val="000000" w:themeColor="text1"/>
                <w:sz w:val="18"/>
                <w:szCs w:val="18"/>
              </w:rPr>
              <w:t>)</w:t>
            </w:r>
          </w:p>
        </w:tc>
        <w:tc>
          <w:tcPr>
            <w:tcW w:w="1433" w:type="dxa"/>
            <w:tcBorders>
              <w:top w:val="nil"/>
              <w:bottom w:val="nil"/>
              <w:right w:val="nil"/>
            </w:tcBorders>
            <w:vAlign w:val="center"/>
          </w:tcPr>
          <w:p w14:paraId="6E263710" w14:textId="77777777" w:rsidR="0070249D" w:rsidRPr="001E2D88" w:rsidRDefault="0070249D" w:rsidP="009C0DB5">
            <w:pPr>
              <w:jc w:val="center"/>
              <w:rPr>
                <w:rFonts w:ascii="Arial" w:hAnsi="Arial" w:cs="Arial"/>
                <w:color w:val="000000" w:themeColor="text1"/>
                <w:sz w:val="18"/>
                <w:szCs w:val="18"/>
              </w:rPr>
            </w:pPr>
            <w:r>
              <w:rPr>
                <w:rFonts w:ascii="Arial" w:hAnsi="Arial" w:cs="Arial"/>
                <w:color w:val="000000" w:themeColor="text1"/>
                <w:sz w:val="18"/>
                <w:szCs w:val="18"/>
              </w:rPr>
              <w:t>-</w:t>
            </w:r>
          </w:p>
        </w:tc>
        <w:tc>
          <w:tcPr>
            <w:tcW w:w="1433" w:type="dxa"/>
            <w:tcBorders>
              <w:top w:val="nil"/>
              <w:left w:val="nil"/>
              <w:bottom w:val="nil"/>
            </w:tcBorders>
            <w:vAlign w:val="center"/>
          </w:tcPr>
          <w:p w14:paraId="4B1B5374" w14:textId="21A9006D" w:rsidR="0070249D" w:rsidRPr="001E2D88" w:rsidRDefault="0070249D" w:rsidP="009C0DB5">
            <w:pPr>
              <w:jc w:val="center"/>
              <w:rPr>
                <w:rFonts w:ascii="Arial" w:hAnsi="Arial" w:cs="Arial"/>
                <w:color w:val="000000" w:themeColor="text1"/>
                <w:sz w:val="18"/>
                <w:szCs w:val="18"/>
              </w:rPr>
            </w:pPr>
            <w:r>
              <w:rPr>
                <w:rFonts w:ascii="Arial" w:hAnsi="Arial" w:cs="Arial"/>
                <w:color w:val="000000" w:themeColor="text1"/>
                <w:sz w:val="18"/>
                <w:szCs w:val="18"/>
              </w:rPr>
              <w:t>(</w:t>
            </w:r>
            <w:r w:rsidRPr="001E2D88">
              <w:rPr>
                <w:rFonts w:ascii="Arial" w:hAnsi="Arial" w:cs="Arial"/>
                <w:color w:val="000000" w:themeColor="text1"/>
                <w:sz w:val="18"/>
                <w:szCs w:val="18"/>
              </w:rPr>
              <w:t>30</w:t>
            </w:r>
            <w:r w:rsidR="00CB2279">
              <w:rPr>
                <w:rFonts w:ascii="Arial" w:hAnsi="Arial" w:cs="Arial"/>
                <w:color w:val="000000" w:themeColor="text1"/>
                <w:sz w:val="18"/>
                <w:szCs w:val="18"/>
              </w:rPr>
              <w:t>,</w:t>
            </w:r>
            <w:r w:rsidRPr="001E2D88">
              <w:rPr>
                <w:rFonts w:ascii="Arial" w:hAnsi="Arial" w:cs="Arial"/>
                <w:color w:val="000000" w:themeColor="text1"/>
                <w:sz w:val="18"/>
                <w:szCs w:val="18"/>
              </w:rPr>
              <w:t>8</w:t>
            </w:r>
            <w:r>
              <w:rPr>
                <w:rFonts w:ascii="Arial" w:hAnsi="Arial" w:cs="Arial"/>
                <w:color w:val="000000" w:themeColor="text1"/>
                <w:sz w:val="18"/>
                <w:szCs w:val="18"/>
              </w:rPr>
              <w:t>)</w:t>
            </w:r>
          </w:p>
        </w:tc>
      </w:tr>
      <w:tr w:rsidR="0070249D" w14:paraId="4BE64722" w14:textId="77777777" w:rsidTr="0070249D">
        <w:trPr>
          <w:trHeight w:val="316"/>
        </w:trPr>
        <w:tc>
          <w:tcPr>
            <w:tcW w:w="4764" w:type="dxa"/>
            <w:tcBorders>
              <w:top w:val="nil"/>
              <w:bottom w:val="nil"/>
            </w:tcBorders>
            <w:vAlign w:val="center"/>
          </w:tcPr>
          <w:p w14:paraId="032C8E8D" w14:textId="0A105256" w:rsidR="0070249D" w:rsidRPr="00FB20CB" w:rsidRDefault="0070249D" w:rsidP="0070249D">
            <w:pPr>
              <w:pStyle w:val="Default"/>
              <w:jc w:val="both"/>
              <w:rPr>
                <w:rFonts w:ascii="Arial" w:hAnsi="Arial" w:cs="Arial"/>
                <w:szCs w:val="22"/>
                <w:lang w:val="el-GR"/>
              </w:rPr>
            </w:pPr>
            <w:r w:rsidRPr="00FB20CB">
              <w:rPr>
                <w:rFonts w:ascii="Arial" w:hAnsi="Arial" w:cs="Arial"/>
                <w:sz w:val="18"/>
                <w:szCs w:val="18"/>
                <w:lang w:val="el-GR"/>
              </w:rPr>
              <w:t xml:space="preserve">Λοιπά Έξοδα αναδιοργάνωσης </w:t>
            </w:r>
          </w:p>
        </w:tc>
        <w:tc>
          <w:tcPr>
            <w:tcW w:w="1431" w:type="dxa"/>
            <w:tcBorders>
              <w:top w:val="nil"/>
              <w:bottom w:val="nil"/>
              <w:right w:val="nil"/>
            </w:tcBorders>
            <w:vAlign w:val="center"/>
          </w:tcPr>
          <w:p w14:paraId="5F655FE8" w14:textId="77E20137" w:rsidR="0070249D" w:rsidRPr="001E2D88" w:rsidRDefault="0070249D" w:rsidP="009C0DB5">
            <w:pPr>
              <w:jc w:val="center"/>
              <w:rPr>
                <w:rFonts w:ascii="Arial" w:hAnsi="Arial" w:cs="Arial"/>
                <w:color w:val="000000" w:themeColor="text1"/>
                <w:sz w:val="18"/>
                <w:szCs w:val="18"/>
              </w:rPr>
            </w:pPr>
            <w:r w:rsidRPr="001E2D88">
              <w:rPr>
                <w:rFonts w:ascii="Arial" w:hAnsi="Arial" w:cs="Arial"/>
                <w:color w:val="000000" w:themeColor="text1"/>
                <w:sz w:val="18"/>
                <w:szCs w:val="18"/>
              </w:rPr>
              <w:t>0</w:t>
            </w:r>
            <w:r w:rsidR="00CB2279">
              <w:rPr>
                <w:rFonts w:ascii="Arial" w:hAnsi="Arial" w:cs="Arial"/>
                <w:color w:val="000000" w:themeColor="text1"/>
                <w:sz w:val="18"/>
                <w:szCs w:val="18"/>
              </w:rPr>
              <w:t>,</w:t>
            </w:r>
            <w:r w:rsidRPr="001E2D88">
              <w:rPr>
                <w:rFonts w:ascii="Arial" w:hAnsi="Arial" w:cs="Arial"/>
                <w:color w:val="000000" w:themeColor="text1"/>
                <w:sz w:val="18"/>
                <w:szCs w:val="18"/>
              </w:rPr>
              <w:t>1</w:t>
            </w:r>
          </w:p>
        </w:tc>
        <w:tc>
          <w:tcPr>
            <w:tcW w:w="1431" w:type="dxa"/>
            <w:tcBorders>
              <w:top w:val="nil"/>
              <w:left w:val="nil"/>
              <w:bottom w:val="nil"/>
            </w:tcBorders>
            <w:vAlign w:val="center"/>
          </w:tcPr>
          <w:p w14:paraId="4F1D3953" w14:textId="5390E76C" w:rsidR="0070249D" w:rsidRPr="001E2D88" w:rsidRDefault="0070249D" w:rsidP="009C0DB5">
            <w:pPr>
              <w:jc w:val="center"/>
              <w:rPr>
                <w:rFonts w:ascii="Arial" w:hAnsi="Arial" w:cs="Arial"/>
                <w:color w:val="000000" w:themeColor="text1"/>
                <w:sz w:val="18"/>
                <w:szCs w:val="18"/>
              </w:rPr>
            </w:pPr>
            <w:r w:rsidRPr="001E2D88">
              <w:rPr>
                <w:rFonts w:ascii="Arial" w:hAnsi="Arial" w:cs="Arial"/>
                <w:color w:val="000000" w:themeColor="text1"/>
                <w:sz w:val="18"/>
                <w:szCs w:val="18"/>
              </w:rPr>
              <w:t>0</w:t>
            </w:r>
            <w:r w:rsidR="00CB2279">
              <w:rPr>
                <w:rFonts w:ascii="Arial" w:hAnsi="Arial" w:cs="Arial"/>
                <w:color w:val="000000" w:themeColor="text1"/>
                <w:sz w:val="18"/>
                <w:szCs w:val="18"/>
              </w:rPr>
              <w:t>,</w:t>
            </w:r>
            <w:r w:rsidRPr="001E2D88">
              <w:rPr>
                <w:rFonts w:ascii="Arial" w:hAnsi="Arial" w:cs="Arial"/>
                <w:color w:val="000000" w:themeColor="text1"/>
                <w:sz w:val="18"/>
                <w:szCs w:val="18"/>
              </w:rPr>
              <w:t>8</w:t>
            </w:r>
          </w:p>
        </w:tc>
        <w:tc>
          <w:tcPr>
            <w:tcW w:w="1433" w:type="dxa"/>
            <w:tcBorders>
              <w:top w:val="nil"/>
              <w:bottom w:val="nil"/>
              <w:right w:val="nil"/>
            </w:tcBorders>
            <w:vAlign w:val="center"/>
          </w:tcPr>
          <w:p w14:paraId="2F2D012A" w14:textId="373C0C4E" w:rsidR="0070249D" w:rsidRPr="001E2D88" w:rsidRDefault="0070249D" w:rsidP="009C0DB5">
            <w:pPr>
              <w:jc w:val="center"/>
              <w:rPr>
                <w:rFonts w:ascii="Arial" w:hAnsi="Arial" w:cs="Arial"/>
                <w:color w:val="000000" w:themeColor="text1"/>
                <w:sz w:val="18"/>
                <w:szCs w:val="18"/>
              </w:rPr>
            </w:pPr>
            <w:r w:rsidRPr="001E2D88">
              <w:rPr>
                <w:rFonts w:ascii="Arial" w:hAnsi="Arial" w:cs="Arial"/>
                <w:color w:val="000000" w:themeColor="text1"/>
                <w:sz w:val="18"/>
                <w:szCs w:val="18"/>
              </w:rPr>
              <w:t>0</w:t>
            </w:r>
            <w:r w:rsidR="00CB2279">
              <w:rPr>
                <w:rFonts w:ascii="Arial" w:hAnsi="Arial" w:cs="Arial"/>
                <w:color w:val="000000" w:themeColor="text1"/>
                <w:sz w:val="18"/>
                <w:szCs w:val="18"/>
              </w:rPr>
              <w:t>,</w:t>
            </w:r>
            <w:r>
              <w:rPr>
                <w:rFonts w:ascii="Arial" w:hAnsi="Arial" w:cs="Arial"/>
                <w:color w:val="000000" w:themeColor="text1"/>
                <w:sz w:val="18"/>
                <w:szCs w:val="18"/>
              </w:rPr>
              <w:t>6</w:t>
            </w:r>
          </w:p>
        </w:tc>
        <w:tc>
          <w:tcPr>
            <w:tcW w:w="1433" w:type="dxa"/>
            <w:tcBorders>
              <w:top w:val="nil"/>
              <w:left w:val="nil"/>
              <w:bottom w:val="nil"/>
            </w:tcBorders>
            <w:vAlign w:val="center"/>
          </w:tcPr>
          <w:p w14:paraId="6C928431" w14:textId="3BBDBD93" w:rsidR="0070249D" w:rsidRPr="001E2D88" w:rsidRDefault="0070249D" w:rsidP="009C0DB5">
            <w:pPr>
              <w:jc w:val="center"/>
              <w:rPr>
                <w:rFonts w:ascii="Arial" w:hAnsi="Arial" w:cs="Arial"/>
                <w:color w:val="000000" w:themeColor="text1"/>
                <w:sz w:val="18"/>
                <w:szCs w:val="18"/>
              </w:rPr>
            </w:pPr>
            <w:r w:rsidRPr="001E2D88">
              <w:rPr>
                <w:rFonts w:ascii="Arial" w:hAnsi="Arial" w:cs="Arial"/>
                <w:color w:val="000000" w:themeColor="text1"/>
                <w:sz w:val="18"/>
                <w:szCs w:val="18"/>
              </w:rPr>
              <w:t>0</w:t>
            </w:r>
            <w:r w:rsidR="00CB2279">
              <w:rPr>
                <w:rFonts w:ascii="Arial" w:hAnsi="Arial" w:cs="Arial"/>
                <w:color w:val="000000" w:themeColor="text1"/>
                <w:sz w:val="18"/>
                <w:szCs w:val="18"/>
              </w:rPr>
              <w:t>,</w:t>
            </w:r>
            <w:r w:rsidRPr="001E2D88">
              <w:rPr>
                <w:rFonts w:ascii="Arial" w:hAnsi="Arial" w:cs="Arial"/>
                <w:color w:val="000000" w:themeColor="text1"/>
                <w:sz w:val="18"/>
                <w:szCs w:val="18"/>
              </w:rPr>
              <w:t>8</w:t>
            </w:r>
          </w:p>
        </w:tc>
      </w:tr>
      <w:tr w:rsidR="0070249D" w14:paraId="4C1E001E" w14:textId="77777777" w:rsidTr="0070249D">
        <w:trPr>
          <w:trHeight w:val="316"/>
        </w:trPr>
        <w:tc>
          <w:tcPr>
            <w:tcW w:w="4764" w:type="dxa"/>
            <w:tcBorders>
              <w:top w:val="nil"/>
              <w:bottom w:val="nil"/>
            </w:tcBorders>
            <w:vAlign w:val="center"/>
          </w:tcPr>
          <w:p w14:paraId="5C43BC97" w14:textId="4FED0BF0" w:rsidR="0070249D" w:rsidRPr="00FB20CB" w:rsidRDefault="0070249D" w:rsidP="0070249D">
            <w:pPr>
              <w:pStyle w:val="Default"/>
              <w:rPr>
                <w:rFonts w:ascii="Arial" w:hAnsi="Arial" w:cs="Arial"/>
                <w:sz w:val="18"/>
                <w:szCs w:val="18"/>
                <w:lang w:val="el-GR"/>
              </w:rPr>
            </w:pPr>
            <w:r w:rsidRPr="00FB20CB">
              <w:rPr>
                <w:rFonts w:ascii="Arial" w:hAnsi="Arial" w:cs="Arial"/>
                <w:sz w:val="18"/>
                <w:szCs w:val="18"/>
                <w:lang w:val="el-GR"/>
              </w:rPr>
              <w:t xml:space="preserve">Φορολογική επίδραση από </w:t>
            </w:r>
            <w:proofErr w:type="spellStart"/>
            <w:r w:rsidRPr="00FB20CB">
              <w:rPr>
                <w:rFonts w:ascii="Arial" w:hAnsi="Arial" w:cs="Arial"/>
                <w:sz w:val="18"/>
                <w:szCs w:val="18"/>
                <w:lang w:val="el-GR"/>
              </w:rPr>
              <w:t>εκπιπτόμενες</w:t>
            </w:r>
            <w:proofErr w:type="spellEnd"/>
            <w:r w:rsidRPr="00FB20CB">
              <w:rPr>
                <w:rFonts w:ascii="Arial" w:hAnsi="Arial" w:cs="Arial"/>
                <w:sz w:val="18"/>
                <w:szCs w:val="18"/>
                <w:lang w:val="el-GR"/>
              </w:rPr>
              <w:t xml:space="preserve"> ζημιές συμμετοχών </w:t>
            </w:r>
          </w:p>
        </w:tc>
        <w:tc>
          <w:tcPr>
            <w:tcW w:w="1431" w:type="dxa"/>
            <w:tcBorders>
              <w:top w:val="nil"/>
              <w:bottom w:val="nil"/>
              <w:right w:val="nil"/>
            </w:tcBorders>
            <w:vAlign w:val="center"/>
          </w:tcPr>
          <w:p w14:paraId="2DA6D382" w14:textId="24CF7102" w:rsidR="0070249D" w:rsidRPr="001E2D88" w:rsidRDefault="0070249D" w:rsidP="009C0DB5">
            <w:pPr>
              <w:jc w:val="center"/>
              <w:rPr>
                <w:rFonts w:ascii="Arial" w:hAnsi="Arial" w:cs="Arial"/>
                <w:color w:val="000000" w:themeColor="text1"/>
                <w:sz w:val="18"/>
                <w:szCs w:val="18"/>
              </w:rPr>
            </w:pPr>
            <w:r>
              <w:rPr>
                <w:rFonts w:ascii="Arial" w:hAnsi="Arial" w:cs="Arial"/>
                <w:color w:val="000000" w:themeColor="text1"/>
                <w:sz w:val="18"/>
                <w:szCs w:val="18"/>
              </w:rPr>
              <w:t>(104</w:t>
            </w:r>
            <w:r w:rsidR="00CB2279">
              <w:rPr>
                <w:rFonts w:ascii="Arial" w:hAnsi="Arial" w:cs="Arial"/>
                <w:color w:val="000000" w:themeColor="text1"/>
                <w:sz w:val="18"/>
                <w:szCs w:val="18"/>
              </w:rPr>
              <w:t>,</w:t>
            </w:r>
            <w:r>
              <w:rPr>
                <w:rFonts w:ascii="Arial" w:hAnsi="Arial" w:cs="Arial"/>
                <w:color w:val="000000" w:themeColor="text1"/>
                <w:sz w:val="18"/>
                <w:szCs w:val="18"/>
              </w:rPr>
              <w:t>6)</w:t>
            </w:r>
          </w:p>
        </w:tc>
        <w:tc>
          <w:tcPr>
            <w:tcW w:w="1431" w:type="dxa"/>
            <w:tcBorders>
              <w:top w:val="nil"/>
              <w:left w:val="nil"/>
              <w:bottom w:val="nil"/>
            </w:tcBorders>
            <w:vAlign w:val="center"/>
          </w:tcPr>
          <w:p w14:paraId="740CF638" w14:textId="77777777" w:rsidR="0070249D" w:rsidRPr="001E2D88" w:rsidRDefault="0070249D" w:rsidP="009C0DB5">
            <w:pPr>
              <w:jc w:val="center"/>
              <w:rPr>
                <w:rFonts w:ascii="Arial" w:hAnsi="Arial" w:cs="Arial"/>
                <w:color w:val="000000" w:themeColor="text1"/>
                <w:sz w:val="18"/>
                <w:szCs w:val="18"/>
              </w:rPr>
            </w:pPr>
            <w:r>
              <w:rPr>
                <w:rFonts w:ascii="Arial" w:hAnsi="Arial" w:cs="Arial"/>
                <w:color w:val="000000" w:themeColor="text1"/>
                <w:sz w:val="18"/>
                <w:szCs w:val="18"/>
              </w:rPr>
              <w:t>-</w:t>
            </w:r>
          </w:p>
        </w:tc>
        <w:tc>
          <w:tcPr>
            <w:tcW w:w="1433" w:type="dxa"/>
            <w:tcBorders>
              <w:top w:val="nil"/>
              <w:bottom w:val="nil"/>
              <w:right w:val="nil"/>
            </w:tcBorders>
            <w:vAlign w:val="center"/>
          </w:tcPr>
          <w:p w14:paraId="304EB3F0" w14:textId="3948537E" w:rsidR="0070249D" w:rsidRPr="001E2D88" w:rsidRDefault="0070249D" w:rsidP="009C0DB5">
            <w:pPr>
              <w:jc w:val="center"/>
              <w:rPr>
                <w:rFonts w:ascii="Arial" w:hAnsi="Arial" w:cs="Arial"/>
                <w:color w:val="000000" w:themeColor="text1"/>
                <w:sz w:val="18"/>
                <w:szCs w:val="18"/>
              </w:rPr>
            </w:pPr>
            <w:r>
              <w:rPr>
                <w:rFonts w:ascii="Arial" w:hAnsi="Arial" w:cs="Arial"/>
                <w:color w:val="000000" w:themeColor="text1"/>
                <w:sz w:val="18"/>
                <w:szCs w:val="18"/>
              </w:rPr>
              <w:t>(104</w:t>
            </w:r>
            <w:r w:rsidR="00CB2279">
              <w:rPr>
                <w:rFonts w:ascii="Arial" w:hAnsi="Arial" w:cs="Arial"/>
                <w:color w:val="000000" w:themeColor="text1"/>
                <w:sz w:val="18"/>
                <w:szCs w:val="18"/>
              </w:rPr>
              <w:t>,</w:t>
            </w:r>
            <w:r>
              <w:rPr>
                <w:rFonts w:ascii="Arial" w:hAnsi="Arial" w:cs="Arial"/>
                <w:color w:val="000000" w:themeColor="text1"/>
                <w:sz w:val="18"/>
                <w:szCs w:val="18"/>
              </w:rPr>
              <w:t>6)</w:t>
            </w:r>
          </w:p>
        </w:tc>
        <w:tc>
          <w:tcPr>
            <w:tcW w:w="1433" w:type="dxa"/>
            <w:tcBorders>
              <w:top w:val="nil"/>
              <w:left w:val="nil"/>
              <w:bottom w:val="nil"/>
            </w:tcBorders>
            <w:vAlign w:val="center"/>
          </w:tcPr>
          <w:p w14:paraId="5659BFC0" w14:textId="77777777" w:rsidR="0070249D" w:rsidRPr="001E2D88" w:rsidRDefault="0070249D" w:rsidP="009C0DB5">
            <w:pPr>
              <w:jc w:val="center"/>
              <w:rPr>
                <w:rFonts w:ascii="Arial" w:hAnsi="Arial" w:cs="Arial"/>
                <w:color w:val="000000" w:themeColor="text1"/>
                <w:sz w:val="18"/>
                <w:szCs w:val="18"/>
              </w:rPr>
            </w:pPr>
            <w:r>
              <w:rPr>
                <w:rFonts w:ascii="Arial" w:hAnsi="Arial" w:cs="Arial"/>
                <w:color w:val="000000" w:themeColor="text1"/>
                <w:sz w:val="18"/>
                <w:szCs w:val="18"/>
              </w:rPr>
              <w:t>-</w:t>
            </w:r>
          </w:p>
        </w:tc>
      </w:tr>
      <w:tr w:rsidR="0070249D" w14:paraId="39E89DC9" w14:textId="77777777" w:rsidTr="0070249D">
        <w:trPr>
          <w:trHeight w:val="316"/>
        </w:trPr>
        <w:tc>
          <w:tcPr>
            <w:tcW w:w="4764" w:type="dxa"/>
            <w:tcBorders>
              <w:top w:val="nil"/>
            </w:tcBorders>
            <w:shd w:val="clear" w:color="auto" w:fill="F2F2F2" w:themeFill="background1" w:themeFillShade="F2"/>
            <w:vAlign w:val="center"/>
          </w:tcPr>
          <w:p w14:paraId="35F750CC" w14:textId="1D663D63" w:rsidR="0070249D" w:rsidRPr="00FB20CB" w:rsidRDefault="00885D64" w:rsidP="009C0DB5">
            <w:pPr>
              <w:jc w:val="both"/>
              <w:rPr>
                <w:rFonts w:ascii="Arial" w:hAnsi="Arial" w:cs="Arial"/>
                <w:b/>
                <w:color w:val="000000"/>
                <w:szCs w:val="22"/>
                <w:lang w:val="el-GR" w:eastAsia="el-GR"/>
              </w:rPr>
            </w:pPr>
            <w:r>
              <w:rPr>
                <w:rFonts w:ascii="Arial" w:hAnsi="Arial" w:cs="Arial"/>
                <w:b/>
                <w:sz w:val="18"/>
                <w:szCs w:val="18"/>
                <w:lang w:val="el-GR"/>
              </w:rPr>
              <w:t xml:space="preserve">Προσαρμοσμένα </w:t>
            </w:r>
            <w:r w:rsidRPr="0042272D">
              <w:rPr>
                <w:rFonts w:ascii="Arial" w:hAnsi="Arial" w:cs="Arial"/>
                <w:b/>
                <w:sz w:val="18"/>
                <w:szCs w:val="18"/>
                <w:lang w:val="el-GR"/>
              </w:rPr>
              <w:t>Καθαρά κέρδη  σε μετόχους της Εταιρείας</w:t>
            </w:r>
          </w:p>
        </w:tc>
        <w:tc>
          <w:tcPr>
            <w:tcW w:w="1431" w:type="dxa"/>
            <w:tcBorders>
              <w:top w:val="nil"/>
              <w:right w:val="nil"/>
            </w:tcBorders>
            <w:shd w:val="clear" w:color="auto" w:fill="F2F2F2" w:themeFill="background1" w:themeFillShade="F2"/>
            <w:vAlign w:val="center"/>
          </w:tcPr>
          <w:p w14:paraId="6BE36A0A" w14:textId="790A20DB" w:rsidR="0070249D" w:rsidRPr="00FB20CB" w:rsidRDefault="0070249D" w:rsidP="009C0DB5">
            <w:pPr>
              <w:jc w:val="center"/>
              <w:rPr>
                <w:rFonts w:ascii="Arial" w:hAnsi="Arial" w:cs="Arial"/>
                <w:b/>
                <w:szCs w:val="22"/>
                <w:lang w:val="el-GR" w:eastAsia="el-GR"/>
              </w:rPr>
            </w:pPr>
            <w:r>
              <w:rPr>
                <w:rFonts w:ascii="Arial" w:hAnsi="Arial" w:cs="Arial"/>
                <w:b/>
                <w:bCs/>
                <w:sz w:val="18"/>
                <w:szCs w:val="18"/>
              </w:rPr>
              <w:t>170</w:t>
            </w:r>
            <w:r w:rsidR="00CB2279">
              <w:rPr>
                <w:rFonts w:ascii="Arial" w:hAnsi="Arial" w:cs="Arial"/>
                <w:b/>
                <w:bCs/>
                <w:sz w:val="18"/>
                <w:szCs w:val="18"/>
              </w:rPr>
              <w:t>,</w:t>
            </w:r>
            <w:r>
              <w:rPr>
                <w:rFonts w:ascii="Arial" w:hAnsi="Arial" w:cs="Arial"/>
                <w:b/>
                <w:bCs/>
                <w:sz w:val="18"/>
                <w:szCs w:val="18"/>
              </w:rPr>
              <w:t>0</w:t>
            </w:r>
          </w:p>
        </w:tc>
        <w:tc>
          <w:tcPr>
            <w:tcW w:w="1431" w:type="dxa"/>
            <w:tcBorders>
              <w:top w:val="nil"/>
              <w:left w:val="nil"/>
            </w:tcBorders>
            <w:shd w:val="clear" w:color="auto" w:fill="F2F2F2" w:themeFill="background1" w:themeFillShade="F2"/>
            <w:vAlign w:val="center"/>
          </w:tcPr>
          <w:p w14:paraId="0E67E9DD" w14:textId="2B598CBA" w:rsidR="0070249D" w:rsidRPr="00FB20CB" w:rsidRDefault="0070249D" w:rsidP="009C0DB5">
            <w:pPr>
              <w:jc w:val="center"/>
              <w:rPr>
                <w:rFonts w:ascii="Arial" w:hAnsi="Arial" w:cs="Arial"/>
                <w:b/>
                <w:szCs w:val="22"/>
                <w:lang w:val="el-GR" w:eastAsia="el-GR"/>
              </w:rPr>
            </w:pPr>
            <w:r w:rsidRPr="001E2D88">
              <w:rPr>
                <w:rFonts w:ascii="Arial" w:hAnsi="Arial" w:cs="Arial"/>
                <w:b/>
                <w:bCs/>
                <w:sz w:val="18"/>
                <w:szCs w:val="18"/>
              </w:rPr>
              <w:t>173</w:t>
            </w:r>
            <w:r w:rsidR="00CB2279">
              <w:rPr>
                <w:rFonts w:ascii="Arial" w:hAnsi="Arial" w:cs="Arial"/>
                <w:b/>
                <w:bCs/>
                <w:sz w:val="18"/>
                <w:szCs w:val="18"/>
              </w:rPr>
              <w:t>,</w:t>
            </w:r>
            <w:r w:rsidRPr="001E2D88">
              <w:rPr>
                <w:rFonts w:ascii="Arial" w:hAnsi="Arial" w:cs="Arial"/>
                <w:b/>
                <w:bCs/>
                <w:sz w:val="18"/>
                <w:szCs w:val="18"/>
              </w:rPr>
              <w:t>5</w:t>
            </w:r>
          </w:p>
        </w:tc>
        <w:tc>
          <w:tcPr>
            <w:tcW w:w="1433" w:type="dxa"/>
            <w:tcBorders>
              <w:top w:val="nil"/>
              <w:right w:val="nil"/>
            </w:tcBorders>
            <w:shd w:val="clear" w:color="auto" w:fill="F2F2F2" w:themeFill="background1" w:themeFillShade="F2"/>
            <w:vAlign w:val="center"/>
          </w:tcPr>
          <w:p w14:paraId="438369E0" w14:textId="19208756" w:rsidR="0070249D" w:rsidRPr="00FB20CB" w:rsidRDefault="0070249D" w:rsidP="009C0DB5">
            <w:pPr>
              <w:jc w:val="center"/>
              <w:rPr>
                <w:rFonts w:ascii="Arial" w:hAnsi="Arial" w:cs="Arial"/>
                <w:b/>
                <w:szCs w:val="22"/>
                <w:lang w:val="el-GR" w:eastAsia="el-GR"/>
              </w:rPr>
            </w:pPr>
            <w:r>
              <w:rPr>
                <w:rFonts w:ascii="Arial" w:hAnsi="Arial" w:cs="Arial"/>
                <w:b/>
                <w:bCs/>
                <w:sz w:val="18"/>
                <w:szCs w:val="18"/>
              </w:rPr>
              <w:t>469</w:t>
            </w:r>
            <w:r w:rsidR="00CB2279">
              <w:rPr>
                <w:rFonts w:ascii="Arial" w:hAnsi="Arial" w:cs="Arial"/>
                <w:b/>
                <w:bCs/>
                <w:sz w:val="18"/>
                <w:szCs w:val="18"/>
              </w:rPr>
              <w:t>,</w:t>
            </w:r>
            <w:r>
              <w:rPr>
                <w:rFonts w:ascii="Arial" w:hAnsi="Arial" w:cs="Arial"/>
                <w:b/>
                <w:bCs/>
                <w:sz w:val="18"/>
                <w:szCs w:val="18"/>
              </w:rPr>
              <w:t>9</w:t>
            </w:r>
          </w:p>
        </w:tc>
        <w:tc>
          <w:tcPr>
            <w:tcW w:w="1433" w:type="dxa"/>
            <w:tcBorders>
              <w:top w:val="nil"/>
              <w:left w:val="nil"/>
            </w:tcBorders>
            <w:shd w:val="clear" w:color="auto" w:fill="F2F2F2" w:themeFill="background1" w:themeFillShade="F2"/>
            <w:vAlign w:val="center"/>
          </w:tcPr>
          <w:p w14:paraId="23817EC2" w14:textId="3688460B" w:rsidR="0070249D" w:rsidRPr="00FB20CB" w:rsidRDefault="0070249D" w:rsidP="009C0DB5">
            <w:pPr>
              <w:jc w:val="center"/>
              <w:rPr>
                <w:rFonts w:ascii="Arial" w:hAnsi="Arial" w:cs="Arial"/>
                <w:b/>
                <w:szCs w:val="22"/>
                <w:lang w:val="el-GR" w:eastAsia="el-GR"/>
              </w:rPr>
            </w:pPr>
            <w:r w:rsidRPr="001E2D88">
              <w:rPr>
                <w:rFonts w:ascii="Arial" w:hAnsi="Arial" w:cs="Arial"/>
                <w:b/>
                <w:bCs/>
                <w:sz w:val="18"/>
                <w:szCs w:val="18"/>
              </w:rPr>
              <w:t>458</w:t>
            </w:r>
            <w:r w:rsidR="00CB2279">
              <w:rPr>
                <w:rFonts w:ascii="Arial" w:hAnsi="Arial" w:cs="Arial"/>
                <w:b/>
                <w:bCs/>
                <w:sz w:val="18"/>
                <w:szCs w:val="18"/>
              </w:rPr>
              <w:t>,</w:t>
            </w:r>
            <w:r w:rsidRPr="001E2D88">
              <w:rPr>
                <w:rFonts w:ascii="Arial" w:hAnsi="Arial" w:cs="Arial"/>
                <w:b/>
                <w:bCs/>
                <w:sz w:val="18"/>
                <w:szCs w:val="18"/>
              </w:rPr>
              <w:t>7</w:t>
            </w:r>
          </w:p>
        </w:tc>
      </w:tr>
    </w:tbl>
    <w:p w14:paraId="3A786AF8" w14:textId="77777777" w:rsidR="00203138" w:rsidRDefault="00203138">
      <w:pPr>
        <w:rPr>
          <w:rFonts w:ascii="Arial" w:eastAsia="Times New Roman" w:hAnsi="Arial" w:cs="Arial"/>
          <w:szCs w:val="20"/>
          <w:lang w:val="en-US" w:eastAsia="el-GR"/>
        </w:rPr>
      </w:pPr>
      <w:r>
        <w:rPr>
          <w:rFonts w:ascii="Arial" w:hAnsi="Arial" w:cs="Arial"/>
          <w:lang w:eastAsia="el-GR"/>
        </w:rPr>
        <w:br w:type="page"/>
      </w:r>
    </w:p>
    <w:p w14:paraId="6D990909" w14:textId="52C68125" w:rsidR="0009084A" w:rsidRPr="00FB20CB" w:rsidRDefault="0009084A" w:rsidP="00097EA2">
      <w:pPr>
        <w:pStyle w:val="Normal2"/>
        <w:numPr>
          <w:ilvl w:val="0"/>
          <w:numId w:val="0"/>
        </w:numPr>
        <w:tabs>
          <w:tab w:val="num" w:pos="709"/>
        </w:tabs>
        <w:ind w:left="567" w:hanging="283"/>
        <w:rPr>
          <w:rFonts w:cs="Arial"/>
        </w:rPr>
      </w:pPr>
      <w:proofErr w:type="gramStart"/>
      <w:r w:rsidRPr="00FB20CB">
        <w:rPr>
          <w:rFonts w:cs="Arial"/>
        </w:rPr>
        <w:lastRenderedPageBreak/>
        <w:t>ΙΙ .</w:t>
      </w:r>
      <w:proofErr w:type="gramEnd"/>
      <w:r w:rsidRPr="00FB20CB">
        <w:rPr>
          <w:rFonts w:cs="Arial"/>
        </w:rPr>
        <w:t xml:space="preserve"> ΚΑΤΑΣΤΑΣΗ ΧΡΗΜΑΤΟΟΙΚΟΝΟΜΙΚΗΣ ΘΕΣΗΣ </w:t>
      </w:r>
    </w:p>
    <w:tbl>
      <w:tblPr>
        <w:tblStyle w:val="TableGrid"/>
        <w:tblW w:w="10490" w:type="dxa"/>
        <w:tblBorders>
          <w:top w:val="single" w:sz="2" w:space="0" w:color="808080" w:themeColor="background1" w:themeShade="80"/>
          <w:left w:val="none" w:sz="0" w:space="0" w:color="auto"/>
          <w:bottom w:val="single" w:sz="2" w:space="0" w:color="808080" w:themeColor="background1" w:themeShade="80"/>
          <w:right w:val="none" w:sz="0" w:space="0" w:color="auto"/>
          <w:insideH w:val="none" w:sz="0" w:space="0" w:color="auto"/>
          <w:insideV w:val="none" w:sz="0" w:space="0" w:color="auto"/>
        </w:tblBorders>
        <w:tblLook w:val="04A0" w:firstRow="1" w:lastRow="0" w:firstColumn="1" w:lastColumn="0" w:noHBand="0" w:noVBand="1"/>
      </w:tblPr>
      <w:tblGrid>
        <w:gridCol w:w="6379"/>
        <w:gridCol w:w="1985"/>
        <w:gridCol w:w="2126"/>
      </w:tblGrid>
      <w:tr w:rsidR="002620CF" w:rsidRPr="00872FD9" w14:paraId="5115B089" w14:textId="77777777" w:rsidTr="00872FD9">
        <w:trPr>
          <w:trHeight w:val="57"/>
        </w:trPr>
        <w:tc>
          <w:tcPr>
            <w:tcW w:w="6379" w:type="dxa"/>
            <w:tcBorders>
              <w:top w:val="nil"/>
              <w:bottom w:val="single" w:sz="2" w:space="0" w:color="808080" w:themeColor="background1" w:themeShade="80"/>
            </w:tcBorders>
            <w:vAlign w:val="center"/>
          </w:tcPr>
          <w:p w14:paraId="3101055A" w14:textId="3DE43F9C" w:rsidR="002620CF" w:rsidRPr="00872FD9" w:rsidRDefault="002620CF" w:rsidP="002620CF">
            <w:pPr>
              <w:pStyle w:val="ColorfulList-Accent11"/>
              <w:tabs>
                <w:tab w:val="left" w:pos="0"/>
                <w:tab w:val="left" w:pos="284"/>
              </w:tabs>
              <w:ind w:left="0" w:right="-90"/>
              <w:rPr>
                <w:rFonts w:ascii="Arial" w:hAnsi="Arial" w:cs="Arial"/>
                <w:b/>
                <w:color w:val="000000" w:themeColor="text1"/>
                <w:sz w:val="18"/>
                <w:szCs w:val="18"/>
              </w:rPr>
            </w:pPr>
            <w:r w:rsidRPr="00872FD9">
              <w:rPr>
                <w:rFonts w:ascii="Arial" w:hAnsi="Arial" w:cs="Arial"/>
                <w:b/>
                <w:sz w:val="18"/>
                <w:szCs w:val="18"/>
              </w:rPr>
              <w:t>(</w:t>
            </w:r>
            <w:r w:rsidRPr="00872FD9">
              <w:rPr>
                <w:rFonts w:ascii="Arial" w:hAnsi="Arial" w:cs="Arial"/>
                <w:b/>
                <w:sz w:val="18"/>
                <w:szCs w:val="18"/>
                <w:lang w:val="el-GR"/>
              </w:rPr>
              <w:t>Ευρώ εκατ.</w:t>
            </w:r>
            <w:r w:rsidRPr="00872FD9">
              <w:rPr>
                <w:rFonts w:ascii="Arial" w:hAnsi="Arial" w:cs="Arial"/>
                <w:b/>
                <w:sz w:val="18"/>
                <w:szCs w:val="18"/>
              </w:rPr>
              <w:t>)</w:t>
            </w:r>
          </w:p>
        </w:tc>
        <w:tc>
          <w:tcPr>
            <w:tcW w:w="1985" w:type="dxa"/>
            <w:tcBorders>
              <w:top w:val="nil"/>
              <w:bottom w:val="single" w:sz="2" w:space="0" w:color="808080" w:themeColor="background1" w:themeShade="80"/>
            </w:tcBorders>
            <w:vAlign w:val="center"/>
          </w:tcPr>
          <w:p w14:paraId="6B9AA66D" w14:textId="44E2FB0F" w:rsidR="002620CF" w:rsidRPr="00872FD9" w:rsidRDefault="002620CF" w:rsidP="002620CF">
            <w:pPr>
              <w:pStyle w:val="ColorfulList-Accent11"/>
              <w:tabs>
                <w:tab w:val="left" w:pos="0"/>
                <w:tab w:val="left" w:pos="284"/>
              </w:tabs>
              <w:ind w:left="0" w:right="-90"/>
              <w:jc w:val="right"/>
              <w:rPr>
                <w:rFonts w:ascii="Arial" w:hAnsi="Arial" w:cs="Arial"/>
                <w:i/>
                <w:color w:val="000000" w:themeColor="text1"/>
                <w:sz w:val="18"/>
                <w:szCs w:val="18"/>
                <w:lang w:val="el-GR"/>
              </w:rPr>
            </w:pPr>
            <w:r w:rsidRPr="00872FD9">
              <w:rPr>
                <w:rFonts w:ascii="Arial" w:hAnsi="Arial" w:cs="Arial"/>
                <w:b/>
                <w:color w:val="000000" w:themeColor="text1"/>
                <w:sz w:val="18"/>
                <w:szCs w:val="18"/>
              </w:rPr>
              <w:t>30/0</w:t>
            </w:r>
            <w:r w:rsidR="004037C0" w:rsidRPr="00872FD9">
              <w:rPr>
                <w:rFonts w:ascii="Arial" w:hAnsi="Arial" w:cs="Arial"/>
                <w:b/>
                <w:color w:val="000000" w:themeColor="text1"/>
                <w:sz w:val="18"/>
                <w:szCs w:val="18"/>
              </w:rPr>
              <w:t>9</w:t>
            </w:r>
            <w:r w:rsidRPr="00872FD9">
              <w:rPr>
                <w:rFonts w:ascii="Arial" w:hAnsi="Arial" w:cs="Arial"/>
                <w:b/>
                <w:color w:val="000000" w:themeColor="text1"/>
                <w:sz w:val="18"/>
                <w:szCs w:val="18"/>
              </w:rPr>
              <w:t>/2025</w:t>
            </w:r>
          </w:p>
        </w:tc>
        <w:tc>
          <w:tcPr>
            <w:tcW w:w="2126" w:type="dxa"/>
            <w:tcBorders>
              <w:top w:val="nil"/>
              <w:bottom w:val="single" w:sz="2" w:space="0" w:color="808080" w:themeColor="background1" w:themeShade="80"/>
            </w:tcBorders>
            <w:vAlign w:val="center"/>
          </w:tcPr>
          <w:p w14:paraId="26EF9AE3" w14:textId="51F2448D" w:rsidR="002620CF" w:rsidRPr="00872FD9" w:rsidRDefault="002620CF" w:rsidP="002620CF">
            <w:pPr>
              <w:pStyle w:val="ColorfulList-Accent11"/>
              <w:tabs>
                <w:tab w:val="left" w:pos="0"/>
                <w:tab w:val="left" w:pos="284"/>
              </w:tabs>
              <w:ind w:left="0" w:right="-90"/>
              <w:jc w:val="right"/>
              <w:rPr>
                <w:rFonts w:ascii="Arial" w:hAnsi="Arial" w:cs="Arial"/>
                <w:i/>
                <w:color w:val="000000" w:themeColor="text1"/>
                <w:sz w:val="18"/>
                <w:szCs w:val="18"/>
                <w:lang w:val="el-GR"/>
              </w:rPr>
            </w:pPr>
            <w:r w:rsidRPr="00872FD9">
              <w:rPr>
                <w:rFonts w:ascii="Arial" w:hAnsi="Arial" w:cs="Arial"/>
                <w:b/>
                <w:color w:val="000000" w:themeColor="text1"/>
                <w:sz w:val="18"/>
                <w:szCs w:val="18"/>
              </w:rPr>
              <w:t>31/12/2024</w:t>
            </w:r>
          </w:p>
        </w:tc>
      </w:tr>
      <w:tr w:rsidR="0009084A" w:rsidRPr="00872FD9" w14:paraId="204E0BED" w14:textId="77777777" w:rsidTr="0009084A">
        <w:trPr>
          <w:trHeight w:val="163"/>
        </w:trPr>
        <w:tc>
          <w:tcPr>
            <w:tcW w:w="6379" w:type="dxa"/>
            <w:tcBorders>
              <w:top w:val="single" w:sz="2" w:space="0" w:color="808080" w:themeColor="background1" w:themeShade="80"/>
            </w:tcBorders>
            <w:vAlign w:val="center"/>
          </w:tcPr>
          <w:p w14:paraId="734B9562" w14:textId="78692227" w:rsidR="0009084A" w:rsidRPr="00872FD9" w:rsidRDefault="0009084A" w:rsidP="0009084A">
            <w:pPr>
              <w:pStyle w:val="ColorfulList-Accent11"/>
              <w:tabs>
                <w:tab w:val="left" w:pos="0"/>
                <w:tab w:val="left" w:pos="284"/>
              </w:tabs>
              <w:ind w:left="0" w:right="-90"/>
              <w:rPr>
                <w:rFonts w:ascii="Arial" w:hAnsi="Arial" w:cs="Arial"/>
                <w:b/>
                <w:color w:val="000000" w:themeColor="text1"/>
                <w:sz w:val="18"/>
                <w:szCs w:val="18"/>
              </w:rPr>
            </w:pPr>
            <w:r w:rsidRPr="00872FD9">
              <w:rPr>
                <w:rFonts w:ascii="Arial" w:hAnsi="Arial" w:cs="Arial"/>
                <w:b/>
                <w:sz w:val="18"/>
                <w:szCs w:val="18"/>
                <w:lang w:val="el-GR"/>
              </w:rPr>
              <w:t>ΠΕΡΙΟΥΣΙΑΚΑ ΣΤΟΙΧΕΙΑ</w:t>
            </w:r>
          </w:p>
        </w:tc>
        <w:tc>
          <w:tcPr>
            <w:tcW w:w="1985" w:type="dxa"/>
            <w:tcBorders>
              <w:top w:val="single" w:sz="2" w:space="0" w:color="808080" w:themeColor="background1" w:themeShade="80"/>
            </w:tcBorders>
            <w:vAlign w:val="center"/>
          </w:tcPr>
          <w:p w14:paraId="66514E79" w14:textId="77777777" w:rsidR="0009084A" w:rsidRPr="00872FD9" w:rsidRDefault="0009084A" w:rsidP="0009084A">
            <w:pPr>
              <w:pStyle w:val="ColorfulList-Accent11"/>
              <w:tabs>
                <w:tab w:val="left" w:pos="0"/>
                <w:tab w:val="left" w:pos="284"/>
              </w:tabs>
              <w:ind w:left="0" w:right="-90"/>
              <w:jc w:val="right"/>
              <w:rPr>
                <w:rFonts w:ascii="Arial" w:hAnsi="Arial" w:cs="Arial"/>
                <w:b/>
                <w:color w:val="000000" w:themeColor="text1"/>
                <w:sz w:val="18"/>
                <w:szCs w:val="18"/>
              </w:rPr>
            </w:pPr>
          </w:p>
        </w:tc>
        <w:tc>
          <w:tcPr>
            <w:tcW w:w="2126" w:type="dxa"/>
            <w:tcBorders>
              <w:top w:val="single" w:sz="2" w:space="0" w:color="808080" w:themeColor="background1" w:themeShade="80"/>
            </w:tcBorders>
            <w:vAlign w:val="center"/>
          </w:tcPr>
          <w:p w14:paraId="583C6726" w14:textId="77777777" w:rsidR="0009084A" w:rsidRPr="00872FD9" w:rsidRDefault="0009084A" w:rsidP="0009084A">
            <w:pPr>
              <w:pStyle w:val="ColorfulList-Accent11"/>
              <w:tabs>
                <w:tab w:val="left" w:pos="0"/>
                <w:tab w:val="left" w:pos="284"/>
              </w:tabs>
              <w:ind w:left="0" w:right="-90"/>
              <w:jc w:val="right"/>
              <w:rPr>
                <w:rFonts w:ascii="Arial" w:hAnsi="Arial" w:cs="Arial"/>
                <w:b/>
                <w:color w:val="000000" w:themeColor="text1"/>
                <w:sz w:val="18"/>
                <w:szCs w:val="18"/>
              </w:rPr>
            </w:pPr>
          </w:p>
        </w:tc>
      </w:tr>
      <w:tr w:rsidR="0009084A" w:rsidRPr="00872FD9" w14:paraId="57C8DB12" w14:textId="77777777" w:rsidTr="0009084A">
        <w:trPr>
          <w:trHeight w:val="214"/>
        </w:trPr>
        <w:tc>
          <w:tcPr>
            <w:tcW w:w="6379" w:type="dxa"/>
            <w:tcBorders>
              <w:bottom w:val="nil"/>
            </w:tcBorders>
            <w:vAlign w:val="center"/>
          </w:tcPr>
          <w:p w14:paraId="5FE5DD59" w14:textId="7450343E" w:rsidR="0009084A" w:rsidRPr="00872FD9" w:rsidRDefault="0009084A" w:rsidP="0009084A">
            <w:pPr>
              <w:pStyle w:val="ColorfulList-Accent11"/>
              <w:tabs>
                <w:tab w:val="left" w:pos="0"/>
                <w:tab w:val="left" w:pos="284"/>
              </w:tabs>
              <w:ind w:left="0" w:right="-90"/>
              <w:rPr>
                <w:rFonts w:ascii="Arial" w:hAnsi="Arial" w:cs="Arial"/>
                <w:b/>
                <w:color w:val="000000" w:themeColor="text1"/>
                <w:sz w:val="18"/>
                <w:szCs w:val="18"/>
              </w:rPr>
            </w:pPr>
            <w:r w:rsidRPr="00872FD9">
              <w:rPr>
                <w:rFonts w:ascii="Arial" w:hAnsi="Arial" w:cs="Arial"/>
                <w:b/>
                <w:sz w:val="18"/>
                <w:szCs w:val="18"/>
                <w:lang w:val="el-GR"/>
              </w:rPr>
              <w:t xml:space="preserve">Μη </w:t>
            </w:r>
            <w:proofErr w:type="spellStart"/>
            <w:r w:rsidRPr="00872FD9">
              <w:rPr>
                <w:rFonts w:ascii="Arial" w:hAnsi="Arial" w:cs="Arial"/>
                <w:b/>
                <w:sz w:val="18"/>
                <w:szCs w:val="18"/>
                <w:lang w:val="el-GR"/>
              </w:rPr>
              <w:t>κυκλοφορούντα</w:t>
            </w:r>
            <w:proofErr w:type="spellEnd"/>
            <w:r w:rsidRPr="00872FD9">
              <w:rPr>
                <w:rFonts w:ascii="Arial" w:hAnsi="Arial" w:cs="Arial"/>
                <w:b/>
                <w:sz w:val="18"/>
                <w:szCs w:val="18"/>
                <w:lang w:val="el-GR"/>
              </w:rPr>
              <w:t xml:space="preserve"> περιουσιακά στοιχεία</w:t>
            </w:r>
          </w:p>
        </w:tc>
        <w:tc>
          <w:tcPr>
            <w:tcW w:w="1985" w:type="dxa"/>
            <w:tcBorders>
              <w:bottom w:val="nil"/>
            </w:tcBorders>
            <w:vAlign w:val="center"/>
          </w:tcPr>
          <w:p w14:paraId="565B7E5F" w14:textId="77777777" w:rsidR="0009084A" w:rsidRPr="00872FD9" w:rsidRDefault="0009084A" w:rsidP="0009084A">
            <w:pPr>
              <w:pStyle w:val="ColorfulList-Accent11"/>
              <w:tabs>
                <w:tab w:val="left" w:pos="0"/>
                <w:tab w:val="left" w:pos="284"/>
              </w:tabs>
              <w:ind w:left="0" w:right="-90"/>
              <w:jc w:val="right"/>
              <w:rPr>
                <w:rFonts w:ascii="Arial" w:hAnsi="Arial" w:cs="Arial"/>
                <w:b/>
                <w:color w:val="000000" w:themeColor="text1"/>
                <w:sz w:val="18"/>
                <w:szCs w:val="18"/>
              </w:rPr>
            </w:pPr>
          </w:p>
        </w:tc>
        <w:tc>
          <w:tcPr>
            <w:tcW w:w="2126" w:type="dxa"/>
            <w:tcBorders>
              <w:bottom w:val="nil"/>
            </w:tcBorders>
            <w:vAlign w:val="center"/>
          </w:tcPr>
          <w:p w14:paraId="0F0BEE7D" w14:textId="77777777" w:rsidR="0009084A" w:rsidRPr="00872FD9" w:rsidRDefault="0009084A" w:rsidP="0009084A">
            <w:pPr>
              <w:pStyle w:val="ColorfulList-Accent11"/>
              <w:tabs>
                <w:tab w:val="left" w:pos="0"/>
                <w:tab w:val="left" w:pos="284"/>
              </w:tabs>
              <w:ind w:left="0" w:right="-90"/>
              <w:jc w:val="right"/>
              <w:rPr>
                <w:rFonts w:ascii="Arial" w:hAnsi="Arial" w:cs="Arial"/>
                <w:b/>
                <w:color w:val="000000" w:themeColor="text1"/>
                <w:sz w:val="18"/>
                <w:szCs w:val="18"/>
              </w:rPr>
            </w:pPr>
          </w:p>
        </w:tc>
      </w:tr>
      <w:tr w:rsidR="00E32C25" w:rsidRPr="00872FD9" w14:paraId="11004BB0" w14:textId="77777777" w:rsidTr="0009084A">
        <w:trPr>
          <w:trHeight w:val="196"/>
        </w:trPr>
        <w:tc>
          <w:tcPr>
            <w:tcW w:w="6379" w:type="dxa"/>
            <w:tcBorders>
              <w:top w:val="nil"/>
              <w:bottom w:val="nil"/>
            </w:tcBorders>
            <w:shd w:val="clear" w:color="auto" w:fill="FFFFFF" w:themeFill="background1"/>
          </w:tcPr>
          <w:p w14:paraId="7C1F1912" w14:textId="43F114F3" w:rsidR="00E32C25" w:rsidRPr="00872FD9" w:rsidRDefault="00E32C25" w:rsidP="00E32C25">
            <w:pPr>
              <w:pStyle w:val="ColorfulList-Accent11"/>
              <w:tabs>
                <w:tab w:val="left" w:pos="0"/>
                <w:tab w:val="left" w:pos="284"/>
              </w:tabs>
              <w:ind w:left="0" w:right="-90"/>
              <w:rPr>
                <w:rFonts w:ascii="Arial" w:hAnsi="Arial" w:cs="Arial"/>
                <w:color w:val="000000" w:themeColor="text1"/>
                <w:sz w:val="18"/>
                <w:szCs w:val="18"/>
              </w:rPr>
            </w:pPr>
            <w:proofErr w:type="spellStart"/>
            <w:r w:rsidRPr="00872FD9">
              <w:rPr>
                <w:rFonts w:ascii="Arial" w:hAnsi="Arial" w:cs="Arial"/>
                <w:sz w:val="18"/>
                <w:szCs w:val="18"/>
              </w:rPr>
              <w:t>Ενσώμ</w:t>
            </w:r>
            <w:proofErr w:type="spellEnd"/>
            <w:r w:rsidRPr="00872FD9">
              <w:rPr>
                <w:rFonts w:ascii="Arial" w:hAnsi="Arial" w:cs="Arial"/>
                <w:sz w:val="18"/>
                <w:szCs w:val="18"/>
              </w:rPr>
              <w:t>ατα π</w:t>
            </w:r>
            <w:proofErr w:type="spellStart"/>
            <w:r w:rsidRPr="00872FD9">
              <w:rPr>
                <w:rFonts w:ascii="Arial" w:hAnsi="Arial" w:cs="Arial"/>
                <w:sz w:val="18"/>
                <w:szCs w:val="18"/>
              </w:rPr>
              <w:t>άγι</w:t>
            </w:r>
            <w:proofErr w:type="spellEnd"/>
            <w:r w:rsidRPr="00872FD9">
              <w:rPr>
                <w:rFonts w:ascii="Arial" w:hAnsi="Arial" w:cs="Arial"/>
                <w:sz w:val="18"/>
                <w:szCs w:val="18"/>
              </w:rPr>
              <w:t>α</w:t>
            </w:r>
          </w:p>
        </w:tc>
        <w:tc>
          <w:tcPr>
            <w:tcW w:w="1985" w:type="dxa"/>
            <w:tcBorders>
              <w:top w:val="nil"/>
              <w:bottom w:val="nil"/>
            </w:tcBorders>
            <w:shd w:val="clear" w:color="auto" w:fill="FFFFFF" w:themeFill="background1"/>
            <w:vAlign w:val="center"/>
          </w:tcPr>
          <w:p w14:paraId="59E0AA6D" w14:textId="4910B174" w:rsidR="00E32C25" w:rsidRPr="00872FD9" w:rsidRDefault="00E32C25" w:rsidP="00E32C25">
            <w:pPr>
              <w:pStyle w:val="ColorfulList-Accent11"/>
              <w:tabs>
                <w:tab w:val="left" w:pos="0"/>
                <w:tab w:val="left" w:pos="284"/>
              </w:tabs>
              <w:ind w:left="0" w:right="-90"/>
              <w:jc w:val="right"/>
              <w:rPr>
                <w:rFonts w:ascii="Arial" w:hAnsi="Arial" w:cs="Arial"/>
                <w:color w:val="000000" w:themeColor="text1"/>
                <w:sz w:val="18"/>
                <w:szCs w:val="18"/>
              </w:rPr>
            </w:pPr>
            <w:r w:rsidRPr="00872FD9">
              <w:rPr>
                <w:rFonts w:ascii="Arial" w:hAnsi="Arial" w:cs="Arial"/>
                <w:color w:val="000000"/>
                <w:sz w:val="18"/>
                <w:szCs w:val="18"/>
              </w:rPr>
              <w:t>2</w:t>
            </w:r>
            <w:r w:rsidR="001E06AD" w:rsidRPr="00872FD9">
              <w:rPr>
                <w:rFonts w:ascii="Arial" w:hAnsi="Arial" w:cs="Arial"/>
                <w:color w:val="000000"/>
                <w:sz w:val="18"/>
                <w:szCs w:val="18"/>
              </w:rPr>
              <w:t>.</w:t>
            </w:r>
            <w:r w:rsidRPr="00872FD9">
              <w:rPr>
                <w:rFonts w:ascii="Arial" w:hAnsi="Arial" w:cs="Arial"/>
                <w:color w:val="000000"/>
                <w:sz w:val="18"/>
                <w:szCs w:val="18"/>
              </w:rPr>
              <w:t>248</w:t>
            </w:r>
            <w:r w:rsidR="001E06AD" w:rsidRPr="00872FD9">
              <w:rPr>
                <w:rFonts w:ascii="Arial" w:hAnsi="Arial" w:cs="Arial"/>
                <w:color w:val="000000"/>
                <w:sz w:val="18"/>
                <w:szCs w:val="18"/>
              </w:rPr>
              <w:t>,</w:t>
            </w:r>
            <w:r w:rsidRPr="00872FD9">
              <w:rPr>
                <w:rFonts w:ascii="Arial" w:hAnsi="Arial" w:cs="Arial"/>
                <w:color w:val="000000"/>
                <w:sz w:val="18"/>
                <w:szCs w:val="18"/>
              </w:rPr>
              <w:t>1</w:t>
            </w:r>
          </w:p>
        </w:tc>
        <w:tc>
          <w:tcPr>
            <w:tcW w:w="2126" w:type="dxa"/>
            <w:tcBorders>
              <w:top w:val="nil"/>
              <w:bottom w:val="nil"/>
            </w:tcBorders>
            <w:shd w:val="clear" w:color="auto" w:fill="FFFFFF" w:themeFill="background1"/>
            <w:vAlign w:val="center"/>
          </w:tcPr>
          <w:p w14:paraId="1AF70179" w14:textId="32AC2BDD" w:rsidR="00E32C25" w:rsidRPr="00872FD9" w:rsidRDefault="00E32C25" w:rsidP="00E32C25">
            <w:pPr>
              <w:pStyle w:val="ColorfulList-Accent11"/>
              <w:tabs>
                <w:tab w:val="left" w:pos="0"/>
                <w:tab w:val="left" w:pos="284"/>
              </w:tabs>
              <w:ind w:left="0" w:right="-90"/>
              <w:jc w:val="right"/>
              <w:rPr>
                <w:rFonts w:ascii="Arial" w:hAnsi="Arial" w:cs="Arial"/>
                <w:i/>
                <w:color w:val="000000" w:themeColor="text1"/>
                <w:sz w:val="18"/>
                <w:szCs w:val="18"/>
              </w:rPr>
            </w:pPr>
            <w:r w:rsidRPr="00872FD9">
              <w:rPr>
                <w:rFonts w:ascii="Arial" w:hAnsi="Arial" w:cs="Arial"/>
                <w:sz w:val="18"/>
                <w:szCs w:val="18"/>
              </w:rPr>
              <w:t>2</w:t>
            </w:r>
            <w:r w:rsidR="001E06AD" w:rsidRPr="00872FD9">
              <w:rPr>
                <w:rFonts w:ascii="Arial" w:hAnsi="Arial" w:cs="Arial"/>
                <w:sz w:val="18"/>
                <w:szCs w:val="18"/>
              </w:rPr>
              <w:t>.</w:t>
            </w:r>
            <w:r w:rsidRPr="00872FD9">
              <w:rPr>
                <w:rFonts w:ascii="Arial" w:hAnsi="Arial" w:cs="Arial"/>
                <w:sz w:val="18"/>
                <w:szCs w:val="18"/>
              </w:rPr>
              <w:t>227</w:t>
            </w:r>
            <w:r w:rsidR="001E06AD" w:rsidRPr="00872FD9">
              <w:rPr>
                <w:rFonts w:ascii="Arial" w:hAnsi="Arial" w:cs="Arial"/>
                <w:sz w:val="18"/>
                <w:szCs w:val="18"/>
              </w:rPr>
              <w:t>,</w:t>
            </w:r>
            <w:r w:rsidRPr="00872FD9">
              <w:rPr>
                <w:rFonts w:ascii="Arial" w:hAnsi="Arial" w:cs="Arial"/>
                <w:sz w:val="18"/>
                <w:szCs w:val="18"/>
              </w:rPr>
              <w:t xml:space="preserve">6 </w:t>
            </w:r>
          </w:p>
        </w:tc>
      </w:tr>
      <w:tr w:rsidR="00E32C25" w:rsidRPr="00872FD9" w14:paraId="3CE3A7AC" w14:textId="77777777" w:rsidTr="00872FD9">
        <w:trPr>
          <w:trHeight w:val="168"/>
        </w:trPr>
        <w:tc>
          <w:tcPr>
            <w:tcW w:w="6379" w:type="dxa"/>
            <w:tcBorders>
              <w:top w:val="nil"/>
              <w:bottom w:val="nil"/>
            </w:tcBorders>
            <w:shd w:val="clear" w:color="auto" w:fill="FFFFFF" w:themeFill="background1"/>
          </w:tcPr>
          <w:p w14:paraId="74B2B517" w14:textId="12BD93CF" w:rsidR="00E32C25" w:rsidRPr="00872FD9" w:rsidRDefault="00E32C25" w:rsidP="00E32C25">
            <w:pPr>
              <w:pStyle w:val="ColorfulList-Accent11"/>
              <w:tabs>
                <w:tab w:val="left" w:pos="0"/>
                <w:tab w:val="left" w:pos="284"/>
              </w:tabs>
              <w:ind w:left="0" w:right="-90"/>
              <w:rPr>
                <w:rFonts w:ascii="Arial" w:hAnsi="Arial" w:cs="Arial"/>
                <w:color w:val="000000" w:themeColor="text1"/>
                <w:sz w:val="18"/>
                <w:szCs w:val="18"/>
                <w:lang w:val="el-GR"/>
              </w:rPr>
            </w:pPr>
            <w:r w:rsidRPr="00872FD9">
              <w:rPr>
                <w:rFonts w:ascii="Arial" w:hAnsi="Arial" w:cs="Arial"/>
                <w:sz w:val="18"/>
                <w:szCs w:val="18"/>
                <w:lang w:val="el-GR"/>
              </w:rPr>
              <w:t>Περιουσιακά στοιχεία με δικαίωμα χρήσης</w:t>
            </w:r>
          </w:p>
        </w:tc>
        <w:tc>
          <w:tcPr>
            <w:tcW w:w="1985" w:type="dxa"/>
            <w:tcBorders>
              <w:top w:val="nil"/>
              <w:bottom w:val="nil"/>
            </w:tcBorders>
            <w:shd w:val="clear" w:color="auto" w:fill="FFFFFF" w:themeFill="background1"/>
            <w:vAlign w:val="center"/>
          </w:tcPr>
          <w:p w14:paraId="4ABA7E2E" w14:textId="46AFA1BD" w:rsidR="00E32C25" w:rsidRPr="00872FD9" w:rsidRDefault="00E32C25" w:rsidP="00E32C25">
            <w:pPr>
              <w:pStyle w:val="ColorfulList-Accent11"/>
              <w:tabs>
                <w:tab w:val="left" w:pos="0"/>
                <w:tab w:val="left" w:pos="284"/>
              </w:tabs>
              <w:ind w:left="0" w:right="-90"/>
              <w:jc w:val="right"/>
              <w:rPr>
                <w:rFonts w:ascii="Arial" w:hAnsi="Arial" w:cs="Arial"/>
                <w:color w:val="000000" w:themeColor="text1"/>
                <w:sz w:val="18"/>
                <w:szCs w:val="18"/>
              </w:rPr>
            </w:pPr>
            <w:r w:rsidRPr="00872FD9">
              <w:rPr>
                <w:rFonts w:ascii="Arial" w:hAnsi="Arial" w:cs="Arial"/>
                <w:color w:val="000000"/>
                <w:sz w:val="18"/>
                <w:szCs w:val="18"/>
              </w:rPr>
              <w:t>217</w:t>
            </w:r>
            <w:r w:rsidR="001E06AD" w:rsidRPr="00872FD9">
              <w:rPr>
                <w:rFonts w:ascii="Arial" w:hAnsi="Arial" w:cs="Arial"/>
                <w:color w:val="000000"/>
                <w:sz w:val="18"/>
                <w:szCs w:val="18"/>
              </w:rPr>
              <w:t>,</w:t>
            </w:r>
            <w:r w:rsidRPr="00872FD9">
              <w:rPr>
                <w:rFonts w:ascii="Arial" w:hAnsi="Arial" w:cs="Arial"/>
                <w:color w:val="000000"/>
                <w:sz w:val="18"/>
                <w:szCs w:val="18"/>
              </w:rPr>
              <w:t>1</w:t>
            </w:r>
          </w:p>
        </w:tc>
        <w:tc>
          <w:tcPr>
            <w:tcW w:w="2126" w:type="dxa"/>
            <w:tcBorders>
              <w:top w:val="nil"/>
              <w:bottom w:val="nil"/>
            </w:tcBorders>
            <w:shd w:val="clear" w:color="auto" w:fill="FFFFFF" w:themeFill="background1"/>
            <w:vAlign w:val="center"/>
          </w:tcPr>
          <w:p w14:paraId="6F878419" w14:textId="5D65506C" w:rsidR="00E32C25" w:rsidRPr="00872FD9" w:rsidRDefault="00E32C25" w:rsidP="00E32C25">
            <w:pPr>
              <w:pStyle w:val="ColorfulList-Accent11"/>
              <w:tabs>
                <w:tab w:val="left" w:pos="0"/>
                <w:tab w:val="left" w:pos="284"/>
              </w:tabs>
              <w:ind w:left="0" w:right="-90"/>
              <w:jc w:val="right"/>
              <w:rPr>
                <w:rFonts w:ascii="Arial" w:hAnsi="Arial" w:cs="Arial"/>
                <w:i/>
                <w:color w:val="000000" w:themeColor="text1"/>
                <w:sz w:val="18"/>
                <w:szCs w:val="18"/>
              </w:rPr>
            </w:pPr>
            <w:r w:rsidRPr="00872FD9">
              <w:rPr>
                <w:rFonts w:ascii="Arial" w:hAnsi="Arial" w:cs="Arial"/>
                <w:sz w:val="18"/>
                <w:szCs w:val="18"/>
              </w:rPr>
              <w:t>262</w:t>
            </w:r>
            <w:r w:rsidR="001E06AD" w:rsidRPr="00872FD9">
              <w:rPr>
                <w:rFonts w:ascii="Arial" w:hAnsi="Arial" w:cs="Arial"/>
                <w:sz w:val="18"/>
                <w:szCs w:val="18"/>
              </w:rPr>
              <w:t>,</w:t>
            </w:r>
            <w:r w:rsidRPr="00872FD9">
              <w:rPr>
                <w:rFonts w:ascii="Arial" w:hAnsi="Arial" w:cs="Arial"/>
                <w:sz w:val="18"/>
                <w:szCs w:val="18"/>
              </w:rPr>
              <w:t xml:space="preserve">4 </w:t>
            </w:r>
          </w:p>
        </w:tc>
      </w:tr>
      <w:tr w:rsidR="00E32C25" w:rsidRPr="00872FD9" w14:paraId="5599A61A" w14:textId="77777777" w:rsidTr="00872FD9">
        <w:trPr>
          <w:trHeight w:val="99"/>
        </w:trPr>
        <w:tc>
          <w:tcPr>
            <w:tcW w:w="6379" w:type="dxa"/>
            <w:tcBorders>
              <w:top w:val="nil"/>
              <w:bottom w:val="nil"/>
            </w:tcBorders>
            <w:shd w:val="clear" w:color="auto" w:fill="FFFFFF" w:themeFill="background1"/>
          </w:tcPr>
          <w:p w14:paraId="7F18F69C" w14:textId="0DDC2466" w:rsidR="00E32C25" w:rsidRPr="00872FD9" w:rsidRDefault="00E32C25" w:rsidP="00E32C25">
            <w:pPr>
              <w:pStyle w:val="ColorfulList-Accent11"/>
              <w:tabs>
                <w:tab w:val="left" w:pos="0"/>
                <w:tab w:val="left" w:pos="284"/>
              </w:tabs>
              <w:ind w:left="0" w:right="-90"/>
              <w:rPr>
                <w:rFonts w:ascii="Arial" w:hAnsi="Arial" w:cs="Arial"/>
                <w:color w:val="000000" w:themeColor="text1"/>
                <w:sz w:val="18"/>
                <w:szCs w:val="18"/>
              </w:rPr>
            </w:pPr>
            <w:r w:rsidRPr="00872FD9">
              <w:rPr>
                <w:rFonts w:ascii="Arial" w:hAnsi="Arial" w:cs="Arial"/>
                <w:sz w:val="18"/>
                <w:szCs w:val="18"/>
              </w:rPr>
              <w:t>Υπ</w:t>
            </w:r>
            <w:proofErr w:type="spellStart"/>
            <w:r w:rsidRPr="00872FD9">
              <w:rPr>
                <w:rFonts w:ascii="Arial" w:hAnsi="Arial" w:cs="Arial"/>
                <w:sz w:val="18"/>
                <w:szCs w:val="18"/>
              </w:rPr>
              <w:t>ερ</w:t>
            </w:r>
            <w:proofErr w:type="spellEnd"/>
            <w:r w:rsidRPr="00872FD9">
              <w:rPr>
                <w:rFonts w:ascii="Arial" w:hAnsi="Arial" w:cs="Arial"/>
                <w:sz w:val="18"/>
                <w:szCs w:val="18"/>
              </w:rPr>
              <w:t>αξία</w:t>
            </w:r>
          </w:p>
        </w:tc>
        <w:tc>
          <w:tcPr>
            <w:tcW w:w="1985" w:type="dxa"/>
            <w:tcBorders>
              <w:top w:val="nil"/>
              <w:bottom w:val="nil"/>
            </w:tcBorders>
            <w:shd w:val="clear" w:color="auto" w:fill="FFFFFF" w:themeFill="background1"/>
            <w:vAlign w:val="center"/>
          </w:tcPr>
          <w:p w14:paraId="2BCE1924" w14:textId="16794976" w:rsidR="00E32C25" w:rsidRPr="00872FD9" w:rsidRDefault="00E32C25" w:rsidP="00E32C25">
            <w:pPr>
              <w:pStyle w:val="ColorfulList-Accent11"/>
              <w:tabs>
                <w:tab w:val="left" w:pos="0"/>
                <w:tab w:val="left" w:pos="284"/>
              </w:tabs>
              <w:ind w:left="0" w:right="-90"/>
              <w:jc w:val="right"/>
              <w:rPr>
                <w:rFonts w:ascii="Arial" w:hAnsi="Arial" w:cs="Arial"/>
                <w:color w:val="000000" w:themeColor="text1"/>
                <w:sz w:val="18"/>
                <w:szCs w:val="18"/>
              </w:rPr>
            </w:pPr>
            <w:r w:rsidRPr="00872FD9">
              <w:rPr>
                <w:rFonts w:ascii="Arial" w:hAnsi="Arial" w:cs="Arial"/>
                <w:color w:val="000000"/>
                <w:sz w:val="18"/>
                <w:szCs w:val="18"/>
              </w:rPr>
              <w:t>376</w:t>
            </w:r>
            <w:r w:rsidR="001E06AD" w:rsidRPr="00872FD9">
              <w:rPr>
                <w:rFonts w:ascii="Arial" w:hAnsi="Arial" w:cs="Arial"/>
                <w:color w:val="000000"/>
                <w:sz w:val="18"/>
                <w:szCs w:val="18"/>
              </w:rPr>
              <w:t>,</w:t>
            </w:r>
            <w:r w:rsidRPr="00872FD9">
              <w:rPr>
                <w:rFonts w:ascii="Arial" w:hAnsi="Arial" w:cs="Arial"/>
                <w:color w:val="000000"/>
                <w:sz w:val="18"/>
                <w:szCs w:val="18"/>
              </w:rPr>
              <w:t>6</w:t>
            </w:r>
          </w:p>
        </w:tc>
        <w:tc>
          <w:tcPr>
            <w:tcW w:w="2126" w:type="dxa"/>
            <w:tcBorders>
              <w:top w:val="nil"/>
              <w:bottom w:val="nil"/>
            </w:tcBorders>
            <w:shd w:val="clear" w:color="auto" w:fill="FFFFFF" w:themeFill="background1"/>
            <w:vAlign w:val="center"/>
          </w:tcPr>
          <w:p w14:paraId="1CA73499" w14:textId="225E23A5" w:rsidR="00E32C25" w:rsidRPr="00872FD9" w:rsidRDefault="00E32C25" w:rsidP="00E32C25">
            <w:pPr>
              <w:pStyle w:val="ColorfulList-Accent11"/>
              <w:tabs>
                <w:tab w:val="left" w:pos="0"/>
                <w:tab w:val="left" w:pos="284"/>
              </w:tabs>
              <w:ind w:left="0" w:right="-90"/>
              <w:jc w:val="right"/>
              <w:rPr>
                <w:rFonts w:ascii="Arial" w:hAnsi="Arial" w:cs="Arial"/>
                <w:i/>
                <w:color w:val="000000" w:themeColor="text1"/>
                <w:sz w:val="18"/>
                <w:szCs w:val="18"/>
              </w:rPr>
            </w:pPr>
            <w:r w:rsidRPr="00872FD9">
              <w:rPr>
                <w:rFonts w:ascii="Arial" w:hAnsi="Arial" w:cs="Arial"/>
                <w:sz w:val="18"/>
                <w:szCs w:val="18"/>
              </w:rPr>
              <w:t>376</w:t>
            </w:r>
            <w:r w:rsidR="001E06AD" w:rsidRPr="00872FD9">
              <w:rPr>
                <w:rFonts w:ascii="Arial" w:hAnsi="Arial" w:cs="Arial"/>
                <w:sz w:val="18"/>
                <w:szCs w:val="18"/>
              </w:rPr>
              <w:t>,</w:t>
            </w:r>
            <w:r w:rsidRPr="00872FD9">
              <w:rPr>
                <w:rFonts w:ascii="Arial" w:hAnsi="Arial" w:cs="Arial"/>
                <w:sz w:val="18"/>
                <w:szCs w:val="18"/>
              </w:rPr>
              <w:t xml:space="preserve">6 </w:t>
            </w:r>
          </w:p>
        </w:tc>
      </w:tr>
      <w:tr w:rsidR="00E32C25" w:rsidRPr="00872FD9" w14:paraId="43A611AD" w14:textId="77777777" w:rsidTr="0009084A">
        <w:trPr>
          <w:trHeight w:val="256"/>
        </w:trPr>
        <w:tc>
          <w:tcPr>
            <w:tcW w:w="6379" w:type="dxa"/>
            <w:tcBorders>
              <w:top w:val="nil"/>
              <w:bottom w:val="nil"/>
            </w:tcBorders>
            <w:shd w:val="clear" w:color="auto" w:fill="FFFFFF" w:themeFill="background1"/>
          </w:tcPr>
          <w:p w14:paraId="7746E805" w14:textId="516D195F" w:rsidR="00E32C25" w:rsidRPr="00872FD9" w:rsidRDefault="00E32C25" w:rsidP="00E32C25">
            <w:pPr>
              <w:pStyle w:val="ColorfulList-Accent11"/>
              <w:tabs>
                <w:tab w:val="left" w:pos="0"/>
                <w:tab w:val="left" w:pos="284"/>
              </w:tabs>
              <w:ind w:left="0" w:right="-90"/>
              <w:rPr>
                <w:rFonts w:ascii="Arial" w:hAnsi="Arial" w:cs="Arial"/>
                <w:color w:val="000000" w:themeColor="text1"/>
                <w:sz w:val="18"/>
                <w:szCs w:val="18"/>
              </w:rPr>
            </w:pPr>
            <w:proofErr w:type="spellStart"/>
            <w:r w:rsidRPr="00872FD9">
              <w:rPr>
                <w:rFonts w:ascii="Arial" w:hAnsi="Arial" w:cs="Arial"/>
                <w:sz w:val="18"/>
                <w:szCs w:val="18"/>
              </w:rPr>
              <w:t>Τηλε</w:t>
            </w:r>
            <w:proofErr w:type="spellEnd"/>
            <w:r w:rsidRPr="00872FD9">
              <w:rPr>
                <w:rFonts w:ascii="Arial" w:hAnsi="Arial" w:cs="Arial"/>
                <w:sz w:val="18"/>
                <w:szCs w:val="18"/>
              </w:rPr>
              <w:t xml:space="preserve">πικοινωνιακές </w:t>
            </w:r>
            <w:proofErr w:type="spellStart"/>
            <w:r w:rsidRPr="00872FD9">
              <w:rPr>
                <w:rFonts w:ascii="Arial" w:hAnsi="Arial" w:cs="Arial"/>
                <w:sz w:val="18"/>
                <w:szCs w:val="18"/>
              </w:rPr>
              <w:t>άδειες</w:t>
            </w:r>
            <w:proofErr w:type="spellEnd"/>
          </w:p>
        </w:tc>
        <w:tc>
          <w:tcPr>
            <w:tcW w:w="1985" w:type="dxa"/>
            <w:tcBorders>
              <w:top w:val="nil"/>
              <w:bottom w:val="nil"/>
            </w:tcBorders>
            <w:shd w:val="clear" w:color="auto" w:fill="FFFFFF" w:themeFill="background1"/>
            <w:vAlign w:val="center"/>
          </w:tcPr>
          <w:p w14:paraId="6B17826E" w14:textId="2404D099" w:rsidR="00E32C25" w:rsidRPr="00872FD9" w:rsidRDefault="00E32C25" w:rsidP="00E32C25">
            <w:pPr>
              <w:pStyle w:val="ColorfulList-Accent11"/>
              <w:tabs>
                <w:tab w:val="left" w:pos="0"/>
                <w:tab w:val="left" w:pos="284"/>
              </w:tabs>
              <w:ind w:left="0" w:right="-90"/>
              <w:jc w:val="right"/>
              <w:rPr>
                <w:rFonts w:ascii="Arial" w:hAnsi="Arial" w:cs="Arial"/>
                <w:color w:val="000000" w:themeColor="text1"/>
                <w:sz w:val="18"/>
                <w:szCs w:val="18"/>
              </w:rPr>
            </w:pPr>
            <w:r w:rsidRPr="00872FD9">
              <w:rPr>
                <w:rFonts w:ascii="Arial" w:hAnsi="Arial" w:cs="Arial"/>
                <w:color w:val="000000"/>
                <w:sz w:val="18"/>
                <w:szCs w:val="18"/>
              </w:rPr>
              <w:t>203</w:t>
            </w:r>
            <w:r w:rsidR="001E06AD" w:rsidRPr="00872FD9">
              <w:rPr>
                <w:rFonts w:ascii="Arial" w:hAnsi="Arial" w:cs="Arial"/>
                <w:color w:val="000000"/>
                <w:sz w:val="18"/>
                <w:szCs w:val="18"/>
              </w:rPr>
              <w:t>,</w:t>
            </w:r>
            <w:r w:rsidRPr="00872FD9">
              <w:rPr>
                <w:rFonts w:ascii="Arial" w:hAnsi="Arial" w:cs="Arial"/>
                <w:color w:val="000000"/>
                <w:sz w:val="18"/>
                <w:szCs w:val="18"/>
              </w:rPr>
              <w:t>4</w:t>
            </w:r>
          </w:p>
        </w:tc>
        <w:tc>
          <w:tcPr>
            <w:tcW w:w="2126" w:type="dxa"/>
            <w:tcBorders>
              <w:top w:val="nil"/>
              <w:bottom w:val="nil"/>
            </w:tcBorders>
            <w:shd w:val="clear" w:color="auto" w:fill="FFFFFF" w:themeFill="background1"/>
            <w:vAlign w:val="center"/>
          </w:tcPr>
          <w:p w14:paraId="7FF3B650" w14:textId="494E9AD1" w:rsidR="00E32C25" w:rsidRPr="00872FD9" w:rsidRDefault="00E32C25" w:rsidP="00E32C25">
            <w:pPr>
              <w:pStyle w:val="ColorfulList-Accent11"/>
              <w:tabs>
                <w:tab w:val="left" w:pos="0"/>
                <w:tab w:val="left" w:pos="284"/>
              </w:tabs>
              <w:ind w:left="0" w:right="-90"/>
              <w:jc w:val="right"/>
              <w:rPr>
                <w:rFonts w:ascii="Arial" w:hAnsi="Arial" w:cs="Arial"/>
                <w:i/>
                <w:color w:val="000000" w:themeColor="text1"/>
                <w:sz w:val="18"/>
                <w:szCs w:val="18"/>
              </w:rPr>
            </w:pPr>
            <w:r w:rsidRPr="00872FD9">
              <w:rPr>
                <w:rFonts w:ascii="Arial" w:hAnsi="Arial" w:cs="Arial"/>
                <w:sz w:val="18"/>
                <w:szCs w:val="18"/>
              </w:rPr>
              <w:t>227</w:t>
            </w:r>
            <w:r w:rsidR="001E06AD" w:rsidRPr="00872FD9">
              <w:rPr>
                <w:rFonts w:ascii="Arial" w:hAnsi="Arial" w:cs="Arial"/>
                <w:sz w:val="18"/>
                <w:szCs w:val="18"/>
              </w:rPr>
              <w:t>,</w:t>
            </w:r>
            <w:r w:rsidRPr="00872FD9">
              <w:rPr>
                <w:rFonts w:ascii="Arial" w:hAnsi="Arial" w:cs="Arial"/>
                <w:sz w:val="18"/>
                <w:szCs w:val="18"/>
              </w:rPr>
              <w:t xml:space="preserve">8 </w:t>
            </w:r>
          </w:p>
        </w:tc>
      </w:tr>
      <w:tr w:rsidR="00E32C25" w:rsidRPr="00872FD9" w14:paraId="4D498E2F" w14:textId="77777777" w:rsidTr="0009084A">
        <w:trPr>
          <w:trHeight w:val="256"/>
        </w:trPr>
        <w:tc>
          <w:tcPr>
            <w:tcW w:w="6379" w:type="dxa"/>
            <w:tcBorders>
              <w:top w:val="nil"/>
              <w:bottom w:val="nil"/>
            </w:tcBorders>
            <w:shd w:val="clear" w:color="auto" w:fill="FFFFFF" w:themeFill="background1"/>
          </w:tcPr>
          <w:p w14:paraId="26DE98B5" w14:textId="617333D1" w:rsidR="00E32C25" w:rsidRPr="00872FD9" w:rsidRDefault="00E32C25" w:rsidP="00E32C25">
            <w:pPr>
              <w:pStyle w:val="ColorfulList-Accent11"/>
              <w:tabs>
                <w:tab w:val="left" w:pos="0"/>
                <w:tab w:val="left" w:pos="284"/>
              </w:tabs>
              <w:ind w:left="0" w:right="-90"/>
              <w:rPr>
                <w:rFonts w:ascii="Arial" w:hAnsi="Arial" w:cs="Arial"/>
                <w:color w:val="000000" w:themeColor="text1"/>
                <w:sz w:val="18"/>
                <w:szCs w:val="18"/>
              </w:rPr>
            </w:pPr>
            <w:proofErr w:type="spellStart"/>
            <w:r w:rsidRPr="00872FD9">
              <w:rPr>
                <w:rFonts w:ascii="Arial" w:hAnsi="Arial" w:cs="Arial"/>
                <w:sz w:val="18"/>
                <w:szCs w:val="18"/>
              </w:rPr>
              <w:t>Λοι</w:t>
            </w:r>
            <w:proofErr w:type="spellEnd"/>
            <w:r w:rsidRPr="00872FD9">
              <w:rPr>
                <w:rFonts w:ascii="Arial" w:hAnsi="Arial" w:cs="Arial"/>
                <w:sz w:val="18"/>
                <w:szCs w:val="18"/>
              </w:rPr>
              <w:t xml:space="preserve">πά </w:t>
            </w:r>
            <w:proofErr w:type="spellStart"/>
            <w:r w:rsidRPr="00872FD9">
              <w:rPr>
                <w:rFonts w:ascii="Arial" w:hAnsi="Arial" w:cs="Arial"/>
                <w:sz w:val="18"/>
                <w:szCs w:val="18"/>
              </w:rPr>
              <w:t>άυλ</w:t>
            </w:r>
            <w:proofErr w:type="spellEnd"/>
            <w:r w:rsidRPr="00872FD9">
              <w:rPr>
                <w:rFonts w:ascii="Arial" w:hAnsi="Arial" w:cs="Arial"/>
                <w:sz w:val="18"/>
                <w:szCs w:val="18"/>
              </w:rPr>
              <w:t>α π</w:t>
            </w:r>
            <w:proofErr w:type="spellStart"/>
            <w:r w:rsidRPr="00872FD9">
              <w:rPr>
                <w:rFonts w:ascii="Arial" w:hAnsi="Arial" w:cs="Arial"/>
                <w:sz w:val="18"/>
                <w:szCs w:val="18"/>
              </w:rPr>
              <w:t>εριουσι</w:t>
            </w:r>
            <w:proofErr w:type="spellEnd"/>
            <w:r w:rsidRPr="00872FD9">
              <w:rPr>
                <w:rFonts w:ascii="Arial" w:hAnsi="Arial" w:cs="Arial"/>
                <w:sz w:val="18"/>
                <w:szCs w:val="18"/>
              </w:rPr>
              <w:t xml:space="preserve">ακά </w:t>
            </w:r>
            <w:proofErr w:type="spellStart"/>
            <w:r w:rsidRPr="00872FD9">
              <w:rPr>
                <w:rFonts w:ascii="Arial" w:hAnsi="Arial" w:cs="Arial"/>
                <w:sz w:val="18"/>
                <w:szCs w:val="18"/>
              </w:rPr>
              <w:t>στοιχεί</w:t>
            </w:r>
            <w:proofErr w:type="spellEnd"/>
            <w:r w:rsidRPr="00872FD9">
              <w:rPr>
                <w:rFonts w:ascii="Arial" w:hAnsi="Arial" w:cs="Arial"/>
                <w:sz w:val="18"/>
                <w:szCs w:val="18"/>
              </w:rPr>
              <w:t>α</w:t>
            </w:r>
          </w:p>
        </w:tc>
        <w:tc>
          <w:tcPr>
            <w:tcW w:w="1985" w:type="dxa"/>
            <w:tcBorders>
              <w:top w:val="nil"/>
              <w:bottom w:val="nil"/>
            </w:tcBorders>
            <w:shd w:val="clear" w:color="auto" w:fill="FFFFFF" w:themeFill="background1"/>
            <w:vAlign w:val="center"/>
          </w:tcPr>
          <w:p w14:paraId="1DEB1722" w14:textId="030F7041" w:rsidR="00E32C25" w:rsidRPr="00872FD9" w:rsidRDefault="00E32C25" w:rsidP="00E32C25">
            <w:pPr>
              <w:pStyle w:val="ColorfulList-Accent11"/>
              <w:tabs>
                <w:tab w:val="left" w:pos="0"/>
                <w:tab w:val="left" w:pos="284"/>
              </w:tabs>
              <w:ind w:left="0" w:right="-90"/>
              <w:jc w:val="right"/>
              <w:rPr>
                <w:rFonts w:ascii="Arial" w:hAnsi="Arial" w:cs="Arial"/>
                <w:color w:val="000000" w:themeColor="text1"/>
                <w:sz w:val="18"/>
                <w:szCs w:val="18"/>
              </w:rPr>
            </w:pPr>
            <w:r w:rsidRPr="00872FD9">
              <w:rPr>
                <w:rFonts w:ascii="Arial" w:hAnsi="Arial" w:cs="Arial"/>
                <w:color w:val="000000"/>
                <w:sz w:val="18"/>
                <w:szCs w:val="18"/>
              </w:rPr>
              <w:t>255</w:t>
            </w:r>
            <w:r w:rsidR="001E06AD" w:rsidRPr="00872FD9">
              <w:rPr>
                <w:rFonts w:ascii="Arial" w:hAnsi="Arial" w:cs="Arial"/>
                <w:color w:val="000000"/>
                <w:sz w:val="18"/>
                <w:szCs w:val="18"/>
              </w:rPr>
              <w:t>,</w:t>
            </w:r>
            <w:r w:rsidRPr="00872FD9">
              <w:rPr>
                <w:rFonts w:ascii="Arial" w:hAnsi="Arial" w:cs="Arial"/>
                <w:color w:val="000000"/>
                <w:sz w:val="18"/>
                <w:szCs w:val="18"/>
              </w:rPr>
              <w:t>9</w:t>
            </w:r>
          </w:p>
        </w:tc>
        <w:tc>
          <w:tcPr>
            <w:tcW w:w="2126" w:type="dxa"/>
            <w:tcBorders>
              <w:top w:val="nil"/>
              <w:bottom w:val="nil"/>
            </w:tcBorders>
            <w:shd w:val="clear" w:color="auto" w:fill="FFFFFF" w:themeFill="background1"/>
            <w:vAlign w:val="center"/>
          </w:tcPr>
          <w:p w14:paraId="5EE333DD" w14:textId="2156BD5B" w:rsidR="00E32C25" w:rsidRPr="00872FD9" w:rsidRDefault="00E32C25" w:rsidP="00E32C25">
            <w:pPr>
              <w:pStyle w:val="ColorfulList-Accent11"/>
              <w:tabs>
                <w:tab w:val="left" w:pos="0"/>
                <w:tab w:val="left" w:pos="284"/>
              </w:tabs>
              <w:ind w:left="0" w:right="-90"/>
              <w:jc w:val="right"/>
              <w:rPr>
                <w:rFonts w:ascii="Arial" w:hAnsi="Arial" w:cs="Arial"/>
                <w:i/>
                <w:color w:val="000000" w:themeColor="text1"/>
                <w:sz w:val="18"/>
                <w:szCs w:val="18"/>
              </w:rPr>
            </w:pPr>
            <w:r w:rsidRPr="00872FD9">
              <w:rPr>
                <w:rFonts w:ascii="Arial" w:hAnsi="Arial" w:cs="Arial"/>
                <w:sz w:val="18"/>
                <w:szCs w:val="18"/>
              </w:rPr>
              <w:t>279</w:t>
            </w:r>
            <w:r w:rsidR="001E06AD" w:rsidRPr="00872FD9">
              <w:rPr>
                <w:rFonts w:ascii="Arial" w:hAnsi="Arial" w:cs="Arial"/>
                <w:sz w:val="18"/>
                <w:szCs w:val="18"/>
              </w:rPr>
              <w:t>,</w:t>
            </w:r>
            <w:r w:rsidRPr="00872FD9">
              <w:rPr>
                <w:rFonts w:ascii="Arial" w:hAnsi="Arial" w:cs="Arial"/>
                <w:sz w:val="18"/>
                <w:szCs w:val="18"/>
              </w:rPr>
              <w:t xml:space="preserve">6 </w:t>
            </w:r>
          </w:p>
        </w:tc>
      </w:tr>
      <w:tr w:rsidR="00E32C25" w:rsidRPr="00872FD9" w14:paraId="73C410FD" w14:textId="77777777" w:rsidTr="0009084A">
        <w:trPr>
          <w:trHeight w:val="256"/>
        </w:trPr>
        <w:tc>
          <w:tcPr>
            <w:tcW w:w="6379" w:type="dxa"/>
            <w:tcBorders>
              <w:top w:val="nil"/>
              <w:bottom w:val="nil"/>
            </w:tcBorders>
            <w:shd w:val="clear" w:color="auto" w:fill="FFFFFF" w:themeFill="background1"/>
          </w:tcPr>
          <w:p w14:paraId="1A38D30E" w14:textId="1B97BEC2" w:rsidR="00E32C25" w:rsidRPr="00872FD9" w:rsidRDefault="00E32C25" w:rsidP="00E32C25">
            <w:pPr>
              <w:pStyle w:val="ColorfulList-Accent11"/>
              <w:tabs>
                <w:tab w:val="left" w:pos="0"/>
                <w:tab w:val="left" w:pos="284"/>
              </w:tabs>
              <w:ind w:left="0" w:right="-90"/>
              <w:rPr>
                <w:rFonts w:ascii="Arial" w:hAnsi="Arial" w:cs="Arial"/>
                <w:color w:val="000000" w:themeColor="text1"/>
                <w:sz w:val="18"/>
                <w:szCs w:val="18"/>
              </w:rPr>
            </w:pPr>
            <w:proofErr w:type="spellStart"/>
            <w:r w:rsidRPr="00872FD9">
              <w:rPr>
                <w:rFonts w:ascii="Arial" w:hAnsi="Arial" w:cs="Arial"/>
                <w:sz w:val="18"/>
                <w:szCs w:val="18"/>
              </w:rPr>
              <w:t>Συμμετοχές</w:t>
            </w:r>
            <w:proofErr w:type="spellEnd"/>
          </w:p>
        </w:tc>
        <w:tc>
          <w:tcPr>
            <w:tcW w:w="1985" w:type="dxa"/>
            <w:tcBorders>
              <w:top w:val="nil"/>
              <w:bottom w:val="nil"/>
            </w:tcBorders>
            <w:shd w:val="clear" w:color="auto" w:fill="FFFFFF" w:themeFill="background1"/>
            <w:vAlign w:val="center"/>
          </w:tcPr>
          <w:p w14:paraId="558D2105" w14:textId="16C086F0" w:rsidR="00E32C25" w:rsidRPr="00872FD9" w:rsidRDefault="00E32C25" w:rsidP="00E32C25">
            <w:pPr>
              <w:pStyle w:val="ColorfulList-Accent11"/>
              <w:tabs>
                <w:tab w:val="left" w:pos="0"/>
                <w:tab w:val="left" w:pos="284"/>
              </w:tabs>
              <w:ind w:left="0" w:right="-90"/>
              <w:jc w:val="right"/>
              <w:rPr>
                <w:rFonts w:ascii="Arial" w:hAnsi="Arial" w:cs="Arial"/>
                <w:color w:val="000000" w:themeColor="text1"/>
                <w:sz w:val="18"/>
                <w:szCs w:val="18"/>
              </w:rPr>
            </w:pPr>
            <w:r w:rsidRPr="00872FD9">
              <w:rPr>
                <w:rFonts w:ascii="Arial" w:hAnsi="Arial" w:cs="Arial"/>
                <w:color w:val="000000"/>
                <w:sz w:val="18"/>
                <w:szCs w:val="18"/>
              </w:rPr>
              <w:t>0</w:t>
            </w:r>
            <w:r w:rsidR="001E06AD" w:rsidRPr="00872FD9">
              <w:rPr>
                <w:rFonts w:ascii="Arial" w:hAnsi="Arial" w:cs="Arial"/>
                <w:color w:val="000000"/>
                <w:sz w:val="18"/>
                <w:szCs w:val="18"/>
              </w:rPr>
              <w:t>,</w:t>
            </w:r>
            <w:r w:rsidRPr="00872FD9">
              <w:rPr>
                <w:rFonts w:ascii="Arial" w:hAnsi="Arial" w:cs="Arial"/>
                <w:color w:val="000000"/>
                <w:sz w:val="18"/>
                <w:szCs w:val="18"/>
              </w:rPr>
              <w:t>1</w:t>
            </w:r>
          </w:p>
        </w:tc>
        <w:tc>
          <w:tcPr>
            <w:tcW w:w="2126" w:type="dxa"/>
            <w:tcBorders>
              <w:top w:val="nil"/>
              <w:bottom w:val="nil"/>
            </w:tcBorders>
            <w:shd w:val="clear" w:color="auto" w:fill="FFFFFF" w:themeFill="background1"/>
            <w:vAlign w:val="center"/>
          </w:tcPr>
          <w:p w14:paraId="2238AFFC" w14:textId="307A742C" w:rsidR="00E32C25" w:rsidRPr="00872FD9" w:rsidRDefault="00E32C25" w:rsidP="00E32C25">
            <w:pPr>
              <w:pStyle w:val="ColorfulList-Accent11"/>
              <w:tabs>
                <w:tab w:val="left" w:pos="0"/>
                <w:tab w:val="left" w:pos="284"/>
              </w:tabs>
              <w:ind w:left="0" w:right="-90"/>
              <w:jc w:val="right"/>
              <w:rPr>
                <w:rFonts w:ascii="Arial" w:hAnsi="Arial" w:cs="Arial"/>
                <w:color w:val="000000" w:themeColor="text1"/>
                <w:sz w:val="18"/>
                <w:szCs w:val="18"/>
              </w:rPr>
            </w:pPr>
            <w:r w:rsidRPr="00872FD9">
              <w:rPr>
                <w:rFonts w:ascii="Arial" w:hAnsi="Arial" w:cs="Arial"/>
                <w:sz w:val="18"/>
                <w:szCs w:val="18"/>
              </w:rPr>
              <w:t>0</w:t>
            </w:r>
            <w:r w:rsidR="001E06AD" w:rsidRPr="00872FD9">
              <w:rPr>
                <w:rFonts w:ascii="Arial" w:hAnsi="Arial" w:cs="Arial"/>
                <w:sz w:val="18"/>
                <w:szCs w:val="18"/>
              </w:rPr>
              <w:t>,</w:t>
            </w:r>
            <w:r w:rsidRPr="00872FD9">
              <w:rPr>
                <w:rFonts w:ascii="Arial" w:hAnsi="Arial" w:cs="Arial"/>
                <w:sz w:val="18"/>
                <w:szCs w:val="18"/>
              </w:rPr>
              <w:t xml:space="preserve">1 </w:t>
            </w:r>
          </w:p>
        </w:tc>
      </w:tr>
      <w:tr w:rsidR="00E32C25" w:rsidRPr="00872FD9" w14:paraId="2DDD8ECE" w14:textId="77777777" w:rsidTr="0009084A">
        <w:trPr>
          <w:trHeight w:val="256"/>
        </w:trPr>
        <w:tc>
          <w:tcPr>
            <w:tcW w:w="6379" w:type="dxa"/>
            <w:tcBorders>
              <w:top w:val="nil"/>
              <w:bottom w:val="nil"/>
            </w:tcBorders>
            <w:shd w:val="clear" w:color="auto" w:fill="FFFFFF" w:themeFill="background1"/>
          </w:tcPr>
          <w:p w14:paraId="17559F7B" w14:textId="277DC62F" w:rsidR="00E32C25" w:rsidRPr="00872FD9" w:rsidRDefault="00E32C25" w:rsidP="00E32C25">
            <w:pPr>
              <w:pStyle w:val="ColorfulList-Accent11"/>
              <w:tabs>
                <w:tab w:val="left" w:pos="0"/>
                <w:tab w:val="left" w:pos="284"/>
              </w:tabs>
              <w:ind w:left="0" w:right="-90"/>
              <w:rPr>
                <w:rFonts w:ascii="Arial" w:hAnsi="Arial" w:cs="Arial"/>
                <w:color w:val="000000" w:themeColor="text1"/>
                <w:sz w:val="18"/>
                <w:szCs w:val="18"/>
              </w:rPr>
            </w:pPr>
            <w:proofErr w:type="spellStart"/>
            <w:r w:rsidRPr="00872FD9">
              <w:rPr>
                <w:rFonts w:ascii="Arial" w:hAnsi="Arial" w:cs="Arial"/>
                <w:sz w:val="18"/>
                <w:szCs w:val="18"/>
              </w:rPr>
              <w:t>Δάνει</w:t>
            </w:r>
            <w:proofErr w:type="spellEnd"/>
            <w:r w:rsidRPr="00872FD9">
              <w:rPr>
                <w:rFonts w:ascii="Arial" w:hAnsi="Arial" w:cs="Arial"/>
                <w:sz w:val="18"/>
                <w:szCs w:val="18"/>
              </w:rPr>
              <w:t xml:space="preserve">α </w:t>
            </w:r>
            <w:proofErr w:type="spellStart"/>
            <w:r w:rsidRPr="00872FD9">
              <w:rPr>
                <w:rFonts w:ascii="Arial" w:hAnsi="Arial" w:cs="Arial"/>
                <w:sz w:val="18"/>
                <w:szCs w:val="18"/>
              </w:rPr>
              <w:t>σε</w:t>
            </w:r>
            <w:proofErr w:type="spellEnd"/>
            <w:r w:rsidRPr="00872FD9">
              <w:rPr>
                <w:rFonts w:ascii="Arial" w:hAnsi="Arial" w:cs="Arial"/>
                <w:sz w:val="18"/>
                <w:szCs w:val="18"/>
              </w:rPr>
              <w:t xml:space="preserve"> α</w:t>
            </w:r>
            <w:proofErr w:type="spellStart"/>
            <w:r w:rsidRPr="00872FD9">
              <w:rPr>
                <w:rFonts w:ascii="Arial" w:hAnsi="Arial" w:cs="Arial"/>
                <w:sz w:val="18"/>
                <w:szCs w:val="18"/>
              </w:rPr>
              <w:t>σφ</w:t>
            </w:r>
            <w:proofErr w:type="spellEnd"/>
            <w:r w:rsidRPr="00872FD9">
              <w:rPr>
                <w:rFonts w:ascii="Arial" w:hAnsi="Arial" w:cs="Arial"/>
                <w:sz w:val="18"/>
                <w:szCs w:val="18"/>
              </w:rPr>
              <w:t>αλιστικά τα</w:t>
            </w:r>
            <w:proofErr w:type="spellStart"/>
            <w:r w:rsidRPr="00872FD9">
              <w:rPr>
                <w:rFonts w:ascii="Arial" w:hAnsi="Arial" w:cs="Arial"/>
                <w:sz w:val="18"/>
                <w:szCs w:val="18"/>
              </w:rPr>
              <w:t>μεί</w:t>
            </w:r>
            <w:proofErr w:type="spellEnd"/>
            <w:r w:rsidRPr="00872FD9">
              <w:rPr>
                <w:rFonts w:ascii="Arial" w:hAnsi="Arial" w:cs="Arial"/>
                <w:sz w:val="18"/>
                <w:szCs w:val="18"/>
              </w:rPr>
              <w:t>α</w:t>
            </w:r>
          </w:p>
        </w:tc>
        <w:tc>
          <w:tcPr>
            <w:tcW w:w="1985" w:type="dxa"/>
            <w:tcBorders>
              <w:top w:val="nil"/>
              <w:bottom w:val="nil"/>
            </w:tcBorders>
            <w:shd w:val="clear" w:color="auto" w:fill="FFFFFF" w:themeFill="background1"/>
            <w:vAlign w:val="center"/>
          </w:tcPr>
          <w:p w14:paraId="1E35517E" w14:textId="53D7BED9" w:rsidR="00E32C25" w:rsidRPr="00872FD9" w:rsidRDefault="00E32C25" w:rsidP="00E32C25">
            <w:pPr>
              <w:pStyle w:val="ColorfulList-Accent11"/>
              <w:tabs>
                <w:tab w:val="left" w:pos="0"/>
                <w:tab w:val="left" w:pos="284"/>
              </w:tabs>
              <w:ind w:left="0" w:right="-90"/>
              <w:jc w:val="right"/>
              <w:rPr>
                <w:rFonts w:ascii="Arial" w:hAnsi="Arial" w:cs="Arial"/>
                <w:color w:val="000000" w:themeColor="text1"/>
                <w:sz w:val="18"/>
                <w:szCs w:val="18"/>
              </w:rPr>
            </w:pPr>
            <w:r w:rsidRPr="00872FD9">
              <w:rPr>
                <w:rFonts w:ascii="Arial" w:hAnsi="Arial" w:cs="Arial"/>
                <w:color w:val="000000"/>
                <w:sz w:val="18"/>
                <w:szCs w:val="18"/>
              </w:rPr>
              <w:t>53</w:t>
            </w:r>
            <w:r w:rsidR="001E06AD" w:rsidRPr="00872FD9">
              <w:rPr>
                <w:rFonts w:ascii="Arial" w:hAnsi="Arial" w:cs="Arial"/>
                <w:color w:val="000000"/>
                <w:sz w:val="18"/>
                <w:szCs w:val="18"/>
              </w:rPr>
              <w:t>,</w:t>
            </w:r>
            <w:r w:rsidRPr="00872FD9">
              <w:rPr>
                <w:rFonts w:ascii="Arial" w:hAnsi="Arial" w:cs="Arial"/>
                <w:color w:val="000000"/>
                <w:sz w:val="18"/>
                <w:szCs w:val="18"/>
              </w:rPr>
              <w:t>2</w:t>
            </w:r>
          </w:p>
        </w:tc>
        <w:tc>
          <w:tcPr>
            <w:tcW w:w="2126" w:type="dxa"/>
            <w:tcBorders>
              <w:top w:val="nil"/>
              <w:bottom w:val="nil"/>
            </w:tcBorders>
            <w:shd w:val="clear" w:color="auto" w:fill="FFFFFF" w:themeFill="background1"/>
            <w:vAlign w:val="center"/>
          </w:tcPr>
          <w:p w14:paraId="7E842071" w14:textId="131AB95A" w:rsidR="00E32C25" w:rsidRPr="00872FD9" w:rsidRDefault="00E32C25" w:rsidP="00E32C25">
            <w:pPr>
              <w:pStyle w:val="ColorfulList-Accent11"/>
              <w:tabs>
                <w:tab w:val="left" w:pos="0"/>
                <w:tab w:val="left" w:pos="284"/>
              </w:tabs>
              <w:ind w:left="0" w:right="-90"/>
              <w:jc w:val="right"/>
              <w:rPr>
                <w:rFonts w:ascii="Arial" w:hAnsi="Arial" w:cs="Arial"/>
                <w:color w:val="000000" w:themeColor="text1"/>
                <w:sz w:val="18"/>
                <w:szCs w:val="18"/>
              </w:rPr>
            </w:pPr>
            <w:r w:rsidRPr="00872FD9">
              <w:rPr>
                <w:rFonts w:ascii="Arial" w:hAnsi="Arial" w:cs="Arial"/>
                <w:sz w:val="18"/>
                <w:szCs w:val="18"/>
              </w:rPr>
              <w:t>56</w:t>
            </w:r>
            <w:r w:rsidR="001E06AD" w:rsidRPr="00872FD9">
              <w:rPr>
                <w:rFonts w:ascii="Arial" w:hAnsi="Arial" w:cs="Arial"/>
                <w:sz w:val="18"/>
                <w:szCs w:val="18"/>
              </w:rPr>
              <w:t>,</w:t>
            </w:r>
            <w:r w:rsidRPr="00872FD9">
              <w:rPr>
                <w:rFonts w:ascii="Arial" w:hAnsi="Arial" w:cs="Arial"/>
                <w:sz w:val="18"/>
                <w:szCs w:val="18"/>
              </w:rPr>
              <w:t xml:space="preserve">5 </w:t>
            </w:r>
          </w:p>
        </w:tc>
      </w:tr>
      <w:tr w:rsidR="00E32C25" w:rsidRPr="00872FD9" w14:paraId="3300ADD4" w14:textId="77777777" w:rsidTr="0009084A">
        <w:trPr>
          <w:trHeight w:val="256"/>
        </w:trPr>
        <w:tc>
          <w:tcPr>
            <w:tcW w:w="6379" w:type="dxa"/>
            <w:tcBorders>
              <w:top w:val="nil"/>
              <w:bottom w:val="nil"/>
            </w:tcBorders>
            <w:shd w:val="clear" w:color="auto" w:fill="FFFFFF" w:themeFill="background1"/>
          </w:tcPr>
          <w:p w14:paraId="0855934E" w14:textId="1F28CB46" w:rsidR="00E32C25" w:rsidRPr="00872FD9" w:rsidRDefault="00E32C25" w:rsidP="00E32C25">
            <w:pPr>
              <w:pStyle w:val="ColorfulList-Accent11"/>
              <w:tabs>
                <w:tab w:val="left" w:pos="0"/>
                <w:tab w:val="left" w:pos="284"/>
              </w:tabs>
              <w:ind w:left="0" w:right="-90"/>
              <w:rPr>
                <w:rFonts w:ascii="Arial" w:hAnsi="Arial" w:cs="Arial"/>
                <w:color w:val="000000" w:themeColor="text1"/>
                <w:sz w:val="18"/>
                <w:szCs w:val="18"/>
              </w:rPr>
            </w:pPr>
            <w:proofErr w:type="spellStart"/>
            <w:r w:rsidRPr="00872FD9">
              <w:rPr>
                <w:rFonts w:ascii="Arial" w:hAnsi="Arial" w:cs="Arial"/>
                <w:sz w:val="18"/>
                <w:szCs w:val="18"/>
              </w:rPr>
              <w:t>Αν</w:t>
            </w:r>
            <w:proofErr w:type="spellEnd"/>
            <w:r w:rsidRPr="00872FD9">
              <w:rPr>
                <w:rFonts w:ascii="Arial" w:hAnsi="Arial" w:cs="Arial"/>
                <w:sz w:val="18"/>
                <w:szCs w:val="18"/>
              </w:rPr>
              <w:t xml:space="preserve">αβαλλόμενες </w:t>
            </w:r>
            <w:proofErr w:type="spellStart"/>
            <w:r w:rsidRPr="00872FD9">
              <w:rPr>
                <w:rFonts w:ascii="Arial" w:hAnsi="Arial" w:cs="Arial"/>
                <w:sz w:val="18"/>
                <w:szCs w:val="18"/>
              </w:rPr>
              <w:t>φορολογικές</w:t>
            </w:r>
            <w:proofErr w:type="spellEnd"/>
            <w:r w:rsidRPr="00872FD9">
              <w:rPr>
                <w:rFonts w:ascii="Arial" w:hAnsi="Arial" w:cs="Arial"/>
                <w:sz w:val="18"/>
                <w:szCs w:val="18"/>
              </w:rPr>
              <w:t xml:space="preserve"> απα</w:t>
            </w:r>
            <w:proofErr w:type="spellStart"/>
            <w:r w:rsidRPr="00872FD9">
              <w:rPr>
                <w:rFonts w:ascii="Arial" w:hAnsi="Arial" w:cs="Arial"/>
                <w:sz w:val="18"/>
                <w:szCs w:val="18"/>
              </w:rPr>
              <w:t>ιτήσεις</w:t>
            </w:r>
            <w:proofErr w:type="spellEnd"/>
          </w:p>
        </w:tc>
        <w:tc>
          <w:tcPr>
            <w:tcW w:w="1985" w:type="dxa"/>
            <w:tcBorders>
              <w:top w:val="nil"/>
              <w:bottom w:val="nil"/>
            </w:tcBorders>
            <w:shd w:val="clear" w:color="auto" w:fill="FFFFFF" w:themeFill="background1"/>
            <w:vAlign w:val="center"/>
          </w:tcPr>
          <w:p w14:paraId="7C68686F" w14:textId="17F69E48" w:rsidR="00E32C25" w:rsidRPr="00872FD9" w:rsidRDefault="00E32C25" w:rsidP="00E32C25">
            <w:pPr>
              <w:pStyle w:val="ColorfulList-Accent11"/>
              <w:tabs>
                <w:tab w:val="left" w:pos="0"/>
                <w:tab w:val="left" w:pos="284"/>
              </w:tabs>
              <w:ind w:left="0" w:right="-90"/>
              <w:jc w:val="right"/>
              <w:rPr>
                <w:rFonts w:ascii="Arial" w:hAnsi="Arial" w:cs="Arial"/>
                <w:color w:val="000000" w:themeColor="text1"/>
                <w:sz w:val="18"/>
                <w:szCs w:val="18"/>
              </w:rPr>
            </w:pPr>
            <w:r w:rsidRPr="00872FD9">
              <w:rPr>
                <w:rFonts w:ascii="Arial" w:hAnsi="Arial" w:cs="Arial"/>
                <w:color w:val="000000"/>
                <w:sz w:val="18"/>
                <w:szCs w:val="18"/>
              </w:rPr>
              <w:t>275</w:t>
            </w:r>
            <w:r w:rsidR="001E06AD" w:rsidRPr="00872FD9">
              <w:rPr>
                <w:rFonts w:ascii="Arial" w:hAnsi="Arial" w:cs="Arial"/>
                <w:color w:val="000000"/>
                <w:sz w:val="18"/>
                <w:szCs w:val="18"/>
              </w:rPr>
              <w:t>,</w:t>
            </w:r>
            <w:r w:rsidRPr="00872FD9">
              <w:rPr>
                <w:rFonts w:ascii="Arial" w:hAnsi="Arial" w:cs="Arial"/>
                <w:color w:val="000000"/>
                <w:sz w:val="18"/>
                <w:szCs w:val="18"/>
              </w:rPr>
              <w:t>9</w:t>
            </w:r>
          </w:p>
        </w:tc>
        <w:tc>
          <w:tcPr>
            <w:tcW w:w="2126" w:type="dxa"/>
            <w:tcBorders>
              <w:top w:val="nil"/>
              <w:bottom w:val="nil"/>
            </w:tcBorders>
            <w:shd w:val="clear" w:color="auto" w:fill="FFFFFF" w:themeFill="background1"/>
            <w:vAlign w:val="center"/>
          </w:tcPr>
          <w:p w14:paraId="4C7B588B" w14:textId="347DE6C9" w:rsidR="00E32C25" w:rsidRPr="00872FD9" w:rsidRDefault="00E32C25" w:rsidP="00E32C25">
            <w:pPr>
              <w:pStyle w:val="ColorfulList-Accent11"/>
              <w:tabs>
                <w:tab w:val="left" w:pos="0"/>
                <w:tab w:val="left" w:pos="284"/>
              </w:tabs>
              <w:ind w:left="0" w:right="-90"/>
              <w:jc w:val="right"/>
              <w:rPr>
                <w:rFonts w:ascii="Arial" w:hAnsi="Arial" w:cs="Arial"/>
                <w:color w:val="000000" w:themeColor="text1"/>
                <w:sz w:val="18"/>
                <w:szCs w:val="18"/>
              </w:rPr>
            </w:pPr>
            <w:r w:rsidRPr="00872FD9">
              <w:rPr>
                <w:rFonts w:ascii="Arial" w:hAnsi="Arial" w:cs="Arial"/>
                <w:sz w:val="18"/>
                <w:szCs w:val="18"/>
              </w:rPr>
              <w:t>189</w:t>
            </w:r>
            <w:r w:rsidR="001E06AD" w:rsidRPr="00872FD9">
              <w:rPr>
                <w:rFonts w:ascii="Arial" w:hAnsi="Arial" w:cs="Arial"/>
                <w:sz w:val="18"/>
                <w:szCs w:val="18"/>
              </w:rPr>
              <w:t>,</w:t>
            </w:r>
            <w:r w:rsidRPr="00872FD9">
              <w:rPr>
                <w:rFonts w:ascii="Arial" w:hAnsi="Arial" w:cs="Arial"/>
                <w:sz w:val="18"/>
                <w:szCs w:val="18"/>
              </w:rPr>
              <w:t xml:space="preserve">3 </w:t>
            </w:r>
          </w:p>
        </w:tc>
      </w:tr>
      <w:tr w:rsidR="00E32C25" w:rsidRPr="00872FD9" w14:paraId="235CD5CF" w14:textId="77777777" w:rsidTr="0009084A">
        <w:trPr>
          <w:trHeight w:val="256"/>
        </w:trPr>
        <w:tc>
          <w:tcPr>
            <w:tcW w:w="6379" w:type="dxa"/>
            <w:tcBorders>
              <w:top w:val="nil"/>
              <w:bottom w:val="nil"/>
            </w:tcBorders>
            <w:shd w:val="clear" w:color="auto" w:fill="FFFFFF" w:themeFill="background1"/>
          </w:tcPr>
          <w:p w14:paraId="3126948A" w14:textId="7B0AF9DE" w:rsidR="00E32C25" w:rsidRPr="00872FD9" w:rsidRDefault="00E32C25" w:rsidP="00E32C25">
            <w:pPr>
              <w:pStyle w:val="ColorfulList-Accent11"/>
              <w:tabs>
                <w:tab w:val="left" w:pos="0"/>
                <w:tab w:val="left" w:pos="284"/>
              </w:tabs>
              <w:ind w:left="0" w:right="-90"/>
              <w:rPr>
                <w:rFonts w:ascii="Arial" w:hAnsi="Arial" w:cs="Arial"/>
                <w:color w:val="000000" w:themeColor="text1"/>
                <w:sz w:val="18"/>
                <w:szCs w:val="18"/>
              </w:rPr>
            </w:pPr>
            <w:proofErr w:type="spellStart"/>
            <w:r w:rsidRPr="00872FD9">
              <w:rPr>
                <w:rFonts w:ascii="Arial" w:hAnsi="Arial" w:cs="Arial"/>
                <w:sz w:val="18"/>
                <w:szCs w:val="18"/>
              </w:rPr>
              <w:t>Κόστος</w:t>
            </w:r>
            <w:proofErr w:type="spellEnd"/>
            <w:r w:rsidRPr="00872FD9">
              <w:rPr>
                <w:rFonts w:ascii="Arial" w:hAnsi="Arial" w:cs="Arial"/>
                <w:sz w:val="18"/>
                <w:szCs w:val="18"/>
              </w:rPr>
              <w:t xml:space="preserve"> </w:t>
            </w:r>
            <w:proofErr w:type="spellStart"/>
            <w:r w:rsidRPr="00872FD9">
              <w:rPr>
                <w:rFonts w:ascii="Arial" w:hAnsi="Arial" w:cs="Arial"/>
                <w:sz w:val="18"/>
                <w:szCs w:val="18"/>
              </w:rPr>
              <w:t>συμ</w:t>
            </w:r>
            <w:proofErr w:type="spellEnd"/>
            <w:r w:rsidRPr="00872FD9">
              <w:rPr>
                <w:rFonts w:ascii="Arial" w:hAnsi="Arial" w:cs="Arial"/>
                <w:sz w:val="18"/>
                <w:szCs w:val="18"/>
              </w:rPr>
              <w:t>βάσεων</w:t>
            </w:r>
          </w:p>
        </w:tc>
        <w:tc>
          <w:tcPr>
            <w:tcW w:w="1985" w:type="dxa"/>
            <w:tcBorders>
              <w:top w:val="nil"/>
              <w:bottom w:val="nil"/>
            </w:tcBorders>
            <w:shd w:val="clear" w:color="auto" w:fill="FFFFFF" w:themeFill="background1"/>
            <w:vAlign w:val="center"/>
          </w:tcPr>
          <w:p w14:paraId="37D00177" w14:textId="1E1379AA" w:rsidR="00E32C25" w:rsidRPr="00872FD9" w:rsidRDefault="00E32C25" w:rsidP="00E32C25">
            <w:pPr>
              <w:pStyle w:val="ColorfulList-Accent11"/>
              <w:tabs>
                <w:tab w:val="left" w:pos="0"/>
                <w:tab w:val="left" w:pos="284"/>
              </w:tabs>
              <w:ind w:left="0" w:right="-90"/>
              <w:jc w:val="right"/>
              <w:rPr>
                <w:rFonts w:ascii="Arial" w:hAnsi="Arial" w:cs="Arial"/>
                <w:color w:val="000000" w:themeColor="text1"/>
                <w:sz w:val="18"/>
                <w:szCs w:val="18"/>
              </w:rPr>
            </w:pPr>
            <w:r w:rsidRPr="00872FD9">
              <w:rPr>
                <w:rFonts w:ascii="Arial" w:hAnsi="Arial" w:cs="Arial"/>
                <w:color w:val="000000"/>
                <w:sz w:val="18"/>
                <w:szCs w:val="18"/>
              </w:rPr>
              <w:t>14</w:t>
            </w:r>
            <w:r w:rsidR="001E06AD" w:rsidRPr="00872FD9">
              <w:rPr>
                <w:rFonts w:ascii="Arial" w:hAnsi="Arial" w:cs="Arial"/>
                <w:color w:val="000000"/>
                <w:sz w:val="18"/>
                <w:szCs w:val="18"/>
              </w:rPr>
              <w:t>,</w:t>
            </w:r>
            <w:r w:rsidRPr="00872FD9">
              <w:rPr>
                <w:rFonts w:ascii="Arial" w:hAnsi="Arial" w:cs="Arial"/>
                <w:color w:val="000000"/>
                <w:sz w:val="18"/>
                <w:szCs w:val="18"/>
              </w:rPr>
              <w:t>8</w:t>
            </w:r>
          </w:p>
        </w:tc>
        <w:tc>
          <w:tcPr>
            <w:tcW w:w="2126" w:type="dxa"/>
            <w:tcBorders>
              <w:top w:val="nil"/>
              <w:bottom w:val="nil"/>
            </w:tcBorders>
            <w:shd w:val="clear" w:color="auto" w:fill="FFFFFF" w:themeFill="background1"/>
            <w:vAlign w:val="center"/>
          </w:tcPr>
          <w:p w14:paraId="41D4FF8F" w14:textId="6B51BAA7" w:rsidR="00E32C25" w:rsidRPr="00872FD9" w:rsidRDefault="00E32C25" w:rsidP="00E32C25">
            <w:pPr>
              <w:pStyle w:val="ColorfulList-Accent11"/>
              <w:tabs>
                <w:tab w:val="left" w:pos="0"/>
                <w:tab w:val="left" w:pos="284"/>
              </w:tabs>
              <w:ind w:left="0" w:right="-90"/>
              <w:jc w:val="right"/>
              <w:rPr>
                <w:rFonts w:ascii="Arial" w:hAnsi="Arial" w:cs="Arial"/>
                <w:color w:val="000000" w:themeColor="text1"/>
                <w:sz w:val="18"/>
                <w:szCs w:val="18"/>
              </w:rPr>
            </w:pPr>
            <w:r w:rsidRPr="00872FD9">
              <w:rPr>
                <w:rFonts w:ascii="Arial" w:hAnsi="Arial" w:cs="Arial"/>
                <w:sz w:val="18"/>
                <w:szCs w:val="18"/>
              </w:rPr>
              <w:t>33</w:t>
            </w:r>
            <w:r w:rsidR="001E06AD" w:rsidRPr="00872FD9">
              <w:rPr>
                <w:rFonts w:ascii="Arial" w:hAnsi="Arial" w:cs="Arial"/>
                <w:sz w:val="18"/>
                <w:szCs w:val="18"/>
              </w:rPr>
              <w:t>,</w:t>
            </w:r>
            <w:r w:rsidRPr="00872FD9">
              <w:rPr>
                <w:rFonts w:ascii="Arial" w:hAnsi="Arial" w:cs="Arial"/>
                <w:sz w:val="18"/>
                <w:szCs w:val="18"/>
              </w:rPr>
              <w:t xml:space="preserve">7 </w:t>
            </w:r>
          </w:p>
        </w:tc>
      </w:tr>
      <w:tr w:rsidR="00E32C25" w:rsidRPr="00872FD9" w14:paraId="4FFBB44B" w14:textId="77777777" w:rsidTr="00872FD9">
        <w:trPr>
          <w:trHeight w:val="112"/>
        </w:trPr>
        <w:tc>
          <w:tcPr>
            <w:tcW w:w="6379" w:type="dxa"/>
            <w:tcBorders>
              <w:top w:val="nil"/>
              <w:bottom w:val="single" w:sz="2" w:space="0" w:color="808080" w:themeColor="background1" w:themeShade="80"/>
            </w:tcBorders>
            <w:shd w:val="clear" w:color="auto" w:fill="FFFFFF" w:themeFill="background1"/>
          </w:tcPr>
          <w:p w14:paraId="2C669310" w14:textId="6F20B7C0" w:rsidR="00E32C25" w:rsidRPr="00872FD9" w:rsidRDefault="00E32C25" w:rsidP="00E32C25">
            <w:pPr>
              <w:pStyle w:val="ColorfulList-Accent11"/>
              <w:tabs>
                <w:tab w:val="left" w:pos="0"/>
                <w:tab w:val="left" w:pos="284"/>
              </w:tabs>
              <w:ind w:left="0" w:right="-90"/>
              <w:rPr>
                <w:rFonts w:ascii="Arial" w:hAnsi="Arial" w:cs="Arial"/>
                <w:color w:val="000000" w:themeColor="text1"/>
                <w:sz w:val="18"/>
                <w:szCs w:val="18"/>
                <w:lang w:val="el-GR"/>
              </w:rPr>
            </w:pPr>
            <w:r w:rsidRPr="00872FD9">
              <w:rPr>
                <w:rFonts w:ascii="Arial" w:hAnsi="Arial" w:cs="Arial"/>
                <w:sz w:val="18"/>
                <w:szCs w:val="18"/>
                <w:lang w:val="el-GR"/>
              </w:rPr>
              <w:t xml:space="preserve">Λοιπά μη </w:t>
            </w:r>
            <w:proofErr w:type="spellStart"/>
            <w:r w:rsidRPr="00872FD9">
              <w:rPr>
                <w:rFonts w:ascii="Arial" w:hAnsi="Arial" w:cs="Arial"/>
                <w:sz w:val="18"/>
                <w:szCs w:val="18"/>
                <w:lang w:val="el-GR"/>
              </w:rPr>
              <w:t>κυκλοφορούντα</w:t>
            </w:r>
            <w:proofErr w:type="spellEnd"/>
            <w:r w:rsidRPr="00872FD9">
              <w:rPr>
                <w:rFonts w:ascii="Arial" w:hAnsi="Arial" w:cs="Arial"/>
                <w:sz w:val="18"/>
                <w:szCs w:val="18"/>
                <w:lang w:val="el-GR"/>
              </w:rPr>
              <w:t xml:space="preserve"> περιουσιακά στοιχεία</w:t>
            </w:r>
          </w:p>
        </w:tc>
        <w:tc>
          <w:tcPr>
            <w:tcW w:w="1985" w:type="dxa"/>
            <w:tcBorders>
              <w:top w:val="nil"/>
              <w:bottom w:val="single" w:sz="2" w:space="0" w:color="808080" w:themeColor="background1" w:themeShade="80"/>
            </w:tcBorders>
            <w:shd w:val="clear" w:color="auto" w:fill="FFFFFF" w:themeFill="background1"/>
            <w:vAlign w:val="center"/>
          </w:tcPr>
          <w:p w14:paraId="34D23617" w14:textId="7735303F" w:rsidR="00E32C25" w:rsidRPr="00872FD9" w:rsidRDefault="00E32C25" w:rsidP="00E32C25">
            <w:pPr>
              <w:pStyle w:val="ColorfulList-Accent11"/>
              <w:tabs>
                <w:tab w:val="left" w:pos="0"/>
                <w:tab w:val="left" w:pos="284"/>
              </w:tabs>
              <w:ind w:left="0" w:right="-90"/>
              <w:jc w:val="right"/>
              <w:rPr>
                <w:rFonts w:ascii="Arial" w:hAnsi="Arial" w:cs="Arial"/>
                <w:color w:val="000000" w:themeColor="text1"/>
                <w:sz w:val="18"/>
                <w:szCs w:val="18"/>
              </w:rPr>
            </w:pPr>
            <w:r w:rsidRPr="00872FD9">
              <w:rPr>
                <w:rFonts w:ascii="Arial" w:hAnsi="Arial" w:cs="Arial"/>
                <w:color w:val="000000"/>
                <w:sz w:val="18"/>
                <w:szCs w:val="18"/>
              </w:rPr>
              <w:t>71</w:t>
            </w:r>
            <w:r w:rsidR="001E06AD" w:rsidRPr="00872FD9">
              <w:rPr>
                <w:rFonts w:ascii="Arial" w:hAnsi="Arial" w:cs="Arial"/>
                <w:color w:val="000000"/>
                <w:sz w:val="18"/>
                <w:szCs w:val="18"/>
              </w:rPr>
              <w:t>,</w:t>
            </w:r>
            <w:r w:rsidRPr="00872FD9">
              <w:rPr>
                <w:rFonts w:ascii="Arial" w:hAnsi="Arial" w:cs="Arial"/>
                <w:color w:val="000000"/>
                <w:sz w:val="18"/>
                <w:szCs w:val="18"/>
              </w:rPr>
              <w:t>3</w:t>
            </w:r>
          </w:p>
        </w:tc>
        <w:tc>
          <w:tcPr>
            <w:tcW w:w="2126" w:type="dxa"/>
            <w:tcBorders>
              <w:top w:val="nil"/>
              <w:bottom w:val="single" w:sz="2" w:space="0" w:color="808080" w:themeColor="background1" w:themeShade="80"/>
            </w:tcBorders>
            <w:shd w:val="clear" w:color="auto" w:fill="FFFFFF" w:themeFill="background1"/>
            <w:vAlign w:val="center"/>
          </w:tcPr>
          <w:p w14:paraId="7F71E8C4" w14:textId="71CBBCB9" w:rsidR="00E32C25" w:rsidRPr="00872FD9" w:rsidRDefault="00E32C25" w:rsidP="00E32C25">
            <w:pPr>
              <w:pStyle w:val="ColorfulList-Accent11"/>
              <w:tabs>
                <w:tab w:val="left" w:pos="0"/>
                <w:tab w:val="left" w:pos="284"/>
              </w:tabs>
              <w:ind w:left="0" w:right="-90"/>
              <w:jc w:val="right"/>
              <w:rPr>
                <w:rFonts w:ascii="Arial" w:hAnsi="Arial" w:cs="Arial"/>
                <w:color w:val="000000" w:themeColor="text1"/>
                <w:sz w:val="18"/>
                <w:szCs w:val="18"/>
              </w:rPr>
            </w:pPr>
            <w:r w:rsidRPr="00872FD9">
              <w:rPr>
                <w:rFonts w:ascii="Arial" w:hAnsi="Arial" w:cs="Arial"/>
                <w:sz w:val="18"/>
                <w:szCs w:val="18"/>
              </w:rPr>
              <w:t>77</w:t>
            </w:r>
            <w:r w:rsidR="001E06AD" w:rsidRPr="00872FD9">
              <w:rPr>
                <w:rFonts w:ascii="Arial" w:hAnsi="Arial" w:cs="Arial"/>
                <w:sz w:val="18"/>
                <w:szCs w:val="18"/>
              </w:rPr>
              <w:t>,</w:t>
            </w:r>
            <w:r w:rsidRPr="00872FD9">
              <w:rPr>
                <w:rFonts w:ascii="Arial" w:hAnsi="Arial" w:cs="Arial"/>
                <w:sz w:val="18"/>
                <w:szCs w:val="18"/>
              </w:rPr>
              <w:t xml:space="preserve">4 </w:t>
            </w:r>
          </w:p>
        </w:tc>
      </w:tr>
      <w:tr w:rsidR="00E32C25" w:rsidRPr="00872FD9" w14:paraId="057FD65A" w14:textId="77777777" w:rsidTr="0009084A">
        <w:trPr>
          <w:trHeight w:val="256"/>
        </w:trPr>
        <w:tc>
          <w:tcPr>
            <w:tcW w:w="6379" w:type="dxa"/>
            <w:tcBorders>
              <w:top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3D984A35" w14:textId="55363590" w:rsidR="00E32C25" w:rsidRPr="00872FD9" w:rsidRDefault="00E32C25" w:rsidP="00E32C25">
            <w:pPr>
              <w:pStyle w:val="ColorfulList-Accent11"/>
              <w:tabs>
                <w:tab w:val="left" w:pos="0"/>
                <w:tab w:val="left" w:pos="284"/>
              </w:tabs>
              <w:ind w:left="0" w:right="-90"/>
              <w:rPr>
                <w:rFonts w:ascii="Arial" w:hAnsi="Arial" w:cs="Arial"/>
                <w:b/>
                <w:color w:val="000000" w:themeColor="text1"/>
                <w:sz w:val="18"/>
                <w:szCs w:val="18"/>
                <w:lang w:val="el-GR"/>
              </w:rPr>
            </w:pPr>
            <w:r w:rsidRPr="00872FD9">
              <w:rPr>
                <w:rFonts w:ascii="Arial" w:hAnsi="Arial" w:cs="Arial"/>
                <w:b/>
                <w:sz w:val="18"/>
                <w:szCs w:val="18"/>
                <w:lang w:val="el-GR"/>
              </w:rPr>
              <w:t xml:space="preserve">Σύνολο μη </w:t>
            </w:r>
            <w:proofErr w:type="spellStart"/>
            <w:r w:rsidRPr="00872FD9">
              <w:rPr>
                <w:rFonts w:ascii="Arial" w:hAnsi="Arial" w:cs="Arial"/>
                <w:b/>
                <w:sz w:val="18"/>
                <w:szCs w:val="18"/>
                <w:lang w:val="el-GR"/>
              </w:rPr>
              <w:t>κυκλοφορούντων</w:t>
            </w:r>
            <w:proofErr w:type="spellEnd"/>
            <w:r w:rsidRPr="00872FD9">
              <w:rPr>
                <w:rFonts w:ascii="Arial" w:hAnsi="Arial" w:cs="Arial"/>
                <w:b/>
                <w:sz w:val="18"/>
                <w:szCs w:val="18"/>
                <w:lang w:val="el-GR"/>
              </w:rPr>
              <w:t xml:space="preserve"> περιουσιακών στοιχείων</w:t>
            </w:r>
          </w:p>
        </w:tc>
        <w:tc>
          <w:tcPr>
            <w:tcW w:w="1985" w:type="dxa"/>
            <w:tcBorders>
              <w:top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72ECCA98" w14:textId="06B6B1CC" w:rsidR="00E32C25" w:rsidRPr="00872FD9" w:rsidRDefault="00E32C25" w:rsidP="00E32C25">
            <w:pPr>
              <w:pStyle w:val="ColorfulList-Accent11"/>
              <w:tabs>
                <w:tab w:val="left" w:pos="0"/>
                <w:tab w:val="left" w:pos="284"/>
              </w:tabs>
              <w:ind w:left="0" w:right="-90"/>
              <w:jc w:val="right"/>
              <w:rPr>
                <w:rFonts w:ascii="Arial" w:hAnsi="Arial" w:cs="Arial"/>
                <w:b/>
                <w:bCs/>
                <w:color w:val="000000" w:themeColor="text1"/>
                <w:sz w:val="18"/>
                <w:szCs w:val="18"/>
              </w:rPr>
            </w:pPr>
            <w:r w:rsidRPr="00872FD9">
              <w:rPr>
                <w:rFonts w:ascii="Arial" w:hAnsi="Arial" w:cs="Arial"/>
                <w:b/>
                <w:bCs/>
                <w:color w:val="000000"/>
                <w:sz w:val="18"/>
                <w:szCs w:val="18"/>
                <w:lang w:val="el-GR"/>
              </w:rPr>
              <w:t xml:space="preserve">                       </w:t>
            </w:r>
            <w:r w:rsidRPr="00872FD9">
              <w:rPr>
                <w:rFonts w:ascii="Arial" w:hAnsi="Arial" w:cs="Arial"/>
                <w:b/>
                <w:bCs/>
                <w:color w:val="000000"/>
                <w:sz w:val="18"/>
                <w:szCs w:val="18"/>
              </w:rPr>
              <w:t>3</w:t>
            </w:r>
            <w:r w:rsidR="001E06AD" w:rsidRPr="00872FD9">
              <w:rPr>
                <w:rFonts w:ascii="Arial" w:hAnsi="Arial" w:cs="Arial"/>
                <w:b/>
                <w:bCs/>
                <w:color w:val="000000"/>
                <w:sz w:val="18"/>
                <w:szCs w:val="18"/>
              </w:rPr>
              <w:t>.</w:t>
            </w:r>
            <w:r w:rsidRPr="00872FD9">
              <w:rPr>
                <w:rFonts w:ascii="Arial" w:hAnsi="Arial" w:cs="Arial"/>
                <w:b/>
                <w:bCs/>
                <w:color w:val="000000"/>
                <w:sz w:val="18"/>
                <w:szCs w:val="18"/>
              </w:rPr>
              <w:t>716</w:t>
            </w:r>
            <w:r w:rsidR="001E06AD" w:rsidRPr="00872FD9">
              <w:rPr>
                <w:rFonts w:ascii="Arial" w:hAnsi="Arial" w:cs="Arial"/>
                <w:b/>
                <w:bCs/>
                <w:color w:val="000000"/>
                <w:sz w:val="18"/>
                <w:szCs w:val="18"/>
              </w:rPr>
              <w:t>,</w:t>
            </w:r>
            <w:r w:rsidRPr="00872FD9">
              <w:rPr>
                <w:rFonts w:ascii="Arial" w:hAnsi="Arial" w:cs="Arial"/>
                <w:b/>
                <w:bCs/>
                <w:color w:val="000000"/>
                <w:sz w:val="18"/>
                <w:szCs w:val="18"/>
                <w:lang w:val="el-GR"/>
              </w:rPr>
              <w:t>4</w:t>
            </w:r>
            <w:r w:rsidRPr="00872FD9">
              <w:rPr>
                <w:rFonts w:ascii="Arial" w:hAnsi="Arial" w:cs="Arial"/>
                <w:b/>
                <w:bCs/>
                <w:color w:val="000000"/>
                <w:sz w:val="18"/>
                <w:szCs w:val="18"/>
              </w:rPr>
              <w:t xml:space="preserve">  </w:t>
            </w:r>
          </w:p>
        </w:tc>
        <w:tc>
          <w:tcPr>
            <w:tcW w:w="2126" w:type="dxa"/>
            <w:tcBorders>
              <w:top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01250D67" w14:textId="18BC12BF" w:rsidR="00E32C25" w:rsidRPr="00872FD9" w:rsidRDefault="00E32C25" w:rsidP="00E32C25">
            <w:pPr>
              <w:pStyle w:val="ColorfulList-Accent11"/>
              <w:tabs>
                <w:tab w:val="left" w:pos="0"/>
                <w:tab w:val="left" w:pos="284"/>
              </w:tabs>
              <w:ind w:left="0" w:right="-90"/>
              <w:jc w:val="right"/>
              <w:rPr>
                <w:rFonts w:ascii="Arial" w:hAnsi="Arial" w:cs="Arial"/>
                <w:i/>
                <w:color w:val="000000" w:themeColor="text1"/>
                <w:sz w:val="18"/>
                <w:szCs w:val="18"/>
              </w:rPr>
            </w:pPr>
            <w:r w:rsidRPr="00872FD9">
              <w:rPr>
                <w:rFonts w:ascii="Arial" w:hAnsi="Arial" w:cs="Arial"/>
                <w:b/>
                <w:bCs/>
                <w:sz w:val="18"/>
                <w:szCs w:val="18"/>
              </w:rPr>
              <w:t>3</w:t>
            </w:r>
            <w:r w:rsidR="001E06AD" w:rsidRPr="00872FD9">
              <w:rPr>
                <w:rFonts w:ascii="Arial" w:hAnsi="Arial" w:cs="Arial"/>
                <w:b/>
                <w:bCs/>
                <w:sz w:val="18"/>
                <w:szCs w:val="18"/>
              </w:rPr>
              <w:t>.</w:t>
            </w:r>
            <w:r w:rsidRPr="00872FD9">
              <w:rPr>
                <w:rFonts w:ascii="Arial" w:hAnsi="Arial" w:cs="Arial"/>
                <w:b/>
                <w:bCs/>
                <w:sz w:val="18"/>
                <w:szCs w:val="18"/>
              </w:rPr>
              <w:t>731</w:t>
            </w:r>
            <w:r w:rsidR="001E06AD" w:rsidRPr="00872FD9">
              <w:rPr>
                <w:rFonts w:ascii="Arial" w:hAnsi="Arial" w:cs="Arial"/>
                <w:b/>
                <w:bCs/>
                <w:sz w:val="18"/>
                <w:szCs w:val="18"/>
              </w:rPr>
              <w:t>,</w:t>
            </w:r>
            <w:r w:rsidRPr="00872FD9">
              <w:rPr>
                <w:rFonts w:ascii="Arial" w:hAnsi="Arial" w:cs="Arial"/>
                <w:b/>
                <w:bCs/>
                <w:sz w:val="18"/>
                <w:szCs w:val="18"/>
              </w:rPr>
              <w:t xml:space="preserve">0 </w:t>
            </w:r>
          </w:p>
        </w:tc>
      </w:tr>
      <w:tr w:rsidR="00E32C25" w:rsidRPr="00872FD9" w14:paraId="2425FBF6" w14:textId="77777777" w:rsidTr="0009084A">
        <w:trPr>
          <w:trHeight w:val="256"/>
        </w:trPr>
        <w:tc>
          <w:tcPr>
            <w:tcW w:w="6379" w:type="dxa"/>
            <w:tcBorders>
              <w:top w:val="single" w:sz="2" w:space="0" w:color="808080" w:themeColor="background1" w:themeShade="80"/>
              <w:bottom w:val="nil"/>
            </w:tcBorders>
            <w:shd w:val="clear" w:color="auto" w:fill="FFFFFF" w:themeFill="background1"/>
            <w:vAlign w:val="center"/>
          </w:tcPr>
          <w:p w14:paraId="7F34459A" w14:textId="1BB1B60C" w:rsidR="00E32C25" w:rsidRPr="00872FD9" w:rsidRDefault="00E32C25" w:rsidP="00E32C25">
            <w:pPr>
              <w:pStyle w:val="ColorfulList-Accent11"/>
              <w:tabs>
                <w:tab w:val="left" w:pos="0"/>
                <w:tab w:val="left" w:pos="284"/>
              </w:tabs>
              <w:ind w:left="0" w:right="-90"/>
              <w:rPr>
                <w:rFonts w:ascii="Arial" w:hAnsi="Arial" w:cs="Arial"/>
                <w:b/>
                <w:color w:val="000000" w:themeColor="text1"/>
                <w:sz w:val="18"/>
                <w:szCs w:val="18"/>
              </w:rPr>
            </w:pPr>
            <w:proofErr w:type="spellStart"/>
            <w:r w:rsidRPr="00872FD9">
              <w:rPr>
                <w:rFonts w:ascii="Arial" w:hAnsi="Arial" w:cs="Arial"/>
                <w:b/>
                <w:sz w:val="18"/>
                <w:szCs w:val="18"/>
                <w:lang w:val="el-GR"/>
              </w:rPr>
              <w:t>Κυκλοφορούντα</w:t>
            </w:r>
            <w:proofErr w:type="spellEnd"/>
            <w:r w:rsidRPr="00872FD9">
              <w:rPr>
                <w:rFonts w:ascii="Arial" w:hAnsi="Arial" w:cs="Arial"/>
                <w:b/>
                <w:sz w:val="18"/>
                <w:szCs w:val="18"/>
                <w:lang w:val="el-GR"/>
              </w:rPr>
              <w:t xml:space="preserve"> περιουσιακά στοιχεία</w:t>
            </w:r>
          </w:p>
        </w:tc>
        <w:tc>
          <w:tcPr>
            <w:tcW w:w="1985" w:type="dxa"/>
            <w:tcBorders>
              <w:top w:val="single" w:sz="2" w:space="0" w:color="808080" w:themeColor="background1" w:themeShade="80"/>
              <w:bottom w:val="nil"/>
            </w:tcBorders>
            <w:shd w:val="clear" w:color="auto" w:fill="FFFFFF" w:themeFill="background1"/>
            <w:vAlign w:val="center"/>
          </w:tcPr>
          <w:p w14:paraId="3510B443" w14:textId="77777777" w:rsidR="00E32C25" w:rsidRPr="00872FD9" w:rsidRDefault="00E32C25" w:rsidP="00E32C25">
            <w:pPr>
              <w:pStyle w:val="ColorfulList-Accent11"/>
              <w:tabs>
                <w:tab w:val="left" w:pos="0"/>
                <w:tab w:val="left" w:pos="284"/>
              </w:tabs>
              <w:ind w:left="0" w:right="-90"/>
              <w:jc w:val="right"/>
              <w:rPr>
                <w:rFonts w:ascii="Arial" w:hAnsi="Arial" w:cs="Arial"/>
                <w:b/>
                <w:color w:val="000000" w:themeColor="text1"/>
                <w:sz w:val="18"/>
                <w:szCs w:val="18"/>
              </w:rPr>
            </w:pPr>
          </w:p>
        </w:tc>
        <w:tc>
          <w:tcPr>
            <w:tcW w:w="2126" w:type="dxa"/>
            <w:tcBorders>
              <w:top w:val="single" w:sz="2" w:space="0" w:color="808080" w:themeColor="background1" w:themeShade="80"/>
              <w:bottom w:val="nil"/>
            </w:tcBorders>
            <w:shd w:val="clear" w:color="auto" w:fill="FFFFFF" w:themeFill="background1"/>
            <w:vAlign w:val="center"/>
          </w:tcPr>
          <w:p w14:paraId="5CE04E3A" w14:textId="77777777" w:rsidR="00E32C25" w:rsidRPr="00872FD9" w:rsidRDefault="00E32C25" w:rsidP="00E32C25">
            <w:pPr>
              <w:pStyle w:val="ColorfulList-Accent11"/>
              <w:tabs>
                <w:tab w:val="left" w:pos="0"/>
                <w:tab w:val="left" w:pos="284"/>
              </w:tabs>
              <w:ind w:left="0" w:right="-90"/>
              <w:jc w:val="right"/>
              <w:rPr>
                <w:rFonts w:ascii="Arial" w:hAnsi="Arial" w:cs="Arial"/>
                <w:b/>
                <w:color w:val="000000" w:themeColor="text1"/>
                <w:sz w:val="18"/>
                <w:szCs w:val="18"/>
              </w:rPr>
            </w:pPr>
          </w:p>
        </w:tc>
      </w:tr>
      <w:tr w:rsidR="00E32C25" w:rsidRPr="00872FD9" w14:paraId="232E6021" w14:textId="77777777" w:rsidTr="0009084A">
        <w:trPr>
          <w:trHeight w:val="256"/>
        </w:trPr>
        <w:tc>
          <w:tcPr>
            <w:tcW w:w="6379" w:type="dxa"/>
            <w:tcBorders>
              <w:top w:val="nil"/>
              <w:bottom w:val="nil"/>
            </w:tcBorders>
            <w:shd w:val="clear" w:color="auto" w:fill="FFFFFF" w:themeFill="background1"/>
          </w:tcPr>
          <w:p w14:paraId="50F08412" w14:textId="0BA1B0F2" w:rsidR="00E32C25" w:rsidRPr="00872FD9" w:rsidRDefault="00E32C25" w:rsidP="00E32C25">
            <w:pPr>
              <w:pStyle w:val="ColorfulList-Accent11"/>
              <w:tabs>
                <w:tab w:val="left" w:pos="0"/>
                <w:tab w:val="left" w:pos="284"/>
              </w:tabs>
              <w:ind w:left="0" w:right="-90"/>
              <w:rPr>
                <w:rFonts w:ascii="Arial" w:hAnsi="Arial" w:cs="Arial"/>
                <w:color w:val="000000" w:themeColor="text1"/>
                <w:sz w:val="18"/>
                <w:szCs w:val="18"/>
              </w:rPr>
            </w:pPr>
            <w:r w:rsidRPr="00872FD9">
              <w:rPr>
                <w:rFonts w:ascii="Arial" w:hAnsi="Arial" w:cs="Arial"/>
                <w:sz w:val="18"/>
                <w:szCs w:val="18"/>
              </w:rPr>
              <w:t>Απ</w:t>
            </w:r>
            <w:proofErr w:type="spellStart"/>
            <w:r w:rsidRPr="00872FD9">
              <w:rPr>
                <w:rFonts w:ascii="Arial" w:hAnsi="Arial" w:cs="Arial"/>
                <w:sz w:val="18"/>
                <w:szCs w:val="18"/>
              </w:rPr>
              <w:t>οθέμ</w:t>
            </w:r>
            <w:proofErr w:type="spellEnd"/>
            <w:r w:rsidRPr="00872FD9">
              <w:rPr>
                <w:rFonts w:ascii="Arial" w:hAnsi="Arial" w:cs="Arial"/>
                <w:sz w:val="18"/>
                <w:szCs w:val="18"/>
              </w:rPr>
              <w:t>ατα</w:t>
            </w:r>
          </w:p>
        </w:tc>
        <w:tc>
          <w:tcPr>
            <w:tcW w:w="1985" w:type="dxa"/>
            <w:tcBorders>
              <w:top w:val="nil"/>
              <w:bottom w:val="nil"/>
            </w:tcBorders>
            <w:shd w:val="clear" w:color="auto" w:fill="FFFFFF" w:themeFill="background1"/>
            <w:vAlign w:val="center"/>
          </w:tcPr>
          <w:p w14:paraId="0AC07B59" w14:textId="52810BB8" w:rsidR="00E32C25" w:rsidRPr="00872FD9" w:rsidRDefault="00E32C25" w:rsidP="00E32C25">
            <w:pPr>
              <w:pStyle w:val="ColorfulList-Accent11"/>
              <w:tabs>
                <w:tab w:val="left" w:pos="0"/>
                <w:tab w:val="left" w:pos="284"/>
              </w:tabs>
              <w:ind w:left="0" w:right="-90"/>
              <w:jc w:val="right"/>
              <w:rPr>
                <w:rFonts w:ascii="Arial" w:hAnsi="Arial" w:cs="Arial"/>
                <w:color w:val="000000" w:themeColor="text1"/>
                <w:sz w:val="18"/>
                <w:szCs w:val="18"/>
              </w:rPr>
            </w:pPr>
            <w:r w:rsidRPr="00872FD9">
              <w:rPr>
                <w:rFonts w:ascii="Arial" w:hAnsi="Arial" w:cs="Arial"/>
                <w:color w:val="000000"/>
                <w:sz w:val="18"/>
                <w:szCs w:val="18"/>
              </w:rPr>
              <w:t>44</w:t>
            </w:r>
            <w:r w:rsidR="001E06AD" w:rsidRPr="00872FD9">
              <w:rPr>
                <w:rFonts w:ascii="Arial" w:hAnsi="Arial" w:cs="Arial"/>
                <w:color w:val="000000"/>
                <w:sz w:val="18"/>
                <w:szCs w:val="18"/>
              </w:rPr>
              <w:t>,</w:t>
            </w:r>
            <w:r w:rsidRPr="00872FD9">
              <w:rPr>
                <w:rFonts w:ascii="Arial" w:hAnsi="Arial" w:cs="Arial"/>
                <w:color w:val="000000"/>
                <w:sz w:val="18"/>
                <w:szCs w:val="18"/>
              </w:rPr>
              <w:t>6</w:t>
            </w:r>
          </w:p>
        </w:tc>
        <w:tc>
          <w:tcPr>
            <w:tcW w:w="2126" w:type="dxa"/>
            <w:tcBorders>
              <w:top w:val="nil"/>
              <w:bottom w:val="nil"/>
            </w:tcBorders>
            <w:shd w:val="clear" w:color="auto" w:fill="FFFFFF" w:themeFill="background1"/>
            <w:vAlign w:val="center"/>
          </w:tcPr>
          <w:p w14:paraId="1548C15A" w14:textId="39D9268D" w:rsidR="00E32C25" w:rsidRPr="00872FD9" w:rsidRDefault="00E32C25" w:rsidP="00E32C25">
            <w:pPr>
              <w:pStyle w:val="ColorfulList-Accent11"/>
              <w:tabs>
                <w:tab w:val="left" w:pos="0"/>
                <w:tab w:val="left" w:pos="284"/>
              </w:tabs>
              <w:ind w:left="0" w:right="-90"/>
              <w:jc w:val="right"/>
              <w:rPr>
                <w:rFonts w:ascii="Arial" w:hAnsi="Arial" w:cs="Arial"/>
                <w:color w:val="000000" w:themeColor="text1"/>
                <w:sz w:val="18"/>
                <w:szCs w:val="18"/>
              </w:rPr>
            </w:pPr>
            <w:r w:rsidRPr="00872FD9">
              <w:rPr>
                <w:rFonts w:ascii="Arial" w:hAnsi="Arial" w:cs="Arial"/>
                <w:sz w:val="18"/>
                <w:szCs w:val="18"/>
              </w:rPr>
              <w:t>51</w:t>
            </w:r>
            <w:r w:rsidR="001E06AD" w:rsidRPr="00872FD9">
              <w:rPr>
                <w:rFonts w:ascii="Arial" w:hAnsi="Arial" w:cs="Arial"/>
                <w:sz w:val="18"/>
                <w:szCs w:val="18"/>
              </w:rPr>
              <w:t>,</w:t>
            </w:r>
            <w:r w:rsidRPr="00872FD9">
              <w:rPr>
                <w:rFonts w:ascii="Arial" w:hAnsi="Arial" w:cs="Arial"/>
                <w:sz w:val="18"/>
                <w:szCs w:val="18"/>
              </w:rPr>
              <w:t xml:space="preserve">1 </w:t>
            </w:r>
          </w:p>
        </w:tc>
      </w:tr>
      <w:tr w:rsidR="00E32C25" w:rsidRPr="00872FD9" w14:paraId="62A2DBF9" w14:textId="77777777" w:rsidTr="0009084A">
        <w:trPr>
          <w:trHeight w:val="256"/>
        </w:trPr>
        <w:tc>
          <w:tcPr>
            <w:tcW w:w="6379" w:type="dxa"/>
            <w:tcBorders>
              <w:top w:val="nil"/>
              <w:bottom w:val="nil"/>
            </w:tcBorders>
            <w:shd w:val="clear" w:color="auto" w:fill="FFFFFF" w:themeFill="background1"/>
          </w:tcPr>
          <w:p w14:paraId="3653CF36" w14:textId="550DEB6F" w:rsidR="00E32C25" w:rsidRPr="00872FD9" w:rsidRDefault="00E32C25" w:rsidP="00E32C25">
            <w:pPr>
              <w:pStyle w:val="ColorfulList-Accent11"/>
              <w:tabs>
                <w:tab w:val="left" w:pos="0"/>
                <w:tab w:val="left" w:pos="284"/>
              </w:tabs>
              <w:ind w:left="0" w:right="-90"/>
              <w:rPr>
                <w:rFonts w:ascii="Arial" w:hAnsi="Arial" w:cs="Arial"/>
                <w:color w:val="000000" w:themeColor="text1"/>
                <w:sz w:val="18"/>
                <w:szCs w:val="18"/>
              </w:rPr>
            </w:pPr>
            <w:proofErr w:type="spellStart"/>
            <w:r w:rsidRPr="00872FD9">
              <w:rPr>
                <w:rFonts w:ascii="Arial" w:hAnsi="Arial" w:cs="Arial"/>
                <w:sz w:val="18"/>
                <w:szCs w:val="18"/>
              </w:rPr>
              <w:t>Πελάτες</w:t>
            </w:r>
            <w:proofErr w:type="spellEnd"/>
          </w:p>
        </w:tc>
        <w:tc>
          <w:tcPr>
            <w:tcW w:w="1985" w:type="dxa"/>
            <w:tcBorders>
              <w:top w:val="nil"/>
              <w:bottom w:val="nil"/>
            </w:tcBorders>
            <w:shd w:val="clear" w:color="auto" w:fill="FFFFFF" w:themeFill="background1"/>
            <w:vAlign w:val="center"/>
          </w:tcPr>
          <w:p w14:paraId="0F9346C3" w14:textId="191C3224" w:rsidR="00E32C25" w:rsidRPr="00872FD9" w:rsidRDefault="00E32C25" w:rsidP="00E32C25">
            <w:pPr>
              <w:pStyle w:val="ColorfulList-Accent11"/>
              <w:tabs>
                <w:tab w:val="left" w:pos="0"/>
                <w:tab w:val="left" w:pos="284"/>
              </w:tabs>
              <w:ind w:left="0" w:right="-90"/>
              <w:jc w:val="right"/>
              <w:rPr>
                <w:rFonts w:ascii="Arial" w:hAnsi="Arial" w:cs="Arial"/>
                <w:color w:val="000000" w:themeColor="text1"/>
                <w:sz w:val="18"/>
                <w:szCs w:val="18"/>
                <w:lang w:val="el-GR"/>
              </w:rPr>
            </w:pPr>
            <w:r w:rsidRPr="00872FD9">
              <w:rPr>
                <w:rFonts w:ascii="Arial" w:hAnsi="Arial" w:cs="Arial"/>
                <w:color w:val="000000"/>
                <w:sz w:val="18"/>
                <w:szCs w:val="18"/>
              </w:rPr>
              <w:t>609</w:t>
            </w:r>
            <w:r w:rsidR="001E06AD" w:rsidRPr="00872FD9">
              <w:rPr>
                <w:rFonts w:ascii="Arial" w:hAnsi="Arial" w:cs="Arial"/>
                <w:color w:val="000000"/>
                <w:sz w:val="18"/>
                <w:szCs w:val="18"/>
              </w:rPr>
              <w:t>,</w:t>
            </w:r>
            <w:r w:rsidRPr="00872FD9">
              <w:rPr>
                <w:rFonts w:ascii="Arial" w:hAnsi="Arial" w:cs="Arial"/>
                <w:color w:val="000000"/>
                <w:sz w:val="18"/>
                <w:szCs w:val="18"/>
              </w:rPr>
              <w:t>4</w:t>
            </w:r>
          </w:p>
        </w:tc>
        <w:tc>
          <w:tcPr>
            <w:tcW w:w="2126" w:type="dxa"/>
            <w:tcBorders>
              <w:top w:val="nil"/>
              <w:bottom w:val="nil"/>
            </w:tcBorders>
            <w:shd w:val="clear" w:color="auto" w:fill="FFFFFF" w:themeFill="background1"/>
            <w:vAlign w:val="center"/>
          </w:tcPr>
          <w:p w14:paraId="200E60C3" w14:textId="7896B921" w:rsidR="00E32C25" w:rsidRPr="00872FD9" w:rsidRDefault="00E32C25" w:rsidP="00E32C25">
            <w:pPr>
              <w:pStyle w:val="ColorfulList-Accent11"/>
              <w:tabs>
                <w:tab w:val="left" w:pos="0"/>
                <w:tab w:val="left" w:pos="284"/>
              </w:tabs>
              <w:ind w:left="0" w:right="-90"/>
              <w:jc w:val="right"/>
              <w:rPr>
                <w:rFonts w:ascii="Arial" w:hAnsi="Arial" w:cs="Arial"/>
                <w:color w:val="000000" w:themeColor="text1"/>
                <w:sz w:val="18"/>
                <w:szCs w:val="18"/>
              </w:rPr>
            </w:pPr>
            <w:r w:rsidRPr="00872FD9">
              <w:rPr>
                <w:rFonts w:ascii="Arial" w:hAnsi="Arial" w:cs="Arial"/>
                <w:sz w:val="18"/>
                <w:szCs w:val="18"/>
              </w:rPr>
              <w:t>536</w:t>
            </w:r>
            <w:r w:rsidR="001E06AD" w:rsidRPr="00872FD9">
              <w:rPr>
                <w:rFonts w:ascii="Arial" w:hAnsi="Arial" w:cs="Arial"/>
                <w:sz w:val="18"/>
                <w:szCs w:val="18"/>
              </w:rPr>
              <w:t>,</w:t>
            </w:r>
            <w:r w:rsidRPr="00872FD9">
              <w:rPr>
                <w:rFonts w:ascii="Arial" w:hAnsi="Arial" w:cs="Arial"/>
                <w:sz w:val="18"/>
                <w:szCs w:val="18"/>
              </w:rPr>
              <w:t xml:space="preserve">4 </w:t>
            </w:r>
          </w:p>
        </w:tc>
      </w:tr>
      <w:tr w:rsidR="00E32C25" w:rsidRPr="00872FD9" w14:paraId="5B6187F2" w14:textId="77777777" w:rsidTr="0009084A">
        <w:trPr>
          <w:trHeight w:val="256"/>
        </w:trPr>
        <w:tc>
          <w:tcPr>
            <w:tcW w:w="6379" w:type="dxa"/>
            <w:tcBorders>
              <w:top w:val="nil"/>
              <w:bottom w:val="nil"/>
            </w:tcBorders>
            <w:shd w:val="clear" w:color="auto" w:fill="FFFFFF" w:themeFill="background1"/>
          </w:tcPr>
          <w:p w14:paraId="3BC5B3C0" w14:textId="120DF205" w:rsidR="00E32C25" w:rsidRPr="00872FD9" w:rsidRDefault="00E32C25" w:rsidP="00E32C25">
            <w:pPr>
              <w:pStyle w:val="ColorfulList-Accent11"/>
              <w:tabs>
                <w:tab w:val="left" w:pos="0"/>
                <w:tab w:val="left" w:pos="284"/>
              </w:tabs>
              <w:ind w:left="0" w:right="-90"/>
              <w:rPr>
                <w:rFonts w:ascii="Arial" w:hAnsi="Arial" w:cs="Arial"/>
                <w:color w:val="000000" w:themeColor="text1"/>
                <w:sz w:val="18"/>
                <w:szCs w:val="18"/>
              </w:rPr>
            </w:pPr>
            <w:proofErr w:type="spellStart"/>
            <w:r w:rsidRPr="00872FD9">
              <w:rPr>
                <w:rFonts w:ascii="Arial" w:hAnsi="Arial" w:cs="Arial"/>
                <w:sz w:val="18"/>
                <w:szCs w:val="18"/>
              </w:rPr>
              <w:t>Λοι</w:t>
            </w:r>
            <w:proofErr w:type="spellEnd"/>
            <w:r w:rsidRPr="00872FD9">
              <w:rPr>
                <w:rFonts w:ascii="Arial" w:hAnsi="Arial" w:cs="Arial"/>
                <w:sz w:val="18"/>
                <w:szCs w:val="18"/>
              </w:rPr>
              <w:t xml:space="preserve">πά </w:t>
            </w:r>
            <w:proofErr w:type="spellStart"/>
            <w:r w:rsidRPr="00872FD9">
              <w:rPr>
                <w:rFonts w:ascii="Arial" w:hAnsi="Arial" w:cs="Arial"/>
                <w:sz w:val="18"/>
                <w:szCs w:val="18"/>
              </w:rPr>
              <w:t>χρημ</w:t>
            </w:r>
            <w:proofErr w:type="spellEnd"/>
            <w:r w:rsidRPr="00872FD9">
              <w:rPr>
                <w:rFonts w:ascii="Arial" w:hAnsi="Arial" w:cs="Arial"/>
                <w:sz w:val="18"/>
                <w:szCs w:val="18"/>
              </w:rPr>
              <w:t>ατοοικονομικά π</w:t>
            </w:r>
            <w:proofErr w:type="spellStart"/>
            <w:r w:rsidRPr="00872FD9">
              <w:rPr>
                <w:rFonts w:ascii="Arial" w:hAnsi="Arial" w:cs="Arial"/>
                <w:sz w:val="18"/>
                <w:szCs w:val="18"/>
              </w:rPr>
              <w:t>εριουσι</w:t>
            </w:r>
            <w:proofErr w:type="spellEnd"/>
            <w:r w:rsidRPr="00872FD9">
              <w:rPr>
                <w:rFonts w:ascii="Arial" w:hAnsi="Arial" w:cs="Arial"/>
                <w:sz w:val="18"/>
                <w:szCs w:val="18"/>
              </w:rPr>
              <w:t xml:space="preserve">ακά </w:t>
            </w:r>
            <w:proofErr w:type="spellStart"/>
            <w:r w:rsidRPr="00872FD9">
              <w:rPr>
                <w:rFonts w:ascii="Arial" w:hAnsi="Arial" w:cs="Arial"/>
                <w:sz w:val="18"/>
                <w:szCs w:val="18"/>
              </w:rPr>
              <w:t>στοιχεί</w:t>
            </w:r>
            <w:proofErr w:type="spellEnd"/>
            <w:r w:rsidRPr="00872FD9">
              <w:rPr>
                <w:rFonts w:ascii="Arial" w:hAnsi="Arial" w:cs="Arial"/>
                <w:sz w:val="18"/>
                <w:szCs w:val="18"/>
              </w:rPr>
              <w:t>α</w:t>
            </w:r>
          </w:p>
        </w:tc>
        <w:tc>
          <w:tcPr>
            <w:tcW w:w="1985" w:type="dxa"/>
            <w:tcBorders>
              <w:top w:val="nil"/>
              <w:bottom w:val="nil"/>
            </w:tcBorders>
            <w:shd w:val="clear" w:color="auto" w:fill="FFFFFF" w:themeFill="background1"/>
            <w:vAlign w:val="center"/>
          </w:tcPr>
          <w:p w14:paraId="056A38A0" w14:textId="181AC169" w:rsidR="00E32C25" w:rsidRPr="00872FD9" w:rsidRDefault="00E32C25" w:rsidP="00E32C25">
            <w:pPr>
              <w:pStyle w:val="ColorfulList-Accent11"/>
              <w:tabs>
                <w:tab w:val="left" w:pos="0"/>
                <w:tab w:val="left" w:pos="284"/>
              </w:tabs>
              <w:ind w:left="0" w:right="-90"/>
              <w:jc w:val="right"/>
              <w:rPr>
                <w:rFonts w:ascii="Arial" w:hAnsi="Arial" w:cs="Arial"/>
                <w:color w:val="000000" w:themeColor="text1"/>
                <w:sz w:val="18"/>
                <w:szCs w:val="18"/>
              </w:rPr>
            </w:pPr>
            <w:r w:rsidRPr="00872FD9">
              <w:rPr>
                <w:rFonts w:ascii="Arial" w:hAnsi="Arial" w:cs="Arial"/>
                <w:color w:val="000000"/>
                <w:sz w:val="18"/>
                <w:szCs w:val="18"/>
              </w:rPr>
              <w:t>6</w:t>
            </w:r>
            <w:r w:rsidR="001E06AD" w:rsidRPr="00872FD9">
              <w:rPr>
                <w:rFonts w:ascii="Arial" w:hAnsi="Arial" w:cs="Arial"/>
                <w:color w:val="000000"/>
                <w:sz w:val="18"/>
                <w:szCs w:val="18"/>
              </w:rPr>
              <w:t>,</w:t>
            </w:r>
            <w:r w:rsidRPr="00872FD9">
              <w:rPr>
                <w:rFonts w:ascii="Arial" w:hAnsi="Arial" w:cs="Arial"/>
                <w:color w:val="000000"/>
                <w:sz w:val="18"/>
                <w:szCs w:val="18"/>
              </w:rPr>
              <w:t>8</w:t>
            </w:r>
          </w:p>
        </w:tc>
        <w:tc>
          <w:tcPr>
            <w:tcW w:w="2126" w:type="dxa"/>
            <w:tcBorders>
              <w:top w:val="nil"/>
              <w:bottom w:val="nil"/>
            </w:tcBorders>
            <w:shd w:val="clear" w:color="auto" w:fill="FFFFFF" w:themeFill="background1"/>
            <w:vAlign w:val="center"/>
          </w:tcPr>
          <w:p w14:paraId="570AFB8F" w14:textId="5B010F75" w:rsidR="00E32C25" w:rsidRPr="00872FD9" w:rsidRDefault="00E32C25" w:rsidP="00E32C25">
            <w:pPr>
              <w:pStyle w:val="ColorfulList-Accent11"/>
              <w:tabs>
                <w:tab w:val="left" w:pos="0"/>
                <w:tab w:val="left" w:pos="284"/>
              </w:tabs>
              <w:ind w:left="0" w:right="-90"/>
              <w:jc w:val="right"/>
              <w:rPr>
                <w:rFonts w:ascii="Arial" w:hAnsi="Arial" w:cs="Arial"/>
                <w:color w:val="000000" w:themeColor="text1"/>
                <w:sz w:val="18"/>
                <w:szCs w:val="18"/>
              </w:rPr>
            </w:pPr>
            <w:r w:rsidRPr="00872FD9">
              <w:rPr>
                <w:rFonts w:ascii="Arial" w:hAnsi="Arial" w:cs="Arial"/>
                <w:sz w:val="18"/>
                <w:szCs w:val="18"/>
              </w:rPr>
              <w:t>6</w:t>
            </w:r>
            <w:r w:rsidR="001E06AD" w:rsidRPr="00872FD9">
              <w:rPr>
                <w:rFonts w:ascii="Arial" w:hAnsi="Arial" w:cs="Arial"/>
                <w:sz w:val="18"/>
                <w:szCs w:val="18"/>
              </w:rPr>
              <w:t>,</w:t>
            </w:r>
            <w:r w:rsidRPr="00872FD9">
              <w:rPr>
                <w:rFonts w:ascii="Arial" w:hAnsi="Arial" w:cs="Arial"/>
                <w:sz w:val="18"/>
                <w:szCs w:val="18"/>
              </w:rPr>
              <w:t xml:space="preserve">3 </w:t>
            </w:r>
          </w:p>
        </w:tc>
      </w:tr>
      <w:tr w:rsidR="00E32C25" w:rsidRPr="00872FD9" w14:paraId="0DD2371E" w14:textId="77777777" w:rsidTr="0009084A">
        <w:trPr>
          <w:trHeight w:val="256"/>
        </w:trPr>
        <w:tc>
          <w:tcPr>
            <w:tcW w:w="6379" w:type="dxa"/>
            <w:tcBorders>
              <w:top w:val="nil"/>
              <w:bottom w:val="nil"/>
            </w:tcBorders>
            <w:shd w:val="clear" w:color="auto" w:fill="FFFFFF" w:themeFill="background1"/>
          </w:tcPr>
          <w:p w14:paraId="043319CA" w14:textId="3C0A647C" w:rsidR="00E32C25" w:rsidRPr="00872FD9" w:rsidRDefault="00E32C25" w:rsidP="00E32C25">
            <w:pPr>
              <w:pStyle w:val="ColorfulList-Accent11"/>
              <w:tabs>
                <w:tab w:val="left" w:pos="0"/>
                <w:tab w:val="left" w:pos="284"/>
              </w:tabs>
              <w:ind w:left="0" w:right="-90"/>
              <w:rPr>
                <w:rFonts w:ascii="Arial" w:hAnsi="Arial" w:cs="Arial"/>
                <w:color w:val="000000" w:themeColor="text1"/>
                <w:sz w:val="18"/>
                <w:szCs w:val="18"/>
              </w:rPr>
            </w:pPr>
            <w:proofErr w:type="spellStart"/>
            <w:r w:rsidRPr="00872FD9">
              <w:rPr>
                <w:rFonts w:ascii="Arial" w:hAnsi="Arial" w:cs="Arial"/>
                <w:sz w:val="18"/>
                <w:szCs w:val="18"/>
              </w:rPr>
              <w:t>Συμ</w:t>
            </w:r>
            <w:proofErr w:type="spellEnd"/>
            <w:r w:rsidRPr="00872FD9">
              <w:rPr>
                <w:rFonts w:ascii="Arial" w:hAnsi="Arial" w:cs="Arial"/>
                <w:sz w:val="18"/>
                <w:szCs w:val="18"/>
              </w:rPr>
              <w:t>βατικά π</w:t>
            </w:r>
            <w:proofErr w:type="spellStart"/>
            <w:r w:rsidRPr="00872FD9">
              <w:rPr>
                <w:rFonts w:ascii="Arial" w:hAnsi="Arial" w:cs="Arial"/>
                <w:sz w:val="18"/>
                <w:szCs w:val="18"/>
              </w:rPr>
              <w:t>εριουσι</w:t>
            </w:r>
            <w:proofErr w:type="spellEnd"/>
            <w:r w:rsidRPr="00872FD9">
              <w:rPr>
                <w:rFonts w:ascii="Arial" w:hAnsi="Arial" w:cs="Arial"/>
                <w:sz w:val="18"/>
                <w:szCs w:val="18"/>
              </w:rPr>
              <w:t xml:space="preserve">ακά </w:t>
            </w:r>
            <w:proofErr w:type="spellStart"/>
            <w:r w:rsidRPr="00872FD9">
              <w:rPr>
                <w:rFonts w:ascii="Arial" w:hAnsi="Arial" w:cs="Arial"/>
                <w:sz w:val="18"/>
                <w:szCs w:val="18"/>
              </w:rPr>
              <w:t>στοιχεί</w:t>
            </w:r>
            <w:proofErr w:type="spellEnd"/>
            <w:r w:rsidRPr="00872FD9">
              <w:rPr>
                <w:rFonts w:ascii="Arial" w:hAnsi="Arial" w:cs="Arial"/>
                <w:sz w:val="18"/>
                <w:szCs w:val="18"/>
              </w:rPr>
              <w:t xml:space="preserve">α </w:t>
            </w:r>
          </w:p>
        </w:tc>
        <w:tc>
          <w:tcPr>
            <w:tcW w:w="1985" w:type="dxa"/>
            <w:tcBorders>
              <w:top w:val="nil"/>
              <w:bottom w:val="nil"/>
            </w:tcBorders>
            <w:shd w:val="clear" w:color="auto" w:fill="FFFFFF" w:themeFill="background1"/>
            <w:vAlign w:val="center"/>
          </w:tcPr>
          <w:p w14:paraId="41C0AC70" w14:textId="64EABEE3" w:rsidR="00E32C25" w:rsidRPr="00872FD9" w:rsidRDefault="00E32C25" w:rsidP="00E32C25">
            <w:pPr>
              <w:pStyle w:val="ColorfulList-Accent11"/>
              <w:tabs>
                <w:tab w:val="left" w:pos="0"/>
                <w:tab w:val="left" w:pos="284"/>
              </w:tabs>
              <w:ind w:left="0" w:right="-90"/>
              <w:jc w:val="right"/>
              <w:rPr>
                <w:rFonts w:ascii="Arial" w:hAnsi="Arial" w:cs="Arial"/>
                <w:color w:val="000000" w:themeColor="text1"/>
                <w:sz w:val="18"/>
                <w:szCs w:val="18"/>
              </w:rPr>
            </w:pPr>
            <w:r w:rsidRPr="00872FD9">
              <w:rPr>
                <w:rFonts w:ascii="Arial" w:hAnsi="Arial" w:cs="Arial"/>
                <w:color w:val="000000"/>
                <w:sz w:val="18"/>
                <w:szCs w:val="18"/>
              </w:rPr>
              <w:t>34</w:t>
            </w:r>
            <w:r w:rsidR="001E06AD" w:rsidRPr="00872FD9">
              <w:rPr>
                <w:rFonts w:ascii="Arial" w:hAnsi="Arial" w:cs="Arial"/>
                <w:color w:val="000000"/>
                <w:sz w:val="18"/>
                <w:szCs w:val="18"/>
              </w:rPr>
              <w:t>,</w:t>
            </w:r>
            <w:r w:rsidRPr="00872FD9">
              <w:rPr>
                <w:rFonts w:ascii="Arial" w:hAnsi="Arial" w:cs="Arial"/>
                <w:color w:val="000000"/>
                <w:sz w:val="18"/>
                <w:szCs w:val="18"/>
              </w:rPr>
              <w:t>5</w:t>
            </w:r>
          </w:p>
        </w:tc>
        <w:tc>
          <w:tcPr>
            <w:tcW w:w="2126" w:type="dxa"/>
            <w:tcBorders>
              <w:top w:val="nil"/>
              <w:bottom w:val="nil"/>
            </w:tcBorders>
            <w:shd w:val="clear" w:color="auto" w:fill="FFFFFF" w:themeFill="background1"/>
            <w:vAlign w:val="center"/>
          </w:tcPr>
          <w:p w14:paraId="17A41BFB" w14:textId="41AD3C33" w:rsidR="00E32C25" w:rsidRPr="00872FD9" w:rsidRDefault="00E32C25" w:rsidP="00E32C25">
            <w:pPr>
              <w:pStyle w:val="ColorfulList-Accent11"/>
              <w:tabs>
                <w:tab w:val="left" w:pos="0"/>
                <w:tab w:val="left" w:pos="284"/>
              </w:tabs>
              <w:ind w:left="0" w:right="-90"/>
              <w:jc w:val="right"/>
              <w:rPr>
                <w:rFonts w:ascii="Arial" w:hAnsi="Arial" w:cs="Arial"/>
                <w:color w:val="000000" w:themeColor="text1"/>
                <w:sz w:val="18"/>
                <w:szCs w:val="18"/>
              </w:rPr>
            </w:pPr>
            <w:r w:rsidRPr="00872FD9">
              <w:rPr>
                <w:rFonts w:ascii="Arial" w:hAnsi="Arial" w:cs="Arial"/>
                <w:sz w:val="18"/>
                <w:szCs w:val="18"/>
              </w:rPr>
              <w:t>76</w:t>
            </w:r>
            <w:r w:rsidR="001E06AD" w:rsidRPr="00872FD9">
              <w:rPr>
                <w:rFonts w:ascii="Arial" w:hAnsi="Arial" w:cs="Arial"/>
                <w:sz w:val="18"/>
                <w:szCs w:val="18"/>
              </w:rPr>
              <w:t>,</w:t>
            </w:r>
            <w:r w:rsidRPr="00872FD9">
              <w:rPr>
                <w:rFonts w:ascii="Arial" w:hAnsi="Arial" w:cs="Arial"/>
                <w:sz w:val="18"/>
                <w:szCs w:val="18"/>
              </w:rPr>
              <w:t xml:space="preserve">5 </w:t>
            </w:r>
          </w:p>
        </w:tc>
      </w:tr>
      <w:tr w:rsidR="00E32C25" w:rsidRPr="00872FD9" w14:paraId="2FE4792B" w14:textId="77777777" w:rsidTr="0009084A">
        <w:trPr>
          <w:trHeight w:val="256"/>
        </w:trPr>
        <w:tc>
          <w:tcPr>
            <w:tcW w:w="6379" w:type="dxa"/>
            <w:tcBorders>
              <w:top w:val="nil"/>
              <w:bottom w:val="nil"/>
            </w:tcBorders>
            <w:shd w:val="clear" w:color="auto" w:fill="FFFFFF" w:themeFill="background1"/>
          </w:tcPr>
          <w:p w14:paraId="546246F1" w14:textId="75BDCB80" w:rsidR="00E32C25" w:rsidRPr="00872FD9" w:rsidRDefault="00E32C25" w:rsidP="00E32C25">
            <w:pPr>
              <w:pStyle w:val="ColorfulList-Accent11"/>
              <w:tabs>
                <w:tab w:val="left" w:pos="0"/>
                <w:tab w:val="left" w:pos="284"/>
              </w:tabs>
              <w:ind w:left="0" w:right="-90"/>
              <w:rPr>
                <w:rFonts w:ascii="Arial" w:hAnsi="Arial" w:cs="Arial"/>
                <w:color w:val="000000" w:themeColor="text1"/>
                <w:sz w:val="18"/>
                <w:szCs w:val="18"/>
              </w:rPr>
            </w:pPr>
            <w:proofErr w:type="spellStart"/>
            <w:r w:rsidRPr="00872FD9">
              <w:rPr>
                <w:rFonts w:ascii="Arial" w:hAnsi="Arial" w:cs="Arial"/>
                <w:sz w:val="18"/>
                <w:szCs w:val="18"/>
              </w:rPr>
              <w:t>Λοι</w:t>
            </w:r>
            <w:proofErr w:type="spellEnd"/>
            <w:r w:rsidRPr="00872FD9">
              <w:rPr>
                <w:rFonts w:ascii="Arial" w:hAnsi="Arial" w:cs="Arial"/>
                <w:sz w:val="18"/>
                <w:szCs w:val="18"/>
              </w:rPr>
              <w:t xml:space="preserve">πά </w:t>
            </w:r>
            <w:proofErr w:type="spellStart"/>
            <w:r w:rsidRPr="00872FD9">
              <w:rPr>
                <w:rFonts w:ascii="Arial" w:hAnsi="Arial" w:cs="Arial"/>
                <w:sz w:val="18"/>
                <w:szCs w:val="18"/>
              </w:rPr>
              <w:t>κυκλοφορούντ</w:t>
            </w:r>
            <w:proofErr w:type="spellEnd"/>
            <w:r w:rsidRPr="00872FD9">
              <w:rPr>
                <w:rFonts w:ascii="Arial" w:hAnsi="Arial" w:cs="Arial"/>
                <w:sz w:val="18"/>
                <w:szCs w:val="18"/>
              </w:rPr>
              <w:t>α π</w:t>
            </w:r>
            <w:proofErr w:type="spellStart"/>
            <w:r w:rsidRPr="00872FD9">
              <w:rPr>
                <w:rFonts w:ascii="Arial" w:hAnsi="Arial" w:cs="Arial"/>
                <w:sz w:val="18"/>
                <w:szCs w:val="18"/>
              </w:rPr>
              <w:t>εριουσι</w:t>
            </w:r>
            <w:proofErr w:type="spellEnd"/>
            <w:r w:rsidRPr="00872FD9">
              <w:rPr>
                <w:rFonts w:ascii="Arial" w:hAnsi="Arial" w:cs="Arial"/>
                <w:sz w:val="18"/>
                <w:szCs w:val="18"/>
              </w:rPr>
              <w:t xml:space="preserve">ακά </w:t>
            </w:r>
            <w:proofErr w:type="spellStart"/>
            <w:r w:rsidRPr="00872FD9">
              <w:rPr>
                <w:rFonts w:ascii="Arial" w:hAnsi="Arial" w:cs="Arial"/>
                <w:sz w:val="18"/>
                <w:szCs w:val="18"/>
              </w:rPr>
              <w:t>στοιχεί</w:t>
            </w:r>
            <w:proofErr w:type="spellEnd"/>
            <w:r w:rsidRPr="00872FD9">
              <w:rPr>
                <w:rFonts w:ascii="Arial" w:hAnsi="Arial" w:cs="Arial"/>
                <w:sz w:val="18"/>
                <w:szCs w:val="18"/>
              </w:rPr>
              <w:t>α</w:t>
            </w:r>
          </w:p>
        </w:tc>
        <w:tc>
          <w:tcPr>
            <w:tcW w:w="1985" w:type="dxa"/>
            <w:tcBorders>
              <w:top w:val="nil"/>
              <w:bottom w:val="nil"/>
            </w:tcBorders>
            <w:shd w:val="clear" w:color="auto" w:fill="FFFFFF" w:themeFill="background1"/>
            <w:vAlign w:val="center"/>
          </w:tcPr>
          <w:p w14:paraId="115DA559" w14:textId="3665ABC3" w:rsidR="00E32C25" w:rsidRPr="00872FD9" w:rsidRDefault="00E32C25" w:rsidP="00E32C25">
            <w:pPr>
              <w:pStyle w:val="ColorfulList-Accent11"/>
              <w:tabs>
                <w:tab w:val="left" w:pos="0"/>
                <w:tab w:val="left" w:pos="284"/>
              </w:tabs>
              <w:ind w:left="0" w:right="-90"/>
              <w:jc w:val="right"/>
              <w:rPr>
                <w:rFonts w:ascii="Arial" w:hAnsi="Arial" w:cs="Arial"/>
                <w:color w:val="000000" w:themeColor="text1"/>
                <w:sz w:val="18"/>
                <w:szCs w:val="18"/>
              </w:rPr>
            </w:pPr>
            <w:r w:rsidRPr="00872FD9">
              <w:rPr>
                <w:rFonts w:ascii="Arial" w:hAnsi="Arial" w:cs="Arial"/>
                <w:color w:val="000000"/>
                <w:sz w:val="18"/>
                <w:szCs w:val="18"/>
              </w:rPr>
              <w:t>130</w:t>
            </w:r>
            <w:r w:rsidR="001E06AD" w:rsidRPr="00872FD9">
              <w:rPr>
                <w:rFonts w:ascii="Arial" w:hAnsi="Arial" w:cs="Arial"/>
                <w:color w:val="000000"/>
                <w:sz w:val="18"/>
                <w:szCs w:val="18"/>
              </w:rPr>
              <w:t>,</w:t>
            </w:r>
            <w:r w:rsidRPr="00872FD9">
              <w:rPr>
                <w:rFonts w:ascii="Arial" w:hAnsi="Arial" w:cs="Arial"/>
                <w:color w:val="000000"/>
                <w:sz w:val="18"/>
                <w:szCs w:val="18"/>
              </w:rPr>
              <w:t>2</w:t>
            </w:r>
          </w:p>
        </w:tc>
        <w:tc>
          <w:tcPr>
            <w:tcW w:w="2126" w:type="dxa"/>
            <w:tcBorders>
              <w:top w:val="nil"/>
              <w:bottom w:val="nil"/>
            </w:tcBorders>
            <w:shd w:val="clear" w:color="auto" w:fill="FFFFFF" w:themeFill="background1"/>
            <w:vAlign w:val="center"/>
          </w:tcPr>
          <w:p w14:paraId="509CF15E" w14:textId="0FE06C66" w:rsidR="00E32C25" w:rsidRPr="00872FD9" w:rsidRDefault="00E32C25" w:rsidP="00E32C25">
            <w:pPr>
              <w:pStyle w:val="ColorfulList-Accent11"/>
              <w:tabs>
                <w:tab w:val="left" w:pos="0"/>
                <w:tab w:val="left" w:pos="284"/>
              </w:tabs>
              <w:ind w:left="0" w:right="-90"/>
              <w:jc w:val="right"/>
              <w:rPr>
                <w:rFonts w:ascii="Arial" w:hAnsi="Arial" w:cs="Arial"/>
                <w:color w:val="000000" w:themeColor="text1"/>
                <w:sz w:val="18"/>
                <w:szCs w:val="18"/>
              </w:rPr>
            </w:pPr>
            <w:r w:rsidRPr="00872FD9">
              <w:rPr>
                <w:rFonts w:ascii="Arial" w:hAnsi="Arial" w:cs="Arial"/>
                <w:sz w:val="18"/>
                <w:szCs w:val="18"/>
              </w:rPr>
              <w:t>126</w:t>
            </w:r>
            <w:r w:rsidR="001E06AD" w:rsidRPr="00872FD9">
              <w:rPr>
                <w:rFonts w:ascii="Arial" w:hAnsi="Arial" w:cs="Arial"/>
                <w:sz w:val="18"/>
                <w:szCs w:val="18"/>
              </w:rPr>
              <w:t>,</w:t>
            </w:r>
            <w:r w:rsidRPr="00872FD9">
              <w:rPr>
                <w:rFonts w:ascii="Arial" w:hAnsi="Arial" w:cs="Arial"/>
                <w:sz w:val="18"/>
                <w:szCs w:val="18"/>
              </w:rPr>
              <w:t xml:space="preserve">2 </w:t>
            </w:r>
          </w:p>
        </w:tc>
      </w:tr>
      <w:tr w:rsidR="00E32C25" w:rsidRPr="00872FD9" w14:paraId="2C42FC2C" w14:textId="77777777" w:rsidTr="0009084A">
        <w:trPr>
          <w:trHeight w:val="256"/>
        </w:trPr>
        <w:tc>
          <w:tcPr>
            <w:tcW w:w="6379" w:type="dxa"/>
            <w:tcBorders>
              <w:top w:val="nil"/>
              <w:bottom w:val="nil"/>
            </w:tcBorders>
            <w:shd w:val="clear" w:color="auto" w:fill="FFFFFF" w:themeFill="background1"/>
          </w:tcPr>
          <w:p w14:paraId="6BA6BE4B" w14:textId="0D34E145" w:rsidR="00E32C25" w:rsidRPr="00872FD9" w:rsidRDefault="00E32C25" w:rsidP="00E32C25">
            <w:pPr>
              <w:pStyle w:val="ColorfulList-Accent11"/>
              <w:tabs>
                <w:tab w:val="left" w:pos="0"/>
                <w:tab w:val="left" w:pos="284"/>
              </w:tabs>
              <w:ind w:left="0" w:right="-90"/>
              <w:rPr>
                <w:rFonts w:ascii="Arial" w:hAnsi="Arial" w:cs="Arial"/>
                <w:color w:val="000000" w:themeColor="text1"/>
                <w:sz w:val="18"/>
                <w:szCs w:val="18"/>
              </w:rPr>
            </w:pPr>
            <w:proofErr w:type="spellStart"/>
            <w:r w:rsidRPr="00872FD9">
              <w:rPr>
                <w:rFonts w:ascii="Arial" w:hAnsi="Arial" w:cs="Arial"/>
                <w:sz w:val="18"/>
                <w:szCs w:val="18"/>
              </w:rPr>
              <w:t>Δεσμευμέν</w:t>
            </w:r>
            <w:proofErr w:type="spellEnd"/>
            <w:r w:rsidRPr="00872FD9">
              <w:rPr>
                <w:rFonts w:ascii="Arial" w:hAnsi="Arial" w:cs="Arial"/>
                <w:sz w:val="18"/>
                <w:szCs w:val="18"/>
              </w:rPr>
              <w:t>α τα</w:t>
            </w:r>
            <w:proofErr w:type="spellStart"/>
            <w:r w:rsidRPr="00872FD9">
              <w:rPr>
                <w:rFonts w:ascii="Arial" w:hAnsi="Arial" w:cs="Arial"/>
                <w:sz w:val="18"/>
                <w:szCs w:val="18"/>
              </w:rPr>
              <w:t>μει</w:t>
            </w:r>
            <w:proofErr w:type="spellEnd"/>
            <w:r w:rsidRPr="00872FD9">
              <w:rPr>
                <w:rFonts w:ascii="Arial" w:hAnsi="Arial" w:cs="Arial"/>
                <w:sz w:val="18"/>
                <w:szCs w:val="18"/>
              </w:rPr>
              <w:t xml:space="preserve">ακά </w:t>
            </w:r>
            <w:proofErr w:type="spellStart"/>
            <w:r w:rsidRPr="00872FD9">
              <w:rPr>
                <w:rFonts w:ascii="Arial" w:hAnsi="Arial" w:cs="Arial"/>
                <w:sz w:val="18"/>
                <w:szCs w:val="18"/>
              </w:rPr>
              <w:t>δι</w:t>
            </w:r>
            <w:proofErr w:type="spellEnd"/>
            <w:r w:rsidRPr="00872FD9">
              <w:rPr>
                <w:rFonts w:ascii="Arial" w:hAnsi="Arial" w:cs="Arial"/>
                <w:sz w:val="18"/>
                <w:szCs w:val="18"/>
              </w:rPr>
              <w:t>αθέσιμα</w:t>
            </w:r>
          </w:p>
        </w:tc>
        <w:tc>
          <w:tcPr>
            <w:tcW w:w="1985" w:type="dxa"/>
            <w:tcBorders>
              <w:top w:val="nil"/>
              <w:bottom w:val="nil"/>
            </w:tcBorders>
            <w:shd w:val="clear" w:color="auto" w:fill="FFFFFF" w:themeFill="background1"/>
            <w:vAlign w:val="center"/>
          </w:tcPr>
          <w:p w14:paraId="5A3D6018" w14:textId="20712348" w:rsidR="00E32C25" w:rsidRPr="00872FD9" w:rsidRDefault="00E32C25" w:rsidP="00E32C25">
            <w:pPr>
              <w:pStyle w:val="ColorfulList-Accent11"/>
              <w:tabs>
                <w:tab w:val="left" w:pos="0"/>
                <w:tab w:val="left" w:pos="284"/>
              </w:tabs>
              <w:ind w:left="0" w:right="-90"/>
              <w:jc w:val="right"/>
              <w:rPr>
                <w:rFonts w:ascii="Arial" w:hAnsi="Arial" w:cs="Arial"/>
                <w:color w:val="000000" w:themeColor="text1"/>
                <w:sz w:val="18"/>
                <w:szCs w:val="18"/>
              </w:rPr>
            </w:pPr>
            <w:r w:rsidRPr="00872FD9">
              <w:rPr>
                <w:rFonts w:ascii="Arial" w:hAnsi="Arial" w:cs="Arial"/>
                <w:color w:val="000000"/>
                <w:sz w:val="18"/>
                <w:szCs w:val="18"/>
              </w:rPr>
              <w:t>-</w:t>
            </w:r>
          </w:p>
        </w:tc>
        <w:tc>
          <w:tcPr>
            <w:tcW w:w="2126" w:type="dxa"/>
            <w:tcBorders>
              <w:top w:val="nil"/>
              <w:bottom w:val="nil"/>
            </w:tcBorders>
            <w:shd w:val="clear" w:color="auto" w:fill="FFFFFF" w:themeFill="background1"/>
            <w:vAlign w:val="center"/>
          </w:tcPr>
          <w:p w14:paraId="7F9C5A59" w14:textId="56B5CA4D" w:rsidR="00E32C25" w:rsidRPr="00872FD9" w:rsidRDefault="00E32C25" w:rsidP="00E32C25">
            <w:pPr>
              <w:pStyle w:val="ColorfulList-Accent11"/>
              <w:tabs>
                <w:tab w:val="left" w:pos="0"/>
                <w:tab w:val="left" w:pos="284"/>
              </w:tabs>
              <w:ind w:left="0" w:right="-90"/>
              <w:jc w:val="right"/>
              <w:rPr>
                <w:rFonts w:ascii="Arial" w:hAnsi="Arial" w:cs="Arial"/>
                <w:color w:val="000000" w:themeColor="text1"/>
                <w:sz w:val="18"/>
                <w:szCs w:val="18"/>
              </w:rPr>
            </w:pPr>
            <w:r w:rsidRPr="00872FD9">
              <w:rPr>
                <w:rFonts w:ascii="Arial" w:hAnsi="Arial" w:cs="Arial"/>
                <w:sz w:val="18"/>
                <w:szCs w:val="18"/>
              </w:rPr>
              <w:t>0</w:t>
            </w:r>
            <w:r w:rsidR="001E06AD" w:rsidRPr="00872FD9">
              <w:rPr>
                <w:rFonts w:ascii="Arial" w:hAnsi="Arial" w:cs="Arial"/>
                <w:sz w:val="18"/>
                <w:szCs w:val="18"/>
              </w:rPr>
              <w:t>,</w:t>
            </w:r>
            <w:r w:rsidRPr="00872FD9">
              <w:rPr>
                <w:rFonts w:ascii="Arial" w:hAnsi="Arial" w:cs="Arial"/>
                <w:sz w:val="18"/>
                <w:szCs w:val="18"/>
              </w:rPr>
              <w:t xml:space="preserve">7 </w:t>
            </w:r>
          </w:p>
        </w:tc>
      </w:tr>
      <w:tr w:rsidR="00E32C25" w:rsidRPr="00872FD9" w14:paraId="2A0B3612" w14:textId="77777777" w:rsidTr="0009084A">
        <w:trPr>
          <w:trHeight w:val="222"/>
        </w:trPr>
        <w:tc>
          <w:tcPr>
            <w:tcW w:w="6379" w:type="dxa"/>
            <w:tcBorders>
              <w:top w:val="nil"/>
              <w:bottom w:val="single" w:sz="2" w:space="0" w:color="808080" w:themeColor="background1" w:themeShade="80"/>
            </w:tcBorders>
            <w:shd w:val="clear" w:color="auto" w:fill="FFFFFF" w:themeFill="background1"/>
          </w:tcPr>
          <w:p w14:paraId="20740960" w14:textId="40B2B99B" w:rsidR="00E32C25" w:rsidRPr="00872FD9" w:rsidRDefault="00E32C25" w:rsidP="00E32C25">
            <w:pPr>
              <w:pStyle w:val="ColorfulList-Accent11"/>
              <w:tabs>
                <w:tab w:val="left" w:pos="0"/>
                <w:tab w:val="left" w:pos="284"/>
              </w:tabs>
              <w:ind w:left="0" w:right="-90"/>
              <w:rPr>
                <w:rFonts w:ascii="Arial" w:hAnsi="Arial" w:cs="Arial"/>
                <w:color w:val="000000" w:themeColor="text1"/>
                <w:sz w:val="18"/>
                <w:szCs w:val="18"/>
                <w:lang w:val="el-GR"/>
              </w:rPr>
            </w:pPr>
            <w:r w:rsidRPr="00872FD9">
              <w:rPr>
                <w:rFonts w:ascii="Arial" w:hAnsi="Arial" w:cs="Arial"/>
                <w:sz w:val="18"/>
                <w:szCs w:val="18"/>
                <w:lang w:val="el-GR"/>
              </w:rPr>
              <w:t>Ταμειακά διαθέσιμα και ταμειακά ισοδύναμα</w:t>
            </w:r>
          </w:p>
        </w:tc>
        <w:tc>
          <w:tcPr>
            <w:tcW w:w="1985" w:type="dxa"/>
            <w:tcBorders>
              <w:top w:val="nil"/>
              <w:bottom w:val="single" w:sz="2" w:space="0" w:color="808080" w:themeColor="background1" w:themeShade="80"/>
            </w:tcBorders>
            <w:shd w:val="clear" w:color="auto" w:fill="FFFFFF" w:themeFill="background1"/>
            <w:vAlign w:val="center"/>
          </w:tcPr>
          <w:p w14:paraId="0B9DE53A" w14:textId="1491777A" w:rsidR="00E32C25" w:rsidRPr="00872FD9" w:rsidRDefault="00E32C25" w:rsidP="00E32C25">
            <w:pPr>
              <w:pStyle w:val="ColorfulList-Accent11"/>
              <w:tabs>
                <w:tab w:val="left" w:pos="0"/>
                <w:tab w:val="left" w:pos="284"/>
              </w:tabs>
              <w:ind w:left="0" w:right="-90"/>
              <w:jc w:val="right"/>
              <w:rPr>
                <w:rFonts w:ascii="Arial" w:hAnsi="Arial" w:cs="Arial"/>
                <w:color w:val="000000" w:themeColor="text1"/>
                <w:sz w:val="18"/>
                <w:szCs w:val="18"/>
              </w:rPr>
            </w:pPr>
            <w:r w:rsidRPr="00872FD9">
              <w:rPr>
                <w:rFonts w:ascii="Arial" w:hAnsi="Arial" w:cs="Arial"/>
                <w:color w:val="000000"/>
                <w:sz w:val="18"/>
                <w:szCs w:val="18"/>
              </w:rPr>
              <w:t>426</w:t>
            </w:r>
            <w:r w:rsidR="001E06AD" w:rsidRPr="00872FD9">
              <w:rPr>
                <w:rFonts w:ascii="Arial" w:hAnsi="Arial" w:cs="Arial"/>
                <w:color w:val="000000"/>
                <w:sz w:val="18"/>
                <w:szCs w:val="18"/>
              </w:rPr>
              <w:t>,</w:t>
            </w:r>
            <w:r w:rsidRPr="00872FD9">
              <w:rPr>
                <w:rFonts w:ascii="Arial" w:hAnsi="Arial" w:cs="Arial"/>
                <w:color w:val="000000"/>
                <w:sz w:val="18"/>
                <w:szCs w:val="18"/>
              </w:rPr>
              <w:t>3</w:t>
            </w:r>
          </w:p>
        </w:tc>
        <w:tc>
          <w:tcPr>
            <w:tcW w:w="2126" w:type="dxa"/>
            <w:tcBorders>
              <w:top w:val="nil"/>
              <w:bottom w:val="single" w:sz="2" w:space="0" w:color="808080" w:themeColor="background1" w:themeShade="80"/>
            </w:tcBorders>
            <w:shd w:val="clear" w:color="auto" w:fill="FFFFFF" w:themeFill="background1"/>
            <w:vAlign w:val="center"/>
          </w:tcPr>
          <w:p w14:paraId="436F909A" w14:textId="6338BC59" w:rsidR="00E32C25" w:rsidRPr="00872FD9" w:rsidRDefault="00E32C25" w:rsidP="00E32C25">
            <w:pPr>
              <w:pStyle w:val="ColorfulList-Accent11"/>
              <w:tabs>
                <w:tab w:val="left" w:pos="0"/>
                <w:tab w:val="left" w:pos="284"/>
              </w:tabs>
              <w:ind w:left="0" w:right="-90"/>
              <w:jc w:val="right"/>
              <w:rPr>
                <w:rFonts w:ascii="Arial" w:hAnsi="Arial" w:cs="Arial"/>
                <w:color w:val="000000" w:themeColor="text1"/>
                <w:sz w:val="18"/>
                <w:szCs w:val="18"/>
              </w:rPr>
            </w:pPr>
            <w:r w:rsidRPr="00872FD9">
              <w:rPr>
                <w:rFonts w:ascii="Arial" w:hAnsi="Arial" w:cs="Arial"/>
                <w:sz w:val="18"/>
                <w:szCs w:val="18"/>
              </w:rPr>
              <w:t>467</w:t>
            </w:r>
            <w:r w:rsidR="001E06AD" w:rsidRPr="00872FD9">
              <w:rPr>
                <w:rFonts w:ascii="Arial" w:hAnsi="Arial" w:cs="Arial"/>
                <w:sz w:val="18"/>
                <w:szCs w:val="18"/>
              </w:rPr>
              <w:t>,</w:t>
            </w:r>
            <w:r w:rsidRPr="00872FD9">
              <w:rPr>
                <w:rFonts w:ascii="Arial" w:hAnsi="Arial" w:cs="Arial"/>
                <w:sz w:val="18"/>
                <w:szCs w:val="18"/>
              </w:rPr>
              <w:t xml:space="preserve">0 </w:t>
            </w:r>
          </w:p>
        </w:tc>
      </w:tr>
      <w:tr w:rsidR="00E32C25" w:rsidRPr="00872FD9" w14:paraId="4446F7CA" w14:textId="77777777" w:rsidTr="0009084A">
        <w:trPr>
          <w:trHeight w:val="256"/>
        </w:trPr>
        <w:tc>
          <w:tcPr>
            <w:tcW w:w="6379" w:type="dxa"/>
            <w:tcBorders>
              <w:top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7B68C36A" w14:textId="23874939" w:rsidR="00E32C25" w:rsidRPr="00872FD9" w:rsidRDefault="00E32C25" w:rsidP="00E32C25">
            <w:pPr>
              <w:pStyle w:val="ColorfulList-Accent11"/>
              <w:tabs>
                <w:tab w:val="left" w:pos="0"/>
                <w:tab w:val="left" w:pos="284"/>
              </w:tabs>
              <w:ind w:left="0" w:right="-90"/>
              <w:rPr>
                <w:rFonts w:ascii="Arial" w:hAnsi="Arial" w:cs="Arial"/>
                <w:b/>
                <w:color w:val="000000" w:themeColor="text1"/>
                <w:sz w:val="18"/>
                <w:szCs w:val="18"/>
              </w:rPr>
            </w:pPr>
            <w:r w:rsidRPr="00872FD9">
              <w:rPr>
                <w:rFonts w:ascii="Arial" w:hAnsi="Arial" w:cs="Arial"/>
                <w:b/>
                <w:sz w:val="18"/>
                <w:szCs w:val="18"/>
                <w:lang w:val="el-GR"/>
              </w:rPr>
              <w:t xml:space="preserve">Σύνολο </w:t>
            </w:r>
            <w:proofErr w:type="spellStart"/>
            <w:r w:rsidRPr="00872FD9">
              <w:rPr>
                <w:rFonts w:ascii="Arial" w:hAnsi="Arial" w:cs="Arial"/>
                <w:b/>
                <w:sz w:val="18"/>
                <w:szCs w:val="18"/>
                <w:lang w:val="el-GR"/>
              </w:rPr>
              <w:t>κυκλοφορούντων</w:t>
            </w:r>
            <w:proofErr w:type="spellEnd"/>
            <w:r w:rsidRPr="00872FD9">
              <w:rPr>
                <w:rFonts w:ascii="Arial" w:hAnsi="Arial" w:cs="Arial"/>
                <w:b/>
                <w:sz w:val="18"/>
                <w:szCs w:val="18"/>
                <w:lang w:val="el-GR"/>
              </w:rPr>
              <w:t xml:space="preserve"> περιουσιακών στοιχείων</w:t>
            </w:r>
          </w:p>
        </w:tc>
        <w:tc>
          <w:tcPr>
            <w:tcW w:w="1985" w:type="dxa"/>
            <w:tcBorders>
              <w:top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4CE7D9F4" w14:textId="67CBD619" w:rsidR="00E32C25" w:rsidRPr="00872FD9" w:rsidRDefault="00E32C25" w:rsidP="00E32C25">
            <w:pPr>
              <w:pStyle w:val="ColorfulList-Accent11"/>
              <w:tabs>
                <w:tab w:val="left" w:pos="0"/>
                <w:tab w:val="left" w:pos="284"/>
              </w:tabs>
              <w:ind w:left="0" w:right="-90"/>
              <w:jc w:val="right"/>
              <w:rPr>
                <w:rFonts w:ascii="Arial" w:hAnsi="Arial" w:cs="Arial"/>
                <w:b/>
                <w:bCs/>
                <w:color w:val="000000" w:themeColor="text1"/>
                <w:sz w:val="18"/>
                <w:szCs w:val="18"/>
                <w:lang w:val="el-GR"/>
              </w:rPr>
            </w:pPr>
            <w:r w:rsidRPr="00872FD9">
              <w:rPr>
                <w:rFonts w:ascii="Arial" w:hAnsi="Arial" w:cs="Arial"/>
                <w:b/>
                <w:bCs/>
                <w:color w:val="000000"/>
                <w:sz w:val="18"/>
                <w:szCs w:val="18"/>
              </w:rPr>
              <w:t>1</w:t>
            </w:r>
            <w:r w:rsidR="001E06AD" w:rsidRPr="00872FD9">
              <w:rPr>
                <w:rFonts w:ascii="Arial" w:hAnsi="Arial" w:cs="Arial"/>
                <w:b/>
                <w:bCs/>
                <w:color w:val="000000"/>
                <w:sz w:val="18"/>
                <w:szCs w:val="18"/>
              </w:rPr>
              <w:t>.</w:t>
            </w:r>
            <w:r w:rsidRPr="00872FD9">
              <w:rPr>
                <w:rFonts w:ascii="Arial" w:hAnsi="Arial" w:cs="Arial"/>
                <w:b/>
                <w:bCs/>
                <w:color w:val="000000"/>
                <w:sz w:val="18"/>
                <w:szCs w:val="18"/>
              </w:rPr>
              <w:t>251</w:t>
            </w:r>
            <w:r w:rsidR="001E06AD" w:rsidRPr="00872FD9">
              <w:rPr>
                <w:rFonts w:ascii="Arial" w:hAnsi="Arial" w:cs="Arial"/>
                <w:b/>
                <w:bCs/>
                <w:color w:val="000000"/>
                <w:sz w:val="18"/>
                <w:szCs w:val="18"/>
              </w:rPr>
              <w:t>,</w:t>
            </w:r>
            <w:r w:rsidRPr="00872FD9">
              <w:rPr>
                <w:rFonts w:ascii="Arial" w:hAnsi="Arial" w:cs="Arial"/>
                <w:b/>
                <w:bCs/>
                <w:color w:val="000000"/>
                <w:sz w:val="18"/>
                <w:szCs w:val="18"/>
              </w:rPr>
              <w:t>8</w:t>
            </w:r>
          </w:p>
        </w:tc>
        <w:tc>
          <w:tcPr>
            <w:tcW w:w="2126" w:type="dxa"/>
            <w:tcBorders>
              <w:top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75A133A3" w14:textId="114879F0" w:rsidR="00E32C25" w:rsidRPr="00872FD9" w:rsidRDefault="00E32C25" w:rsidP="00E32C25">
            <w:pPr>
              <w:pStyle w:val="ColorfulList-Accent11"/>
              <w:tabs>
                <w:tab w:val="left" w:pos="0"/>
                <w:tab w:val="left" w:pos="284"/>
              </w:tabs>
              <w:ind w:left="0" w:right="-90"/>
              <w:jc w:val="right"/>
              <w:rPr>
                <w:rFonts w:ascii="Arial" w:hAnsi="Arial" w:cs="Arial"/>
                <w:b/>
                <w:color w:val="000000" w:themeColor="text1"/>
                <w:sz w:val="18"/>
                <w:szCs w:val="18"/>
              </w:rPr>
            </w:pPr>
            <w:r w:rsidRPr="00872FD9">
              <w:rPr>
                <w:rFonts w:ascii="Arial" w:hAnsi="Arial" w:cs="Arial"/>
                <w:b/>
                <w:sz w:val="18"/>
                <w:szCs w:val="18"/>
              </w:rPr>
              <w:t>1</w:t>
            </w:r>
            <w:r w:rsidR="001E06AD" w:rsidRPr="00872FD9">
              <w:rPr>
                <w:rFonts w:ascii="Arial" w:hAnsi="Arial" w:cs="Arial"/>
                <w:b/>
                <w:sz w:val="18"/>
                <w:szCs w:val="18"/>
              </w:rPr>
              <w:t>.</w:t>
            </w:r>
            <w:r w:rsidRPr="00872FD9">
              <w:rPr>
                <w:rFonts w:ascii="Arial" w:hAnsi="Arial" w:cs="Arial"/>
                <w:b/>
                <w:sz w:val="18"/>
                <w:szCs w:val="18"/>
                <w:lang w:val="el-GR"/>
              </w:rPr>
              <w:t>2</w:t>
            </w:r>
            <w:r w:rsidRPr="00872FD9">
              <w:rPr>
                <w:rFonts w:ascii="Arial" w:hAnsi="Arial" w:cs="Arial"/>
                <w:b/>
                <w:sz w:val="18"/>
                <w:szCs w:val="18"/>
              </w:rPr>
              <w:t>64</w:t>
            </w:r>
            <w:r w:rsidR="001E06AD" w:rsidRPr="00872FD9">
              <w:rPr>
                <w:rFonts w:ascii="Arial" w:hAnsi="Arial" w:cs="Arial"/>
                <w:b/>
                <w:sz w:val="18"/>
                <w:szCs w:val="18"/>
              </w:rPr>
              <w:t>,</w:t>
            </w:r>
            <w:r w:rsidRPr="00872FD9">
              <w:rPr>
                <w:rFonts w:ascii="Arial" w:hAnsi="Arial" w:cs="Arial"/>
                <w:b/>
                <w:sz w:val="18"/>
                <w:szCs w:val="18"/>
              </w:rPr>
              <w:t>2</w:t>
            </w:r>
          </w:p>
        </w:tc>
      </w:tr>
      <w:tr w:rsidR="00E32C25" w:rsidRPr="00872FD9" w14:paraId="566C4BF9" w14:textId="77777777" w:rsidTr="00872FD9">
        <w:trPr>
          <w:trHeight w:val="203"/>
        </w:trPr>
        <w:tc>
          <w:tcPr>
            <w:tcW w:w="6379" w:type="dxa"/>
            <w:tcBorders>
              <w:top w:val="single" w:sz="2" w:space="0" w:color="808080" w:themeColor="background1" w:themeShade="80"/>
              <w:bottom w:val="single" w:sz="2" w:space="0" w:color="808080" w:themeColor="background1" w:themeShade="80"/>
            </w:tcBorders>
            <w:shd w:val="clear" w:color="auto" w:fill="D9D9D9" w:themeFill="background1" w:themeFillShade="D9"/>
            <w:vAlign w:val="center"/>
          </w:tcPr>
          <w:p w14:paraId="2BB11957" w14:textId="23EDD256" w:rsidR="00E32C25" w:rsidRPr="00872FD9" w:rsidRDefault="00E32C25" w:rsidP="00E32C25">
            <w:pPr>
              <w:pStyle w:val="Default"/>
              <w:rPr>
                <w:rFonts w:ascii="Arial" w:hAnsi="Arial" w:cs="Arial"/>
                <w:sz w:val="18"/>
                <w:szCs w:val="18"/>
                <w:lang w:val="el-GR"/>
              </w:rPr>
            </w:pPr>
            <w:r w:rsidRPr="00872FD9">
              <w:rPr>
                <w:rFonts w:ascii="Arial" w:hAnsi="Arial" w:cs="Arial"/>
                <w:sz w:val="18"/>
                <w:szCs w:val="18"/>
                <w:lang w:val="el-GR"/>
              </w:rPr>
              <w:t xml:space="preserve">Περιουσιακά στοιχεία ομάδας στοιχείων κατεχόμενων προς πώληση </w:t>
            </w:r>
          </w:p>
        </w:tc>
        <w:tc>
          <w:tcPr>
            <w:tcW w:w="1985" w:type="dxa"/>
            <w:tcBorders>
              <w:top w:val="single" w:sz="2" w:space="0" w:color="808080" w:themeColor="background1" w:themeShade="80"/>
              <w:bottom w:val="single" w:sz="2" w:space="0" w:color="808080" w:themeColor="background1" w:themeShade="80"/>
            </w:tcBorders>
            <w:shd w:val="clear" w:color="auto" w:fill="D9D9D9" w:themeFill="background1" w:themeFillShade="D9"/>
            <w:vAlign w:val="center"/>
          </w:tcPr>
          <w:p w14:paraId="4425D933" w14:textId="10A4FEEA" w:rsidR="00E32C25" w:rsidRPr="00872FD9" w:rsidRDefault="00E32C25" w:rsidP="00E32C25">
            <w:pPr>
              <w:pStyle w:val="ColorfulList-Accent11"/>
              <w:tabs>
                <w:tab w:val="left" w:pos="0"/>
                <w:tab w:val="left" w:pos="284"/>
              </w:tabs>
              <w:ind w:left="0" w:right="-90"/>
              <w:jc w:val="right"/>
              <w:rPr>
                <w:rFonts w:ascii="Arial" w:hAnsi="Arial" w:cs="Arial"/>
                <w:b/>
                <w:sz w:val="18"/>
                <w:szCs w:val="18"/>
                <w:lang w:val="el-GR"/>
              </w:rPr>
            </w:pPr>
            <w:r w:rsidRPr="00872FD9">
              <w:rPr>
                <w:rFonts w:ascii="Arial" w:hAnsi="Arial" w:cs="Arial"/>
                <w:color w:val="000000"/>
                <w:sz w:val="18"/>
                <w:szCs w:val="18"/>
              </w:rPr>
              <w:t>151</w:t>
            </w:r>
            <w:r w:rsidR="001E06AD" w:rsidRPr="00872FD9">
              <w:rPr>
                <w:rFonts w:ascii="Arial" w:hAnsi="Arial" w:cs="Arial"/>
                <w:color w:val="000000"/>
                <w:sz w:val="18"/>
                <w:szCs w:val="18"/>
              </w:rPr>
              <w:t>,</w:t>
            </w:r>
            <w:r w:rsidRPr="00872FD9">
              <w:rPr>
                <w:rFonts w:ascii="Arial" w:hAnsi="Arial" w:cs="Arial"/>
                <w:color w:val="000000"/>
                <w:sz w:val="18"/>
                <w:szCs w:val="18"/>
              </w:rPr>
              <w:t>7</w:t>
            </w:r>
          </w:p>
        </w:tc>
        <w:tc>
          <w:tcPr>
            <w:tcW w:w="2126" w:type="dxa"/>
            <w:tcBorders>
              <w:top w:val="single" w:sz="2" w:space="0" w:color="808080" w:themeColor="background1" w:themeShade="80"/>
              <w:bottom w:val="single" w:sz="2" w:space="0" w:color="808080" w:themeColor="background1" w:themeShade="80"/>
            </w:tcBorders>
            <w:shd w:val="clear" w:color="auto" w:fill="D9D9D9" w:themeFill="background1" w:themeFillShade="D9"/>
            <w:vAlign w:val="center"/>
          </w:tcPr>
          <w:p w14:paraId="7B0A5503" w14:textId="27045FCC" w:rsidR="00E32C25" w:rsidRPr="00872FD9" w:rsidRDefault="00E32C25" w:rsidP="00E32C25">
            <w:pPr>
              <w:pStyle w:val="ColorfulList-Accent11"/>
              <w:tabs>
                <w:tab w:val="left" w:pos="0"/>
                <w:tab w:val="left" w:pos="284"/>
              </w:tabs>
              <w:ind w:left="0" w:right="-90"/>
              <w:jc w:val="right"/>
              <w:rPr>
                <w:rFonts w:ascii="Arial" w:hAnsi="Arial" w:cs="Arial"/>
                <w:b/>
                <w:sz w:val="18"/>
                <w:szCs w:val="18"/>
                <w:lang w:val="el-GR"/>
              </w:rPr>
            </w:pPr>
            <w:r w:rsidRPr="00872FD9">
              <w:rPr>
                <w:rFonts w:ascii="Arial" w:hAnsi="Arial" w:cs="Arial"/>
                <w:sz w:val="18"/>
                <w:szCs w:val="18"/>
              </w:rPr>
              <w:t>-</w:t>
            </w:r>
          </w:p>
        </w:tc>
      </w:tr>
      <w:tr w:rsidR="00E32C25" w:rsidRPr="00872FD9" w14:paraId="5FC48266" w14:textId="77777777" w:rsidTr="0009084A">
        <w:trPr>
          <w:trHeight w:val="256"/>
        </w:trPr>
        <w:tc>
          <w:tcPr>
            <w:tcW w:w="6379" w:type="dxa"/>
            <w:tcBorders>
              <w:top w:val="single" w:sz="2" w:space="0" w:color="808080" w:themeColor="background1" w:themeShade="80"/>
              <w:bottom w:val="single" w:sz="2" w:space="0" w:color="808080" w:themeColor="background1" w:themeShade="80"/>
            </w:tcBorders>
            <w:shd w:val="clear" w:color="auto" w:fill="D9D9D9" w:themeFill="background1" w:themeFillShade="D9"/>
            <w:vAlign w:val="center"/>
          </w:tcPr>
          <w:p w14:paraId="043B389B" w14:textId="1810E85A" w:rsidR="00E32C25" w:rsidRPr="00872FD9" w:rsidRDefault="00E32C25" w:rsidP="00E32C25">
            <w:pPr>
              <w:pStyle w:val="ColorfulList-Accent11"/>
              <w:tabs>
                <w:tab w:val="left" w:pos="0"/>
                <w:tab w:val="left" w:pos="284"/>
              </w:tabs>
              <w:ind w:left="0" w:right="-90"/>
              <w:rPr>
                <w:rFonts w:ascii="Arial" w:hAnsi="Arial" w:cs="Arial"/>
                <w:b/>
                <w:color w:val="000000" w:themeColor="text1"/>
                <w:sz w:val="18"/>
                <w:szCs w:val="18"/>
              </w:rPr>
            </w:pPr>
            <w:r w:rsidRPr="00872FD9">
              <w:rPr>
                <w:rFonts w:ascii="Arial" w:hAnsi="Arial" w:cs="Arial"/>
                <w:b/>
                <w:sz w:val="18"/>
                <w:szCs w:val="18"/>
                <w:lang w:val="el-GR"/>
              </w:rPr>
              <w:t>ΣΥΝΟΛΟ ΠΕΡΙΟΥΣΙΑΚΩΝ ΣΤΟΙΧΕΙΩΝ</w:t>
            </w:r>
          </w:p>
        </w:tc>
        <w:tc>
          <w:tcPr>
            <w:tcW w:w="1985" w:type="dxa"/>
            <w:tcBorders>
              <w:top w:val="single" w:sz="2" w:space="0" w:color="808080" w:themeColor="background1" w:themeShade="80"/>
              <w:bottom w:val="single" w:sz="2" w:space="0" w:color="808080" w:themeColor="background1" w:themeShade="80"/>
            </w:tcBorders>
            <w:shd w:val="clear" w:color="auto" w:fill="D9D9D9" w:themeFill="background1" w:themeFillShade="D9"/>
            <w:vAlign w:val="center"/>
          </w:tcPr>
          <w:p w14:paraId="293310F8" w14:textId="7632C240" w:rsidR="00E32C25" w:rsidRPr="00872FD9" w:rsidRDefault="00E32C25" w:rsidP="00E32C25">
            <w:pPr>
              <w:pStyle w:val="ColorfulList-Accent11"/>
              <w:tabs>
                <w:tab w:val="left" w:pos="0"/>
                <w:tab w:val="left" w:pos="284"/>
              </w:tabs>
              <w:ind w:left="0" w:right="-90"/>
              <w:jc w:val="right"/>
              <w:rPr>
                <w:rFonts w:ascii="Arial" w:hAnsi="Arial" w:cs="Arial"/>
                <w:b/>
                <w:color w:val="000000" w:themeColor="text1"/>
                <w:sz w:val="18"/>
                <w:szCs w:val="18"/>
                <w:lang w:val="el-GR"/>
              </w:rPr>
            </w:pPr>
            <w:r w:rsidRPr="00872FD9">
              <w:rPr>
                <w:rFonts w:ascii="Arial" w:hAnsi="Arial" w:cs="Arial"/>
                <w:b/>
                <w:bCs/>
                <w:color w:val="000000"/>
                <w:sz w:val="18"/>
                <w:szCs w:val="18"/>
              </w:rPr>
              <w:t>5</w:t>
            </w:r>
            <w:r w:rsidR="001E06AD" w:rsidRPr="00872FD9">
              <w:rPr>
                <w:rFonts w:ascii="Arial" w:hAnsi="Arial" w:cs="Arial"/>
                <w:b/>
                <w:bCs/>
                <w:color w:val="000000"/>
                <w:sz w:val="18"/>
                <w:szCs w:val="18"/>
              </w:rPr>
              <w:t>.</w:t>
            </w:r>
            <w:r w:rsidRPr="00872FD9">
              <w:rPr>
                <w:rFonts w:ascii="Arial" w:hAnsi="Arial" w:cs="Arial"/>
                <w:b/>
                <w:bCs/>
                <w:color w:val="000000"/>
                <w:sz w:val="18"/>
                <w:szCs w:val="18"/>
              </w:rPr>
              <w:t>119</w:t>
            </w:r>
            <w:r w:rsidR="001E06AD" w:rsidRPr="00872FD9">
              <w:rPr>
                <w:rFonts w:ascii="Arial" w:hAnsi="Arial" w:cs="Arial"/>
                <w:b/>
                <w:bCs/>
                <w:color w:val="000000"/>
                <w:sz w:val="18"/>
                <w:szCs w:val="18"/>
              </w:rPr>
              <w:t>,</w:t>
            </w:r>
            <w:r w:rsidRPr="00872FD9">
              <w:rPr>
                <w:rFonts w:ascii="Arial" w:hAnsi="Arial" w:cs="Arial"/>
                <w:b/>
                <w:bCs/>
                <w:color w:val="000000"/>
                <w:sz w:val="18"/>
                <w:szCs w:val="18"/>
              </w:rPr>
              <w:t>9</w:t>
            </w:r>
          </w:p>
        </w:tc>
        <w:tc>
          <w:tcPr>
            <w:tcW w:w="2126" w:type="dxa"/>
            <w:tcBorders>
              <w:top w:val="single" w:sz="2" w:space="0" w:color="808080" w:themeColor="background1" w:themeShade="80"/>
              <w:bottom w:val="single" w:sz="2" w:space="0" w:color="808080" w:themeColor="background1" w:themeShade="80"/>
            </w:tcBorders>
            <w:shd w:val="clear" w:color="auto" w:fill="D9D9D9" w:themeFill="background1" w:themeFillShade="D9"/>
            <w:vAlign w:val="center"/>
          </w:tcPr>
          <w:p w14:paraId="271EB2F7" w14:textId="4F9DFA3C" w:rsidR="00E32C25" w:rsidRPr="00872FD9" w:rsidRDefault="00E32C25" w:rsidP="00E32C25">
            <w:pPr>
              <w:pStyle w:val="ColorfulList-Accent11"/>
              <w:tabs>
                <w:tab w:val="left" w:pos="0"/>
                <w:tab w:val="left" w:pos="284"/>
              </w:tabs>
              <w:ind w:left="0" w:right="-90"/>
              <w:jc w:val="right"/>
              <w:rPr>
                <w:rFonts w:ascii="Arial" w:hAnsi="Arial" w:cs="Arial"/>
                <w:b/>
                <w:color w:val="000000" w:themeColor="text1"/>
                <w:sz w:val="18"/>
                <w:szCs w:val="18"/>
              </w:rPr>
            </w:pPr>
            <w:r w:rsidRPr="00872FD9">
              <w:rPr>
                <w:rFonts w:ascii="Arial" w:hAnsi="Arial" w:cs="Arial"/>
                <w:b/>
                <w:sz w:val="18"/>
                <w:szCs w:val="18"/>
                <w:lang w:val="el-GR"/>
              </w:rPr>
              <w:t>4</w:t>
            </w:r>
            <w:r w:rsidR="001E06AD" w:rsidRPr="00872FD9">
              <w:rPr>
                <w:rFonts w:ascii="Arial" w:hAnsi="Arial" w:cs="Arial"/>
                <w:b/>
                <w:sz w:val="18"/>
                <w:szCs w:val="18"/>
              </w:rPr>
              <w:t>.</w:t>
            </w:r>
            <w:r w:rsidRPr="00872FD9">
              <w:rPr>
                <w:rFonts w:ascii="Arial" w:hAnsi="Arial" w:cs="Arial"/>
                <w:b/>
                <w:sz w:val="18"/>
                <w:szCs w:val="18"/>
                <w:lang w:val="el-GR"/>
              </w:rPr>
              <w:t>995</w:t>
            </w:r>
            <w:r w:rsidR="001E06AD" w:rsidRPr="00872FD9">
              <w:rPr>
                <w:rFonts w:ascii="Arial" w:hAnsi="Arial" w:cs="Arial"/>
                <w:b/>
                <w:sz w:val="18"/>
                <w:szCs w:val="18"/>
              </w:rPr>
              <w:t>,</w:t>
            </w:r>
            <w:r w:rsidRPr="00872FD9">
              <w:rPr>
                <w:rFonts w:ascii="Arial" w:hAnsi="Arial" w:cs="Arial"/>
                <w:b/>
                <w:sz w:val="18"/>
                <w:szCs w:val="18"/>
                <w:lang w:val="el-GR"/>
              </w:rPr>
              <w:t>2</w:t>
            </w:r>
            <w:r w:rsidRPr="00872FD9">
              <w:rPr>
                <w:rFonts w:ascii="Arial" w:hAnsi="Arial" w:cs="Arial"/>
                <w:b/>
                <w:sz w:val="18"/>
                <w:szCs w:val="18"/>
              </w:rPr>
              <w:t xml:space="preserve"> </w:t>
            </w:r>
          </w:p>
        </w:tc>
      </w:tr>
      <w:tr w:rsidR="00E32C25" w:rsidRPr="00872FD9" w14:paraId="0438AE70" w14:textId="77777777" w:rsidTr="0009084A">
        <w:trPr>
          <w:trHeight w:val="211"/>
        </w:trPr>
        <w:tc>
          <w:tcPr>
            <w:tcW w:w="6379" w:type="dxa"/>
            <w:tcBorders>
              <w:top w:val="single" w:sz="2" w:space="0" w:color="808080" w:themeColor="background1" w:themeShade="80"/>
              <w:bottom w:val="nil"/>
            </w:tcBorders>
            <w:shd w:val="clear" w:color="auto" w:fill="FFFFFF" w:themeFill="background1"/>
            <w:vAlign w:val="center"/>
          </w:tcPr>
          <w:p w14:paraId="2B85197C" w14:textId="5BAE7399" w:rsidR="00E32C25" w:rsidRPr="00872FD9" w:rsidRDefault="00E32C25" w:rsidP="00E32C25">
            <w:pPr>
              <w:pStyle w:val="ColorfulList-Accent11"/>
              <w:tabs>
                <w:tab w:val="left" w:pos="0"/>
                <w:tab w:val="left" w:pos="284"/>
              </w:tabs>
              <w:ind w:left="0" w:right="-90"/>
              <w:rPr>
                <w:rFonts w:ascii="Arial" w:hAnsi="Arial" w:cs="Arial"/>
                <w:b/>
                <w:color w:val="000000" w:themeColor="text1"/>
                <w:sz w:val="18"/>
                <w:szCs w:val="18"/>
              </w:rPr>
            </w:pPr>
            <w:r w:rsidRPr="00872FD9">
              <w:rPr>
                <w:rFonts w:ascii="Arial" w:hAnsi="Arial" w:cs="Arial"/>
                <w:b/>
                <w:sz w:val="18"/>
                <w:szCs w:val="18"/>
                <w:lang w:val="el-GR"/>
              </w:rPr>
              <w:t>ΙΔΙΑ ΚΕΦΑΛΑΙΑ ΚΑΙ ΥΠΟΧΡΕΩΣΕΙΣ</w:t>
            </w:r>
          </w:p>
        </w:tc>
        <w:tc>
          <w:tcPr>
            <w:tcW w:w="1985" w:type="dxa"/>
            <w:tcBorders>
              <w:top w:val="single" w:sz="2" w:space="0" w:color="808080" w:themeColor="background1" w:themeShade="80"/>
              <w:bottom w:val="nil"/>
            </w:tcBorders>
            <w:shd w:val="clear" w:color="auto" w:fill="FFFFFF" w:themeFill="background1"/>
            <w:vAlign w:val="center"/>
          </w:tcPr>
          <w:p w14:paraId="662D3E0D" w14:textId="77777777" w:rsidR="00E32C25" w:rsidRPr="00872FD9" w:rsidRDefault="00E32C25" w:rsidP="00E32C25">
            <w:pPr>
              <w:pStyle w:val="ColorfulList-Accent11"/>
              <w:tabs>
                <w:tab w:val="left" w:pos="0"/>
                <w:tab w:val="left" w:pos="284"/>
              </w:tabs>
              <w:ind w:left="0" w:right="-90"/>
              <w:jc w:val="right"/>
              <w:rPr>
                <w:rFonts w:ascii="Arial" w:hAnsi="Arial" w:cs="Arial"/>
                <w:b/>
                <w:color w:val="000000" w:themeColor="text1"/>
                <w:sz w:val="18"/>
                <w:szCs w:val="18"/>
                <w:lang w:val="el-GR"/>
              </w:rPr>
            </w:pPr>
          </w:p>
        </w:tc>
        <w:tc>
          <w:tcPr>
            <w:tcW w:w="2126" w:type="dxa"/>
            <w:tcBorders>
              <w:top w:val="single" w:sz="2" w:space="0" w:color="808080" w:themeColor="background1" w:themeShade="80"/>
              <w:bottom w:val="nil"/>
            </w:tcBorders>
            <w:shd w:val="clear" w:color="auto" w:fill="FFFFFF" w:themeFill="background1"/>
            <w:vAlign w:val="center"/>
          </w:tcPr>
          <w:p w14:paraId="70B25375" w14:textId="77777777" w:rsidR="00E32C25" w:rsidRPr="00872FD9" w:rsidRDefault="00E32C25" w:rsidP="00E32C25">
            <w:pPr>
              <w:pStyle w:val="ColorfulList-Accent11"/>
              <w:tabs>
                <w:tab w:val="left" w:pos="0"/>
                <w:tab w:val="left" w:pos="284"/>
              </w:tabs>
              <w:ind w:left="0" w:right="-90"/>
              <w:jc w:val="right"/>
              <w:rPr>
                <w:rFonts w:ascii="Arial" w:hAnsi="Arial" w:cs="Arial"/>
                <w:b/>
                <w:color w:val="000000" w:themeColor="text1"/>
                <w:sz w:val="18"/>
                <w:szCs w:val="18"/>
              </w:rPr>
            </w:pPr>
          </w:p>
        </w:tc>
      </w:tr>
      <w:tr w:rsidR="00E32C25" w:rsidRPr="00872FD9" w14:paraId="4057E79A" w14:textId="77777777" w:rsidTr="0009084A">
        <w:trPr>
          <w:trHeight w:val="256"/>
        </w:trPr>
        <w:tc>
          <w:tcPr>
            <w:tcW w:w="6379" w:type="dxa"/>
            <w:tcBorders>
              <w:top w:val="nil"/>
              <w:bottom w:val="nil"/>
            </w:tcBorders>
            <w:shd w:val="clear" w:color="auto" w:fill="FFFFFF" w:themeFill="background1"/>
            <w:vAlign w:val="center"/>
          </w:tcPr>
          <w:p w14:paraId="7EBCDC7D" w14:textId="4E95A98B" w:rsidR="00E32C25" w:rsidRPr="00872FD9" w:rsidRDefault="00E32C25" w:rsidP="00E32C25">
            <w:pPr>
              <w:pStyle w:val="ColorfulList-Accent11"/>
              <w:tabs>
                <w:tab w:val="left" w:pos="0"/>
                <w:tab w:val="left" w:pos="284"/>
              </w:tabs>
              <w:ind w:left="0" w:right="-90"/>
              <w:rPr>
                <w:rFonts w:ascii="Arial" w:hAnsi="Arial" w:cs="Arial"/>
                <w:b/>
                <w:color w:val="000000" w:themeColor="text1"/>
                <w:sz w:val="18"/>
                <w:szCs w:val="18"/>
                <w:lang w:val="el-GR"/>
              </w:rPr>
            </w:pPr>
            <w:r w:rsidRPr="00872FD9">
              <w:rPr>
                <w:rFonts w:ascii="Arial" w:hAnsi="Arial" w:cs="Arial"/>
                <w:b/>
                <w:bCs/>
                <w:sz w:val="18"/>
                <w:szCs w:val="18"/>
                <w:lang w:val="el-GR"/>
              </w:rPr>
              <w:t>Ίδια κεφάλαια που αναλογούν στους μετόχους της Εταιρείας</w:t>
            </w:r>
          </w:p>
        </w:tc>
        <w:tc>
          <w:tcPr>
            <w:tcW w:w="1985" w:type="dxa"/>
            <w:tcBorders>
              <w:top w:val="nil"/>
              <w:bottom w:val="nil"/>
            </w:tcBorders>
            <w:shd w:val="clear" w:color="auto" w:fill="FFFFFF" w:themeFill="background1"/>
            <w:vAlign w:val="center"/>
          </w:tcPr>
          <w:p w14:paraId="4E72DA96" w14:textId="77777777" w:rsidR="00E32C25" w:rsidRPr="00872FD9" w:rsidRDefault="00E32C25" w:rsidP="00E32C25">
            <w:pPr>
              <w:pStyle w:val="ColorfulList-Accent11"/>
              <w:tabs>
                <w:tab w:val="left" w:pos="0"/>
                <w:tab w:val="left" w:pos="284"/>
              </w:tabs>
              <w:ind w:left="0" w:right="-90"/>
              <w:jc w:val="right"/>
              <w:rPr>
                <w:rFonts w:ascii="Arial" w:hAnsi="Arial" w:cs="Arial"/>
                <w:b/>
                <w:color w:val="000000" w:themeColor="text1"/>
                <w:sz w:val="18"/>
                <w:szCs w:val="18"/>
                <w:lang w:val="el-GR"/>
              </w:rPr>
            </w:pPr>
          </w:p>
        </w:tc>
        <w:tc>
          <w:tcPr>
            <w:tcW w:w="2126" w:type="dxa"/>
            <w:tcBorders>
              <w:top w:val="nil"/>
              <w:bottom w:val="nil"/>
            </w:tcBorders>
            <w:shd w:val="clear" w:color="auto" w:fill="FFFFFF" w:themeFill="background1"/>
            <w:vAlign w:val="center"/>
          </w:tcPr>
          <w:p w14:paraId="27389279" w14:textId="77777777" w:rsidR="00E32C25" w:rsidRPr="00872FD9" w:rsidRDefault="00E32C25" w:rsidP="00E32C25">
            <w:pPr>
              <w:pStyle w:val="ColorfulList-Accent11"/>
              <w:tabs>
                <w:tab w:val="left" w:pos="0"/>
                <w:tab w:val="left" w:pos="284"/>
              </w:tabs>
              <w:ind w:left="0" w:right="-90"/>
              <w:jc w:val="right"/>
              <w:rPr>
                <w:rFonts w:ascii="Arial" w:hAnsi="Arial" w:cs="Arial"/>
                <w:b/>
                <w:color w:val="000000" w:themeColor="text1"/>
                <w:sz w:val="18"/>
                <w:szCs w:val="18"/>
                <w:lang w:val="el-GR"/>
              </w:rPr>
            </w:pPr>
          </w:p>
        </w:tc>
      </w:tr>
      <w:tr w:rsidR="00E32C25" w:rsidRPr="00872FD9" w14:paraId="62D3148A" w14:textId="77777777" w:rsidTr="0009084A">
        <w:trPr>
          <w:trHeight w:val="256"/>
        </w:trPr>
        <w:tc>
          <w:tcPr>
            <w:tcW w:w="6379" w:type="dxa"/>
            <w:tcBorders>
              <w:top w:val="nil"/>
              <w:bottom w:val="nil"/>
            </w:tcBorders>
            <w:shd w:val="clear" w:color="auto" w:fill="FFFFFF" w:themeFill="background1"/>
          </w:tcPr>
          <w:p w14:paraId="1F2055EB" w14:textId="5E962817" w:rsidR="00E32C25" w:rsidRPr="00872FD9" w:rsidRDefault="00E32C25" w:rsidP="00E32C25">
            <w:pPr>
              <w:pStyle w:val="ColorfulList-Accent11"/>
              <w:tabs>
                <w:tab w:val="left" w:pos="0"/>
                <w:tab w:val="left" w:pos="284"/>
              </w:tabs>
              <w:ind w:left="0" w:right="-90"/>
              <w:rPr>
                <w:rFonts w:ascii="Arial" w:hAnsi="Arial" w:cs="Arial"/>
                <w:color w:val="000000" w:themeColor="text1"/>
                <w:sz w:val="18"/>
                <w:szCs w:val="18"/>
              </w:rPr>
            </w:pPr>
            <w:proofErr w:type="spellStart"/>
            <w:r w:rsidRPr="00872FD9">
              <w:rPr>
                <w:rFonts w:ascii="Arial" w:hAnsi="Arial" w:cs="Arial"/>
                <w:sz w:val="18"/>
                <w:szCs w:val="18"/>
              </w:rPr>
              <w:t>Μετοχικό</w:t>
            </w:r>
            <w:proofErr w:type="spellEnd"/>
            <w:r w:rsidRPr="00872FD9">
              <w:rPr>
                <w:rFonts w:ascii="Arial" w:hAnsi="Arial" w:cs="Arial"/>
                <w:sz w:val="18"/>
                <w:szCs w:val="18"/>
              </w:rPr>
              <w:t xml:space="preserve"> κεφάλαιο</w:t>
            </w:r>
          </w:p>
        </w:tc>
        <w:tc>
          <w:tcPr>
            <w:tcW w:w="1985" w:type="dxa"/>
            <w:tcBorders>
              <w:top w:val="nil"/>
              <w:bottom w:val="nil"/>
            </w:tcBorders>
            <w:shd w:val="clear" w:color="auto" w:fill="FFFFFF" w:themeFill="background1"/>
            <w:vAlign w:val="center"/>
          </w:tcPr>
          <w:p w14:paraId="0D94041D" w14:textId="5BE43503" w:rsidR="00E32C25" w:rsidRPr="00872FD9" w:rsidRDefault="00E32C25" w:rsidP="00E32C25">
            <w:pPr>
              <w:pStyle w:val="ColorfulList-Accent11"/>
              <w:tabs>
                <w:tab w:val="left" w:pos="0"/>
                <w:tab w:val="left" w:pos="284"/>
              </w:tabs>
              <w:ind w:left="0" w:right="-90"/>
              <w:jc w:val="right"/>
              <w:rPr>
                <w:rFonts w:ascii="Arial" w:hAnsi="Arial" w:cs="Arial"/>
                <w:color w:val="000000" w:themeColor="text1"/>
                <w:sz w:val="18"/>
                <w:szCs w:val="18"/>
              </w:rPr>
            </w:pPr>
            <w:r w:rsidRPr="00872FD9">
              <w:rPr>
                <w:rFonts w:ascii="Arial" w:hAnsi="Arial" w:cs="Arial"/>
                <w:color w:val="000000"/>
                <w:sz w:val="18"/>
                <w:szCs w:val="18"/>
              </w:rPr>
              <w:t xml:space="preserve">                  1</w:t>
            </w:r>
            <w:r w:rsidR="001E06AD" w:rsidRPr="00872FD9">
              <w:rPr>
                <w:rFonts w:ascii="Arial" w:hAnsi="Arial" w:cs="Arial"/>
                <w:color w:val="000000"/>
                <w:sz w:val="18"/>
                <w:szCs w:val="18"/>
              </w:rPr>
              <w:t>.</w:t>
            </w:r>
            <w:r w:rsidRPr="00872FD9">
              <w:rPr>
                <w:rFonts w:ascii="Arial" w:hAnsi="Arial" w:cs="Arial"/>
                <w:color w:val="000000"/>
                <w:sz w:val="18"/>
                <w:szCs w:val="18"/>
              </w:rPr>
              <w:t>142</w:t>
            </w:r>
            <w:r w:rsidR="001E06AD" w:rsidRPr="00872FD9">
              <w:rPr>
                <w:rFonts w:ascii="Arial" w:hAnsi="Arial" w:cs="Arial"/>
                <w:color w:val="000000"/>
                <w:sz w:val="18"/>
                <w:szCs w:val="18"/>
              </w:rPr>
              <w:t>,</w:t>
            </w:r>
            <w:r w:rsidRPr="00872FD9">
              <w:rPr>
                <w:rFonts w:ascii="Arial" w:hAnsi="Arial" w:cs="Arial"/>
                <w:color w:val="000000"/>
                <w:sz w:val="18"/>
                <w:szCs w:val="18"/>
              </w:rPr>
              <w:t xml:space="preserve">9 </w:t>
            </w:r>
          </w:p>
        </w:tc>
        <w:tc>
          <w:tcPr>
            <w:tcW w:w="2126" w:type="dxa"/>
            <w:tcBorders>
              <w:top w:val="nil"/>
              <w:bottom w:val="nil"/>
            </w:tcBorders>
            <w:shd w:val="clear" w:color="auto" w:fill="FFFFFF" w:themeFill="background1"/>
            <w:vAlign w:val="center"/>
          </w:tcPr>
          <w:p w14:paraId="026E76E0" w14:textId="1844CAFA" w:rsidR="00E32C25" w:rsidRPr="00872FD9" w:rsidRDefault="00E32C25" w:rsidP="00E32C25">
            <w:pPr>
              <w:pStyle w:val="ColorfulList-Accent11"/>
              <w:tabs>
                <w:tab w:val="left" w:pos="0"/>
                <w:tab w:val="left" w:pos="284"/>
              </w:tabs>
              <w:ind w:left="0" w:right="-90"/>
              <w:jc w:val="right"/>
              <w:rPr>
                <w:rFonts w:ascii="Arial" w:hAnsi="Arial" w:cs="Arial"/>
                <w:b/>
                <w:color w:val="000000" w:themeColor="text1"/>
                <w:sz w:val="18"/>
                <w:szCs w:val="18"/>
              </w:rPr>
            </w:pPr>
            <w:r w:rsidRPr="00872FD9">
              <w:rPr>
                <w:rFonts w:ascii="Arial" w:hAnsi="Arial" w:cs="Arial"/>
                <w:sz w:val="18"/>
                <w:szCs w:val="18"/>
              </w:rPr>
              <w:t xml:space="preserve">                 1</w:t>
            </w:r>
            <w:r w:rsidR="001E06AD" w:rsidRPr="00872FD9">
              <w:rPr>
                <w:rFonts w:ascii="Arial" w:hAnsi="Arial" w:cs="Arial"/>
                <w:sz w:val="18"/>
                <w:szCs w:val="18"/>
              </w:rPr>
              <w:t>.</w:t>
            </w:r>
            <w:r w:rsidRPr="00872FD9">
              <w:rPr>
                <w:rFonts w:ascii="Arial" w:hAnsi="Arial" w:cs="Arial"/>
                <w:sz w:val="18"/>
                <w:szCs w:val="18"/>
              </w:rPr>
              <w:t>167</w:t>
            </w:r>
            <w:r w:rsidR="001E06AD" w:rsidRPr="00872FD9">
              <w:rPr>
                <w:rFonts w:ascii="Arial" w:hAnsi="Arial" w:cs="Arial"/>
                <w:sz w:val="18"/>
                <w:szCs w:val="18"/>
              </w:rPr>
              <w:t>,</w:t>
            </w:r>
            <w:r w:rsidRPr="00872FD9">
              <w:rPr>
                <w:rFonts w:ascii="Arial" w:hAnsi="Arial" w:cs="Arial"/>
                <w:sz w:val="18"/>
                <w:szCs w:val="18"/>
              </w:rPr>
              <w:t xml:space="preserve">9 </w:t>
            </w:r>
          </w:p>
        </w:tc>
      </w:tr>
      <w:tr w:rsidR="00E32C25" w:rsidRPr="00872FD9" w14:paraId="4669C5A1" w14:textId="77777777" w:rsidTr="0009084A">
        <w:trPr>
          <w:trHeight w:val="256"/>
        </w:trPr>
        <w:tc>
          <w:tcPr>
            <w:tcW w:w="6379" w:type="dxa"/>
            <w:tcBorders>
              <w:top w:val="nil"/>
              <w:bottom w:val="nil"/>
            </w:tcBorders>
            <w:shd w:val="clear" w:color="auto" w:fill="FFFFFF" w:themeFill="background1"/>
          </w:tcPr>
          <w:p w14:paraId="699D32D2" w14:textId="418CD817" w:rsidR="00E32C25" w:rsidRPr="00872FD9" w:rsidRDefault="00E32C25" w:rsidP="00E32C25">
            <w:pPr>
              <w:pStyle w:val="ColorfulList-Accent11"/>
              <w:tabs>
                <w:tab w:val="left" w:pos="0"/>
                <w:tab w:val="left" w:pos="284"/>
              </w:tabs>
              <w:ind w:left="0" w:right="-90"/>
              <w:rPr>
                <w:rFonts w:ascii="Arial" w:hAnsi="Arial" w:cs="Arial"/>
                <w:color w:val="000000" w:themeColor="text1"/>
                <w:sz w:val="18"/>
                <w:szCs w:val="18"/>
              </w:rPr>
            </w:pPr>
            <w:r w:rsidRPr="00872FD9">
              <w:rPr>
                <w:rFonts w:ascii="Arial" w:hAnsi="Arial" w:cs="Arial"/>
                <w:sz w:val="18"/>
                <w:szCs w:val="18"/>
              </w:rPr>
              <w:t>Απ</w:t>
            </w:r>
            <w:proofErr w:type="spellStart"/>
            <w:r w:rsidRPr="00872FD9">
              <w:rPr>
                <w:rFonts w:ascii="Arial" w:hAnsi="Arial" w:cs="Arial"/>
                <w:sz w:val="18"/>
                <w:szCs w:val="18"/>
              </w:rPr>
              <w:t>οθεμ</w:t>
            </w:r>
            <w:proofErr w:type="spellEnd"/>
            <w:r w:rsidRPr="00872FD9">
              <w:rPr>
                <w:rFonts w:ascii="Arial" w:hAnsi="Arial" w:cs="Arial"/>
                <w:sz w:val="18"/>
                <w:szCs w:val="18"/>
              </w:rPr>
              <w:t>ατικό υπ</w:t>
            </w:r>
            <w:proofErr w:type="spellStart"/>
            <w:r w:rsidRPr="00872FD9">
              <w:rPr>
                <w:rFonts w:ascii="Arial" w:hAnsi="Arial" w:cs="Arial"/>
                <w:sz w:val="18"/>
                <w:szCs w:val="18"/>
              </w:rPr>
              <w:t>έρ</w:t>
            </w:r>
            <w:proofErr w:type="spellEnd"/>
            <w:r w:rsidRPr="00872FD9">
              <w:rPr>
                <w:rFonts w:ascii="Arial" w:hAnsi="Arial" w:cs="Arial"/>
                <w:sz w:val="18"/>
                <w:szCs w:val="18"/>
              </w:rPr>
              <w:t xml:space="preserve"> </w:t>
            </w:r>
            <w:proofErr w:type="spellStart"/>
            <w:r w:rsidRPr="00872FD9">
              <w:rPr>
                <w:rFonts w:ascii="Arial" w:hAnsi="Arial" w:cs="Arial"/>
                <w:sz w:val="18"/>
                <w:szCs w:val="18"/>
              </w:rPr>
              <w:t>το</w:t>
            </w:r>
            <w:proofErr w:type="spellEnd"/>
            <w:r w:rsidRPr="00872FD9">
              <w:rPr>
                <w:rFonts w:ascii="Arial" w:hAnsi="Arial" w:cs="Arial"/>
                <w:sz w:val="18"/>
                <w:szCs w:val="18"/>
              </w:rPr>
              <w:t xml:space="preserve"> </w:t>
            </w:r>
            <w:proofErr w:type="spellStart"/>
            <w:r w:rsidRPr="00872FD9">
              <w:rPr>
                <w:rFonts w:ascii="Arial" w:hAnsi="Arial" w:cs="Arial"/>
                <w:sz w:val="18"/>
                <w:szCs w:val="18"/>
              </w:rPr>
              <w:t>άρτιο</w:t>
            </w:r>
            <w:proofErr w:type="spellEnd"/>
            <w:r w:rsidRPr="00872FD9">
              <w:rPr>
                <w:rFonts w:ascii="Arial" w:hAnsi="Arial" w:cs="Arial"/>
                <w:sz w:val="18"/>
                <w:szCs w:val="18"/>
              </w:rPr>
              <w:t xml:space="preserve"> </w:t>
            </w:r>
          </w:p>
        </w:tc>
        <w:tc>
          <w:tcPr>
            <w:tcW w:w="1985" w:type="dxa"/>
            <w:tcBorders>
              <w:top w:val="nil"/>
              <w:bottom w:val="nil"/>
            </w:tcBorders>
            <w:shd w:val="clear" w:color="auto" w:fill="FFFFFF" w:themeFill="background1"/>
            <w:vAlign w:val="center"/>
          </w:tcPr>
          <w:p w14:paraId="4A72F1ED" w14:textId="7B841359" w:rsidR="00E32C25" w:rsidRPr="00872FD9" w:rsidRDefault="00E32C25" w:rsidP="00E32C25">
            <w:pPr>
              <w:pStyle w:val="ColorfulList-Accent11"/>
              <w:tabs>
                <w:tab w:val="left" w:pos="0"/>
                <w:tab w:val="left" w:pos="284"/>
              </w:tabs>
              <w:ind w:left="0" w:right="-90"/>
              <w:jc w:val="right"/>
              <w:rPr>
                <w:rFonts w:ascii="Arial" w:hAnsi="Arial" w:cs="Arial"/>
                <w:color w:val="000000" w:themeColor="text1"/>
                <w:sz w:val="18"/>
                <w:szCs w:val="18"/>
              </w:rPr>
            </w:pPr>
            <w:r w:rsidRPr="00872FD9">
              <w:rPr>
                <w:rFonts w:ascii="Arial" w:hAnsi="Arial" w:cs="Arial"/>
                <w:color w:val="000000"/>
                <w:sz w:val="18"/>
                <w:szCs w:val="18"/>
              </w:rPr>
              <w:t xml:space="preserve">                     407</w:t>
            </w:r>
            <w:r w:rsidR="001E06AD" w:rsidRPr="00872FD9">
              <w:rPr>
                <w:rFonts w:ascii="Arial" w:hAnsi="Arial" w:cs="Arial"/>
                <w:color w:val="000000"/>
                <w:sz w:val="18"/>
                <w:szCs w:val="18"/>
              </w:rPr>
              <w:t>,</w:t>
            </w:r>
            <w:r w:rsidRPr="00872FD9">
              <w:rPr>
                <w:rFonts w:ascii="Arial" w:hAnsi="Arial" w:cs="Arial"/>
                <w:color w:val="000000"/>
                <w:sz w:val="18"/>
                <w:szCs w:val="18"/>
              </w:rPr>
              <w:t xml:space="preserve">1 </w:t>
            </w:r>
          </w:p>
        </w:tc>
        <w:tc>
          <w:tcPr>
            <w:tcW w:w="2126" w:type="dxa"/>
            <w:tcBorders>
              <w:top w:val="nil"/>
              <w:bottom w:val="nil"/>
            </w:tcBorders>
            <w:shd w:val="clear" w:color="auto" w:fill="FFFFFF" w:themeFill="background1"/>
            <w:vAlign w:val="center"/>
          </w:tcPr>
          <w:p w14:paraId="36B7DB6D" w14:textId="048155EB" w:rsidR="00E32C25" w:rsidRPr="00872FD9" w:rsidRDefault="00E32C25" w:rsidP="00E32C25">
            <w:pPr>
              <w:pStyle w:val="ColorfulList-Accent11"/>
              <w:tabs>
                <w:tab w:val="left" w:pos="0"/>
                <w:tab w:val="left" w:pos="284"/>
              </w:tabs>
              <w:ind w:left="0" w:right="-90"/>
              <w:jc w:val="right"/>
              <w:rPr>
                <w:rFonts w:ascii="Arial" w:hAnsi="Arial" w:cs="Arial"/>
                <w:color w:val="000000" w:themeColor="text1"/>
                <w:sz w:val="18"/>
                <w:szCs w:val="18"/>
              </w:rPr>
            </w:pPr>
            <w:r w:rsidRPr="00872FD9">
              <w:rPr>
                <w:rFonts w:ascii="Arial" w:hAnsi="Arial" w:cs="Arial"/>
                <w:sz w:val="18"/>
                <w:szCs w:val="18"/>
              </w:rPr>
              <w:t xml:space="preserve">                    416</w:t>
            </w:r>
            <w:r w:rsidR="001E06AD" w:rsidRPr="00872FD9">
              <w:rPr>
                <w:rFonts w:ascii="Arial" w:hAnsi="Arial" w:cs="Arial"/>
                <w:sz w:val="18"/>
                <w:szCs w:val="18"/>
              </w:rPr>
              <w:t>,</w:t>
            </w:r>
            <w:r w:rsidRPr="00872FD9">
              <w:rPr>
                <w:rFonts w:ascii="Arial" w:hAnsi="Arial" w:cs="Arial"/>
                <w:sz w:val="18"/>
                <w:szCs w:val="18"/>
              </w:rPr>
              <w:t xml:space="preserve">4 </w:t>
            </w:r>
          </w:p>
        </w:tc>
      </w:tr>
      <w:tr w:rsidR="00E32C25" w:rsidRPr="00872FD9" w14:paraId="2A989B8F" w14:textId="77777777" w:rsidTr="0009084A">
        <w:trPr>
          <w:trHeight w:val="256"/>
        </w:trPr>
        <w:tc>
          <w:tcPr>
            <w:tcW w:w="6379" w:type="dxa"/>
            <w:tcBorders>
              <w:top w:val="nil"/>
              <w:bottom w:val="nil"/>
            </w:tcBorders>
            <w:shd w:val="clear" w:color="auto" w:fill="FFFFFF" w:themeFill="background1"/>
          </w:tcPr>
          <w:p w14:paraId="2AF61A75" w14:textId="534ACD1C" w:rsidR="00E32C25" w:rsidRPr="00872FD9" w:rsidRDefault="00E32C25" w:rsidP="00E32C25">
            <w:pPr>
              <w:pStyle w:val="ColorfulList-Accent11"/>
              <w:tabs>
                <w:tab w:val="left" w:pos="0"/>
                <w:tab w:val="left" w:pos="284"/>
              </w:tabs>
              <w:ind w:left="0" w:right="-90"/>
              <w:rPr>
                <w:rFonts w:ascii="Arial" w:hAnsi="Arial" w:cs="Arial"/>
                <w:color w:val="000000" w:themeColor="text1"/>
                <w:sz w:val="18"/>
                <w:szCs w:val="18"/>
              </w:rPr>
            </w:pPr>
            <w:proofErr w:type="spellStart"/>
            <w:r w:rsidRPr="00872FD9">
              <w:rPr>
                <w:rFonts w:ascii="Arial" w:hAnsi="Arial" w:cs="Arial"/>
                <w:sz w:val="18"/>
                <w:szCs w:val="18"/>
              </w:rPr>
              <w:t>Ίδιες</w:t>
            </w:r>
            <w:proofErr w:type="spellEnd"/>
            <w:r w:rsidRPr="00872FD9">
              <w:rPr>
                <w:rFonts w:ascii="Arial" w:hAnsi="Arial" w:cs="Arial"/>
                <w:sz w:val="18"/>
                <w:szCs w:val="18"/>
              </w:rPr>
              <w:t xml:space="preserve"> μετοχές </w:t>
            </w:r>
          </w:p>
        </w:tc>
        <w:tc>
          <w:tcPr>
            <w:tcW w:w="1985" w:type="dxa"/>
            <w:tcBorders>
              <w:top w:val="nil"/>
              <w:bottom w:val="nil"/>
            </w:tcBorders>
            <w:shd w:val="clear" w:color="auto" w:fill="FFFFFF" w:themeFill="background1"/>
            <w:vAlign w:val="center"/>
          </w:tcPr>
          <w:p w14:paraId="506B7850" w14:textId="0A3EE2C1" w:rsidR="00E32C25" w:rsidRPr="00872FD9" w:rsidRDefault="00E32C25" w:rsidP="00E32C25">
            <w:pPr>
              <w:pStyle w:val="ColorfulList-Accent11"/>
              <w:tabs>
                <w:tab w:val="left" w:pos="0"/>
                <w:tab w:val="left" w:pos="284"/>
              </w:tabs>
              <w:ind w:left="0" w:right="-90"/>
              <w:jc w:val="right"/>
              <w:rPr>
                <w:rFonts w:ascii="Arial" w:hAnsi="Arial" w:cs="Arial"/>
                <w:color w:val="000000" w:themeColor="text1"/>
                <w:sz w:val="18"/>
                <w:szCs w:val="18"/>
              </w:rPr>
            </w:pPr>
            <w:r w:rsidRPr="00872FD9">
              <w:rPr>
                <w:rFonts w:ascii="Arial" w:hAnsi="Arial" w:cs="Arial"/>
                <w:color w:val="000000"/>
                <w:sz w:val="18"/>
                <w:szCs w:val="18"/>
              </w:rPr>
              <w:t xml:space="preserve">                     (79</w:t>
            </w:r>
            <w:r w:rsidR="001E06AD" w:rsidRPr="00872FD9">
              <w:rPr>
                <w:rFonts w:ascii="Arial" w:hAnsi="Arial" w:cs="Arial"/>
                <w:color w:val="000000"/>
                <w:sz w:val="18"/>
                <w:szCs w:val="18"/>
              </w:rPr>
              <w:t>,</w:t>
            </w:r>
            <w:r w:rsidRPr="00872FD9">
              <w:rPr>
                <w:rFonts w:ascii="Arial" w:hAnsi="Arial" w:cs="Arial"/>
                <w:color w:val="000000"/>
                <w:sz w:val="18"/>
                <w:szCs w:val="18"/>
              </w:rPr>
              <w:t>7)</w:t>
            </w:r>
          </w:p>
        </w:tc>
        <w:tc>
          <w:tcPr>
            <w:tcW w:w="2126" w:type="dxa"/>
            <w:tcBorders>
              <w:top w:val="nil"/>
              <w:bottom w:val="nil"/>
            </w:tcBorders>
            <w:shd w:val="clear" w:color="auto" w:fill="FFFFFF" w:themeFill="background1"/>
            <w:vAlign w:val="center"/>
          </w:tcPr>
          <w:p w14:paraId="45F38741" w14:textId="3F770C1C" w:rsidR="00E32C25" w:rsidRPr="00872FD9" w:rsidRDefault="00E32C25" w:rsidP="00E32C25">
            <w:pPr>
              <w:pStyle w:val="ColorfulList-Accent11"/>
              <w:tabs>
                <w:tab w:val="left" w:pos="0"/>
                <w:tab w:val="left" w:pos="284"/>
              </w:tabs>
              <w:ind w:left="0" w:right="-90"/>
              <w:jc w:val="right"/>
              <w:rPr>
                <w:rFonts w:ascii="Arial" w:hAnsi="Arial" w:cs="Arial"/>
                <w:color w:val="000000" w:themeColor="text1"/>
                <w:sz w:val="18"/>
                <w:szCs w:val="18"/>
              </w:rPr>
            </w:pPr>
            <w:r w:rsidRPr="00872FD9">
              <w:rPr>
                <w:rFonts w:ascii="Arial" w:hAnsi="Arial" w:cs="Arial"/>
                <w:sz w:val="18"/>
                <w:szCs w:val="18"/>
              </w:rPr>
              <w:t xml:space="preserve">                   (104</w:t>
            </w:r>
            <w:r w:rsidR="001E06AD" w:rsidRPr="00872FD9">
              <w:rPr>
                <w:rFonts w:ascii="Arial" w:hAnsi="Arial" w:cs="Arial"/>
                <w:sz w:val="18"/>
                <w:szCs w:val="18"/>
              </w:rPr>
              <w:t>,</w:t>
            </w:r>
            <w:r w:rsidRPr="00872FD9">
              <w:rPr>
                <w:rFonts w:ascii="Arial" w:hAnsi="Arial" w:cs="Arial"/>
                <w:sz w:val="18"/>
                <w:szCs w:val="18"/>
              </w:rPr>
              <w:t>2)</w:t>
            </w:r>
          </w:p>
        </w:tc>
      </w:tr>
      <w:tr w:rsidR="00E32C25" w:rsidRPr="00872FD9" w14:paraId="57003574" w14:textId="77777777" w:rsidTr="0009084A">
        <w:trPr>
          <w:trHeight w:val="256"/>
        </w:trPr>
        <w:tc>
          <w:tcPr>
            <w:tcW w:w="6379" w:type="dxa"/>
            <w:tcBorders>
              <w:top w:val="nil"/>
              <w:bottom w:val="nil"/>
            </w:tcBorders>
            <w:shd w:val="clear" w:color="auto" w:fill="FFFFFF" w:themeFill="background1"/>
          </w:tcPr>
          <w:p w14:paraId="5BE0C4F8" w14:textId="77AB9471" w:rsidR="00E32C25" w:rsidRPr="00872FD9" w:rsidRDefault="00E32C25" w:rsidP="00E32C25">
            <w:pPr>
              <w:pStyle w:val="ColorfulList-Accent11"/>
              <w:tabs>
                <w:tab w:val="left" w:pos="0"/>
                <w:tab w:val="left" w:pos="284"/>
              </w:tabs>
              <w:ind w:left="0" w:right="-90"/>
              <w:rPr>
                <w:rFonts w:ascii="Arial" w:hAnsi="Arial" w:cs="Arial"/>
                <w:color w:val="000000" w:themeColor="text1"/>
                <w:sz w:val="18"/>
                <w:szCs w:val="18"/>
              </w:rPr>
            </w:pPr>
            <w:r w:rsidRPr="00872FD9">
              <w:rPr>
                <w:rFonts w:ascii="Arial" w:hAnsi="Arial" w:cs="Arial"/>
                <w:sz w:val="18"/>
                <w:szCs w:val="18"/>
              </w:rPr>
              <w:t>Τα</w:t>
            </w:r>
            <w:proofErr w:type="spellStart"/>
            <w:r w:rsidRPr="00872FD9">
              <w:rPr>
                <w:rFonts w:ascii="Arial" w:hAnsi="Arial" w:cs="Arial"/>
                <w:sz w:val="18"/>
                <w:szCs w:val="18"/>
              </w:rPr>
              <w:t>κτικό</w:t>
            </w:r>
            <w:proofErr w:type="spellEnd"/>
            <w:r w:rsidRPr="00872FD9">
              <w:rPr>
                <w:rFonts w:ascii="Arial" w:hAnsi="Arial" w:cs="Arial"/>
                <w:sz w:val="18"/>
                <w:szCs w:val="18"/>
              </w:rPr>
              <w:t xml:space="preserve"> αποθεματικό</w:t>
            </w:r>
          </w:p>
        </w:tc>
        <w:tc>
          <w:tcPr>
            <w:tcW w:w="1985" w:type="dxa"/>
            <w:tcBorders>
              <w:top w:val="nil"/>
              <w:bottom w:val="nil"/>
            </w:tcBorders>
            <w:shd w:val="clear" w:color="auto" w:fill="FFFFFF" w:themeFill="background1"/>
            <w:vAlign w:val="center"/>
          </w:tcPr>
          <w:p w14:paraId="4ED9B003" w14:textId="25973E8A" w:rsidR="00E32C25" w:rsidRPr="00872FD9" w:rsidRDefault="00E32C25" w:rsidP="00E32C25">
            <w:pPr>
              <w:pStyle w:val="ColorfulList-Accent11"/>
              <w:tabs>
                <w:tab w:val="left" w:pos="0"/>
                <w:tab w:val="left" w:pos="284"/>
              </w:tabs>
              <w:ind w:left="0" w:right="-90"/>
              <w:jc w:val="right"/>
              <w:rPr>
                <w:rFonts w:ascii="Arial" w:hAnsi="Arial" w:cs="Arial"/>
                <w:color w:val="000000" w:themeColor="text1"/>
                <w:sz w:val="18"/>
                <w:szCs w:val="18"/>
              </w:rPr>
            </w:pPr>
            <w:r w:rsidRPr="00872FD9">
              <w:rPr>
                <w:rFonts w:ascii="Arial" w:hAnsi="Arial" w:cs="Arial"/>
                <w:color w:val="000000"/>
                <w:sz w:val="18"/>
                <w:szCs w:val="18"/>
              </w:rPr>
              <w:t xml:space="preserve">                     440</w:t>
            </w:r>
            <w:r w:rsidR="001E06AD" w:rsidRPr="00872FD9">
              <w:rPr>
                <w:rFonts w:ascii="Arial" w:hAnsi="Arial" w:cs="Arial"/>
                <w:color w:val="000000"/>
                <w:sz w:val="18"/>
                <w:szCs w:val="18"/>
              </w:rPr>
              <w:t>,</w:t>
            </w:r>
            <w:r w:rsidRPr="00872FD9">
              <w:rPr>
                <w:rFonts w:ascii="Arial" w:hAnsi="Arial" w:cs="Arial"/>
                <w:color w:val="000000"/>
                <w:sz w:val="18"/>
                <w:szCs w:val="18"/>
              </w:rPr>
              <w:t xml:space="preserve">7 </w:t>
            </w:r>
          </w:p>
        </w:tc>
        <w:tc>
          <w:tcPr>
            <w:tcW w:w="2126" w:type="dxa"/>
            <w:tcBorders>
              <w:top w:val="nil"/>
              <w:bottom w:val="nil"/>
            </w:tcBorders>
            <w:shd w:val="clear" w:color="auto" w:fill="FFFFFF" w:themeFill="background1"/>
            <w:vAlign w:val="center"/>
          </w:tcPr>
          <w:p w14:paraId="10423537" w14:textId="5A2D11F6" w:rsidR="00E32C25" w:rsidRPr="00872FD9" w:rsidRDefault="00E32C25" w:rsidP="00E32C25">
            <w:pPr>
              <w:pStyle w:val="ColorfulList-Accent11"/>
              <w:tabs>
                <w:tab w:val="left" w:pos="0"/>
                <w:tab w:val="left" w:pos="284"/>
              </w:tabs>
              <w:ind w:left="0" w:right="-90"/>
              <w:jc w:val="right"/>
              <w:rPr>
                <w:rFonts w:ascii="Arial" w:hAnsi="Arial" w:cs="Arial"/>
                <w:color w:val="000000" w:themeColor="text1"/>
                <w:sz w:val="18"/>
                <w:szCs w:val="18"/>
              </w:rPr>
            </w:pPr>
            <w:r w:rsidRPr="00872FD9">
              <w:rPr>
                <w:rFonts w:ascii="Arial" w:hAnsi="Arial" w:cs="Arial"/>
                <w:sz w:val="18"/>
                <w:szCs w:val="18"/>
              </w:rPr>
              <w:t xml:space="preserve">                    440</w:t>
            </w:r>
            <w:r w:rsidR="001E06AD" w:rsidRPr="00872FD9">
              <w:rPr>
                <w:rFonts w:ascii="Arial" w:hAnsi="Arial" w:cs="Arial"/>
                <w:sz w:val="18"/>
                <w:szCs w:val="18"/>
              </w:rPr>
              <w:t>,</w:t>
            </w:r>
            <w:r w:rsidRPr="00872FD9">
              <w:rPr>
                <w:rFonts w:ascii="Arial" w:hAnsi="Arial" w:cs="Arial"/>
                <w:sz w:val="18"/>
                <w:szCs w:val="18"/>
              </w:rPr>
              <w:t xml:space="preserve">7 </w:t>
            </w:r>
          </w:p>
        </w:tc>
      </w:tr>
      <w:tr w:rsidR="00E32C25" w:rsidRPr="00872FD9" w14:paraId="460C39FA" w14:textId="77777777" w:rsidTr="0009084A">
        <w:trPr>
          <w:trHeight w:val="256"/>
        </w:trPr>
        <w:tc>
          <w:tcPr>
            <w:tcW w:w="6379" w:type="dxa"/>
            <w:tcBorders>
              <w:top w:val="nil"/>
              <w:bottom w:val="nil"/>
            </w:tcBorders>
            <w:shd w:val="clear" w:color="auto" w:fill="FFFFFF" w:themeFill="background1"/>
          </w:tcPr>
          <w:p w14:paraId="3A3089A6" w14:textId="0C6ABB20" w:rsidR="00E32C25" w:rsidRPr="00872FD9" w:rsidRDefault="00E32C25" w:rsidP="00E32C25">
            <w:pPr>
              <w:pStyle w:val="ColorfulList-Accent11"/>
              <w:tabs>
                <w:tab w:val="left" w:pos="0"/>
                <w:tab w:val="left" w:pos="284"/>
              </w:tabs>
              <w:ind w:left="0" w:right="-90"/>
              <w:rPr>
                <w:rFonts w:ascii="Arial" w:hAnsi="Arial" w:cs="Arial"/>
                <w:color w:val="000000" w:themeColor="text1"/>
                <w:sz w:val="18"/>
                <w:szCs w:val="18"/>
                <w:lang w:val="el-GR"/>
              </w:rPr>
            </w:pPr>
            <w:r w:rsidRPr="00872FD9">
              <w:rPr>
                <w:rFonts w:ascii="Arial" w:hAnsi="Arial" w:cs="Arial"/>
                <w:sz w:val="18"/>
                <w:szCs w:val="18"/>
                <w:lang w:val="el-GR"/>
              </w:rPr>
              <w:t>Συναλλαγματικές διαφορές και λοιπά αποθεματικά</w:t>
            </w:r>
          </w:p>
        </w:tc>
        <w:tc>
          <w:tcPr>
            <w:tcW w:w="1985" w:type="dxa"/>
            <w:tcBorders>
              <w:top w:val="nil"/>
              <w:bottom w:val="nil"/>
            </w:tcBorders>
            <w:shd w:val="clear" w:color="auto" w:fill="FFFFFF" w:themeFill="background1"/>
            <w:vAlign w:val="center"/>
          </w:tcPr>
          <w:p w14:paraId="7388175C" w14:textId="2251337E" w:rsidR="00E32C25" w:rsidRPr="00872FD9" w:rsidRDefault="00E32C25" w:rsidP="00E32C25">
            <w:pPr>
              <w:pStyle w:val="ColorfulList-Accent11"/>
              <w:tabs>
                <w:tab w:val="left" w:pos="0"/>
                <w:tab w:val="left" w:pos="284"/>
              </w:tabs>
              <w:ind w:left="0" w:right="-90"/>
              <w:jc w:val="right"/>
              <w:rPr>
                <w:rFonts w:ascii="Arial" w:hAnsi="Arial" w:cs="Arial"/>
                <w:color w:val="000000" w:themeColor="text1"/>
                <w:sz w:val="18"/>
                <w:szCs w:val="18"/>
              </w:rPr>
            </w:pPr>
            <w:r w:rsidRPr="00872FD9">
              <w:rPr>
                <w:rFonts w:ascii="Arial" w:hAnsi="Arial" w:cs="Arial"/>
                <w:color w:val="000000"/>
                <w:sz w:val="18"/>
                <w:szCs w:val="18"/>
                <w:lang w:val="el-GR"/>
              </w:rPr>
              <w:t xml:space="preserve">                   </w:t>
            </w:r>
            <w:r w:rsidRPr="00872FD9">
              <w:rPr>
                <w:rFonts w:ascii="Arial" w:hAnsi="Arial" w:cs="Arial"/>
                <w:color w:val="000000"/>
                <w:sz w:val="18"/>
                <w:szCs w:val="18"/>
              </w:rPr>
              <w:t>(153</w:t>
            </w:r>
            <w:r w:rsidR="001E06AD" w:rsidRPr="00872FD9">
              <w:rPr>
                <w:rFonts w:ascii="Arial" w:hAnsi="Arial" w:cs="Arial"/>
                <w:color w:val="000000"/>
                <w:sz w:val="18"/>
                <w:szCs w:val="18"/>
              </w:rPr>
              <w:t>,</w:t>
            </w:r>
            <w:r w:rsidRPr="00872FD9">
              <w:rPr>
                <w:rFonts w:ascii="Arial" w:hAnsi="Arial" w:cs="Arial"/>
                <w:color w:val="000000"/>
                <w:sz w:val="18"/>
                <w:szCs w:val="18"/>
              </w:rPr>
              <w:t>3)</w:t>
            </w:r>
          </w:p>
        </w:tc>
        <w:tc>
          <w:tcPr>
            <w:tcW w:w="2126" w:type="dxa"/>
            <w:tcBorders>
              <w:top w:val="nil"/>
              <w:bottom w:val="nil"/>
            </w:tcBorders>
            <w:shd w:val="clear" w:color="auto" w:fill="FFFFFF" w:themeFill="background1"/>
            <w:vAlign w:val="center"/>
          </w:tcPr>
          <w:p w14:paraId="46F527FF" w14:textId="1A45F032" w:rsidR="00E32C25" w:rsidRPr="00872FD9" w:rsidRDefault="00E32C25" w:rsidP="00E32C25">
            <w:pPr>
              <w:pStyle w:val="ColorfulList-Accent11"/>
              <w:tabs>
                <w:tab w:val="left" w:pos="0"/>
                <w:tab w:val="left" w:pos="284"/>
              </w:tabs>
              <w:ind w:left="0" w:right="-90"/>
              <w:jc w:val="right"/>
              <w:rPr>
                <w:rFonts w:ascii="Arial" w:hAnsi="Arial" w:cs="Arial"/>
                <w:color w:val="000000" w:themeColor="text1"/>
                <w:sz w:val="18"/>
                <w:szCs w:val="18"/>
              </w:rPr>
            </w:pPr>
            <w:r w:rsidRPr="00872FD9">
              <w:rPr>
                <w:rFonts w:ascii="Arial" w:hAnsi="Arial" w:cs="Arial"/>
                <w:sz w:val="18"/>
                <w:szCs w:val="18"/>
              </w:rPr>
              <w:t xml:space="preserve">                   (156</w:t>
            </w:r>
            <w:r w:rsidR="001E06AD" w:rsidRPr="00872FD9">
              <w:rPr>
                <w:rFonts w:ascii="Arial" w:hAnsi="Arial" w:cs="Arial"/>
                <w:sz w:val="18"/>
                <w:szCs w:val="18"/>
              </w:rPr>
              <w:t>,</w:t>
            </w:r>
            <w:r w:rsidRPr="00872FD9">
              <w:rPr>
                <w:rFonts w:ascii="Arial" w:hAnsi="Arial" w:cs="Arial"/>
                <w:sz w:val="18"/>
                <w:szCs w:val="18"/>
              </w:rPr>
              <w:t>4)</w:t>
            </w:r>
          </w:p>
        </w:tc>
      </w:tr>
      <w:tr w:rsidR="00E32C25" w:rsidRPr="00872FD9" w14:paraId="53EE1FEC" w14:textId="77777777" w:rsidTr="0009084A">
        <w:trPr>
          <w:trHeight w:val="156"/>
        </w:trPr>
        <w:tc>
          <w:tcPr>
            <w:tcW w:w="6379" w:type="dxa"/>
            <w:tcBorders>
              <w:top w:val="nil"/>
              <w:bottom w:val="nil"/>
            </w:tcBorders>
            <w:shd w:val="clear" w:color="auto" w:fill="FFFFFF" w:themeFill="background1"/>
          </w:tcPr>
          <w:p w14:paraId="7C04DD5D" w14:textId="759968B4" w:rsidR="00E32C25" w:rsidRPr="00872FD9" w:rsidRDefault="00E32C25" w:rsidP="00E32C25">
            <w:pPr>
              <w:pStyle w:val="ColorfulList-Accent11"/>
              <w:tabs>
                <w:tab w:val="left" w:pos="0"/>
                <w:tab w:val="left" w:pos="284"/>
              </w:tabs>
              <w:ind w:left="0" w:right="-90"/>
              <w:rPr>
                <w:rFonts w:ascii="Arial" w:hAnsi="Arial" w:cs="Arial"/>
                <w:color w:val="000000" w:themeColor="text1"/>
                <w:sz w:val="18"/>
                <w:szCs w:val="18"/>
              </w:rPr>
            </w:pPr>
            <w:r w:rsidRPr="00872FD9">
              <w:rPr>
                <w:rFonts w:ascii="Arial" w:hAnsi="Arial" w:cs="Arial"/>
                <w:sz w:val="18"/>
                <w:szCs w:val="18"/>
              </w:rPr>
              <w:t>Υπ</w:t>
            </w:r>
            <w:proofErr w:type="spellStart"/>
            <w:r w:rsidRPr="00872FD9">
              <w:rPr>
                <w:rFonts w:ascii="Arial" w:hAnsi="Arial" w:cs="Arial"/>
                <w:sz w:val="18"/>
                <w:szCs w:val="18"/>
              </w:rPr>
              <w:t>όλοι</w:t>
            </w:r>
            <w:proofErr w:type="spellEnd"/>
            <w:r w:rsidRPr="00872FD9">
              <w:rPr>
                <w:rFonts w:ascii="Arial" w:hAnsi="Arial" w:cs="Arial"/>
                <w:sz w:val="18"/>
                <w:szCs w:val="18"/>
              </w:rPr>
              <w:t xml:space="preserve">πο κερδών εις </w:t>
            </w:r>
            <w:proofErr w:type="spellStart"/>
            <w:r w:rsidRPr="00872FD9">
              <w:rPr>
                <w:rFonts w:ascii="Arial" w:hAnsi="Arial" w:cs="Arial"/>
                <w:sz w:val="18"/>
                <w:szCs w:val="18"/>
              </w:rPr>
              <w:t>νέο</w:t>
            </w:r>
            <w:proofErr w:type="spellEnd"/>
          </w:p>
        </w:tc>
        <w:tc>
          <w:tcPr>
            <w:tcW w:w="1985" w:type="dxa"/>
            <w:tcBorders>
              <w:top w:val="nil"/>
              <w:bottom w:val="nil"/>
            </w:tcBorders>
            <w:shd w:val="clear" w:color="auto" w:fill="FFFFFF" w:themeFill="background1"/>
            <w:vAlign w:val="center"/>
          </w:tcPr>
          <w:p w14:paraId="01DE0BDB" w14:textId="469DC270" w:rsidR="00E32C25" w:rsidRPr="00872FD9" w:rsidRDefault="00E32C25" w:rsidP="00E32C25">
            <w:pPr>
              <w:pStyle w:val="ColorfulList-Accent11"/>
              <w:tabs>
                <w:tab w:val="left" w:pos="0"/>
                <w:tab w:val="left" w:pos="284"/>
              </w:tabs>
              <w:ind w:left="0" w:right="-90"/>
              <w:jc w:val="right"/>
              <w:rPr>
                <w:rFonts w:ascii="Arial" w:hAnsi="Arial" w:cs="Arial"/>
                <w:color w:val="000000" w:themeColor="text1"/>
                <w:sz w:val="18"/>
                <w:szCs w:val="18"/>
              </w:rPr>
            </w:pPr>
            <w:r w:rsidRPr="00872FD9">
              <w:rPr>
                <w:rFonts w:ascii="Arial" w:hAnsi="Arial" w:cs="Arial"/>
                <w:color w:val="000000"/>
                <w:sz w:val="18"/>
                <w:szCs w:val="18"/>
              </w:rPr>
              <w:t xml:space="preserve">                     292</w:t>
            </w:r>
            <w:r w:rsidR="001E06AD" w:rsidRPr="00872FD9">
              <w:rPr>
                <w:rFonts w:ascii="Arial" w:hAnsi="Arial" w:cs="Arial"/>
                <w:color w:val="000000"/>
                <w:sz w:val="18"/>
                <w:szCs w:val="18"/>
              </w:rPr>
              <w:t>,</w:t>
            </w:r>
            <w:r w:rsidRPr="00872FD9">
              <w:rPr>
                <w:rFonts w:ascii="Arial" w:hAnsi="Arial" w:cs="Arial"/>
                <w:color w:val="000000"/>
                <w:sz w:val="18"/>
                <w:szCs w:val="18"/>
              </w:rPr>
              <w:t xml:space="preserve">7 </w:t>
            </w:r>
          </w:p>
        </w:tc>
        <w:tc>
          <w:tcPr>
            <w:tcW w:w="2126" w:type="dxa"/>
            <w:tcBorders>
              <w:top w:val="nil"/>
              <w:bottom w:val="nil"/>
            </w:tcBorders>
            <w:shd w:val="clear" w:color="auto" w:fill="FFFFFF" w:themeFill="background1"/>
            <w:vAlign w:val="center"/>
          </w:tcPr>
          <w:p w14:paraId="3E7970EE" w14:textId="008455B0" w:rsidR="00E32C25" w:rsidRPr="00872FD9" w:rsidRDefault="00E32C25" w:rsidP="00E32C25">
            <w:pPr>
              <w:pStyle w:val="ColorfulList-Accent11"/>
              <w:tabs>
                <w:tab w:val="left" w:pos="0"/>
                <w:tab w:val="left" w:pos="284"/>
              </w:tabs>
              <w:ind w:left="0" w:right="-90"/>
              <w:jc w:val="right"/>
              <w:rPr>
                <w:rFonts w:ascii="Arial" w:hAnsi="Arial" w:cs="Arial"/>
                <w:color w:val="000000" w:themeColor="text1"/>
                <w:sz w:val="18"/>
                <w:szCs w:val="18"/>
              </w:rPr>
            </w:pPr>
            <w:r w:rsidRPr="00872FD9">
              <w:rPr>
                <w:rFonts w:ascii="Arial" w:hAnsi="Arial" w:cs="Arial"/>
                <w:sz w:val="18"/>
                <w:szCs w:val="18"/>
              </w:rPr>
              <w:t xml:space="preserve">                    </w:t>
            </w:r>
            <w:r w:rsidRPr="00872FD9">
              <w:rPr>
                <w:rFonts w:ascii="Arial" w:hAnsi="Arial" w:cs="Arial"/>
                <w:sz w:val="18"/>
                <w:szCs w:val="18"/>
                <w:lang w:val="el-GR"/>
              </w:rPr>
              <w:t>200</w:t>
            </w:r>
            <w:r w:rsidR="001E06AD" w:rsidRPr="00872FD9">
              <w:rPr>
                <w:rFonts w:ascii="Arial" w:hAnsi="Arial" w:cs="Arial"/>
                <w:sz w:val="18"/>
                <w:szCs w:val="18"/>
              </w:rPr>
              <w:t>,</w:t>
            </w:r>
            <w:r w:rsidRPr="00872FD9">
              <w:rPr>
                <w:rFonts w:ascii="Arial" w:hAnsi="Arial" w:cs="Arial"/>
                <w:sz w:val="18"/>
                <w:szCs w:val="18"/>
                <w:lang w:val="el-GR"/>
              </w:rPr>
              <w:t>5</w:t>
            </w:r>
            <w:r w:rsidRPr="00872FD9">
              <w:rPr>
                <w:rFonts w:ascii="Arial" w:hAnsi="Arial" w:cs="Arial"/>
                <w:sz w:val="18"/>
                <w:szCs w:val="18"/>
              </w:rPr>
              <w:t xml:space="preserve"> </w:t>
            </w:r>
          </w:p>
        </w:tc>
      </w:tr>
      <w:tr w:rsidR="00E32C25" w:rsidRPr="00872FD9" w14:paraId="05BE7C3A" w14:textId="77777777" w:rsidTr="0009084A">
        <w:trPr>
          <w:trHeight w:val="256"/>
        </w:trPr>
        <w:tc>
          <w:tcPr>
            <w:tcW w:w="6379" w:type="dxa"/>
            <w:tcBorders>
              <w:top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7944EBF0" w14:textId="1D73E924" w:rsidR="00E32C25" w:rsidRPr="00872FD9" w:rsidRDefault="00E32C25" w:rsidP="00E32C25">
            <w:pPr>
              <w:pStyle w:val="ColorfulList-Accent11"/>
              <w:tabs>
                <w:tab w:val="left" w:pos="0"/>
                <w:tab w:val="left" w:pos="284"/>
              </w:tabs>
              <w:ind w:left="0" w:right="-90"/>
              <w:rPr>
                <w:rFonts w:ascii="Arial" w:hAnsi="Arial" w:cs="Arial"/>
                <w:b/>
                <w:color w:val="000000" w:themeColor="text1"/>
                <w:sz w:val="18"/>
                <w:szCs w:val="18"/>
              </w:rPr>
            </w:pPr>
            <w:r w:rsidRPr="00872FD9">
              <w:rPr>
                <w:rFonts w:ascii="Arial" w:hAnsi="Arial" w:cs="Arial"/>
                <w:b/>
                <w:bCs/>
                <w:sz w:val="18"/>
                <w:szCs w:val="18"/>
                <w:lang w:val="el-GR"/>
              </w:rPr>
              <w:t>Σύνολο ιδίων κεφαλαίων</w:t>
            </w:r>
          </w:p>
        </w:tc>
        <w:tc>
          <w:tcPr>
            <w:tcW w:w="1985" w:type="dxa"/>
            <w:tcBorders>
              <w:top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52D039DA" w14:textId="4B1314D1" w:rsidR="00E32C25" w:rsidRPr="00872FD9" w:rsidRDefault="00E32C25" w:rsidP="00E32C25">
            <w:pPr>
              <w:pStyle w:val="ColorfulList-Accent11"/>
              <w:tabs>
                <w:tab w:val="left" w:pos="0"/>
                <w:tab w:val="left" w:pos="284"/>
              </w:tabs>
              <w:ind w:left="0" w:right="-90"/>
              <w:jc w:val="right"/>
              <w:rPr>
                <w:rFonts w:ascii="Arial" w:hAnsi="Arial" w:cs="Arial"/>
                <w:b/>
                <w:color w:val="000000" w:themeColor="text1"/>
                <w:sz w:val="18"/>
                <w:szCs w:val="18"/>
                <w:lang w:val="el-GR"/>
              </w:rPr>
            </w:pPr>
            <w:r w:rsidRPr="00872FD9">
              <w:rPr>
                <w:rFonts w:ascii="Arial" w:hAnsi="Arial" w:cs="Arial"/>
                <w:b/>
                <w:bCs/>
                <w:color w:val="000000"/>
                <w:sz w:val="18"/>
                <w:szCs w:val="18"/>
              </w:rPr>
              <w:t xml:space="preserve">     2</w:t>
            </w:r>
            <w:r w:rsidR="001E06AD" w:rsidRPr="00872FD9">
              <w:rPr>
                <w:rFonts w:ascii="Arial" w:hAnsi="Arial" w:cs="Arial"/>
                <w:b/>
                <w:bCs/>
                <w:color w:val="000000"/>
                <w:sz w:val="18"/>
                <w:szCs w:val="18"/>
              </w:rPr>
              <w:t>.</w:t>
            </w:r>
            <w:r w:rsidRPr="00872FD9">
              <w:rPr>
                <w:rFonts w:ascii="Arial" w:hAnsi="Arial" w:cs="Arial"/>
                <w:b/>
                <w:bCs/>
                <w:color w:val="000000"/>
                <w:sz w:val="18"/>
                <w:szCs w:val="18"/>
              </w:rPr>
              <w:t>050</w:t>
            </w:r>
            <w:r w:rsidR="001E06AD" w:rsidRPr="00872FD9">
              <w:rPr>
                <w:rFonts w:ascii="Arial" w:hAnsi="Arial" w:cs="Arial"/>
                <w:b/>
                <w:bCs/>
                <w:color w:val="000000"/>
                <w:sz w:val="18"/>
                <w:szCs w:val="18"/>
              </w:rPr>
              <w:t>,</w:t>
            </w:r>
            <w:r w:rsidRPr="00872FD9">
              <w:rPr>
                <w:rFonts w:ascii="Arial" w:hAnsi="Arial" w:cs="Arial"/>
                <w:b/>
                <w:bCs/>
                <w:color w:val="000000"/>
                <w:sz w:val="18"/>
                <w:szCs w:val="18"/>
              </w:rPr>
              <w:t>4</w:t>
            </w:r>
          </w:p>
        </w:tc>
        <w:tc>
          <w:tcPr>
            <w:tcW w:w="2126" w:type="dxa"/>
            <w:tcBorders>
              <w:top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19484CFE" w14:textId="7F30A306" w:rsidR="00E32C25" w:rsidRPr="00872FD9" w:rsidRDefault="00E32C25" w:rsidP="00E32C25">
            <w:pPr>
              <w:pStyle w:val="ColorfulList-Accent11"/>
              <w:tabs>
                <w:tab w:val="left" w:pos="0"/>
                <w:tab w:val="left" w:pos="284"/>
              </w:tabs>
              <w:ind w:left="0" w:right="-90"/>
              <w:jc w:val="right"/>
              <w:rPr>
                <w:rFonts w:ascii="Arial" w:hAnsi="Arial" w:cs="Arial"/>
                <w:color w:val="000000" w:themeColor="text1"/>
                <w:sz w:val="18"/>
                <w:szCs w:val="18"/>
              </w:rPr>
            </w:pPr>
            <w:r w:rsidRPr="00872FD9">
              <w:rPr>
                <w:rFonts w:ascii="Arial" w:hAnsi="Arial" w:cs="Arial"/>
                <w:b/>
                <w:bCs/>
                <w:sz w:val="18"/>
                <w:szCs w:val="18"/>
              </w:rPr>
              <w:t>1</w:t>
            </w:r>
            <w:r w:rsidR="001E06AD" w:rsidRPr="00872FD9">
              <w:rPr>
                <w:rFonts w:ascii="Arial" w:hAnsi="Arial" w:cs="Arial"/>
                <w:b/>
                <w:bCs/>
                <w:sz w:val="18"/>
                <w:szCs w:val="18"/>
              </w:rPr>
              <w:t>.</w:t>
            </w:r>
            <w:r w:rsidRPr="00872FD9">
              <w:rPr>
                <w:rFonts w:ascii="Arial" w:hAnsi="Arial" w:cs="Arial"/>
                <w:b/>
                <w:bCs/>
                <w:sz w:val="18"/>
                <w:szCs w:val="18"/>
              </w:rPr>
              <w:t>964</w:t>
            </w:r>
            <w:r w:rsidR="001E06AD" w:rsidRPr="00872FD9">
              <w:rPr>
                <w:rFonts w:ascii="Arial" w:hAnsi="Arial" w:cs="Arial"/>
                <w:b/>
                <w:bCs/>
                <w:sz w:val="18"/>
                <w:szCs w:val="18"/>
              </w:rPr>
              <w:t>,</w:t>
            </w:r>
            <w:r w:rsidRPr="00872FD9">
              <w:rPr>
                <w:rFonts w:ascii="Arial" w:hAnsi="Arial" w:cs="Arial"/>
                <w:b/>
                <w:bCs/>
                <w:sz w:val="18"/>
                <w:szCs w:val="18"/>
              </w:rPr>
              <w:t>9</w:t>
            </w:r>
          </w:p>
        </w:tc>
      </w:tr>
      <w:tr w:rsidR="00E32C25" w:rsidRPr="00872FD9" w14:paraId="18094A8A" w14:textId="77777777" w:rsidTr="0009084A">
        <w:trPr>
          <w:trHeight w:val="256"/>
        </w:trPr>
        <w:tc>
          <w:tcPr>
            <w:tcW w:w="6379" w:type="dxa"/>
            <w:tcBorders>
              <w:top w:val="single" w:sz="2" w:space="0" w:color="808080" w:themeColor="background1" w:themeShade="80"/>
              <w:bottom w:val="nil"/>
            </w:tcBorders>
            <w:shd w:val="clear" w:color="auto" w:fill="FFFFFF" w:themeFill="background1"/>
            <w:vAlign w:val="center"/>
          </w:tcPr>
          <w:p w14:paraId="033C958D" w14:textId="02C3CA39" w:rsidR="00E32C25" w:rsidRPr="00872FD9" w:rsidRDefault="00E32C25" w:rsidP="00E32C25">
            <w:pPr>
              <w:pStyle w:val="ColorfulList-Accent11"/>
              <w:tabs>
                <w:tab w:val="left" w:pos="0"/>
                <w:tab w:val="left" w:pos="284"/>
              </w:tabs>
              <w:ind w:left="0" w:right="-90"/>
              <w:rPr>
                <w:rFonts w:ascii="Arial" w:hAnsi="Arial" w:cs="Arial"/>
                <w:b/>
                <w:color w:val="000000" w:themeColor="text1"/>
                <w:sz w:val="18"/>
                <w:szCs w:val="18"/>
              </w:rPr>
            </w:pPr>
            <w:r w:rsidRPr="00872FD9">
              <w:rPr>
                <w:rFonts w:ascii="Arial" w:hAnsi="Arial" w:cs="Arial"/>
                <w:b/>
                <w:bCs/>
                <w:sz w:val="18"/>
                <w:szCs w:val="18"/>
                <w:lang w:val="el-GR"/>
              </w:rPr>
              <w:t>Μακροπρόθεσμες υποχρεώσεις</w:t>
            </w:r>
          </w:p>
        </w:tc>
        <w:tc>
          <w:tcPr>
            <w:tcW w:w="1985" w:type="dxa"/>
            <w:tcBorders>
              <w:top w:val="single" w:sz="2" w:space="0" w:color="808080" w:themeColor="background1" w:themeShade="80"/>
              <w:bottom w:val="nil"/>
            </w:tcBorders>
            <w:shd w:val="clear" w:color="auto" w:fill="FFFFFF" w:themeFill="background1"/>
            <w:vAlign w:val="center"/>
          </w:tcPr>
          <w:p w14:paraId="45C3A913" w14:textId="77777777" w:rsidR="00E32C25" w:rsidRPr="00872FD9" w:rsidRDefault="00E32C25" w:rsidP="00E32C25">
            <w:pPr>
              <w:pStyle w:val="ColorfulList-Accent11"/>
              <w:tabs>
                <w:tab w:val="left" w:pos="0"/>
                <w:tab w:val="left" w:pos="284"/>
              </w:tabs>
              <w:ind w:left="0" w:right="-90"/>
              <w:jc w:val="right"/>
              <w:rPr>
                <w:rFonts w:ascii="Arial" w:hAnsi="Arial" w:cs="Arial"/>
                <w:b/>
                <w:color w:val="000000" w:themeColor="text1"/>
                <w:sz w:val="18"/>
                <w:szCs w:val="18"/>
              </w:rPr>
            </w:pPr>
          </w:p>
        </w:tc>
        <w:tc>
          <w:tcPr>
            <w:tcW w:w="2126" w:type="dxa"/>
            <w:tcBorders>
              <w:top w:val="single" w:sz="2" w:space="0" w:color="808080" w:themeColor="background1" w:themeShade="80"/>
              <w:bottom w:val="nil"/>
            </w:tcBorders>
            <w:shd w:val="clear" w:color="auto" w:fill="FFFFFF" w:themeFill="background1"/>
            <w:vAlign w:val="center"/>
          </w:tcPr>
          <w:p w14:paraId="7E3A2779" w14:textId="77777777" w:rsidR="00E32C25" w:rsidRPr="00872FD9" w:rsidRDefault="00E32C25" w:rsidP="00E32C25">
            <w:pPr>
              <w:pStyle w:val="ColorfulList-Accent11"/>
              <w:tabs>
                <w:tab w:val="left" w:pos="0"/>
                <w:tab w:val="left" w:pos="284"/>
              </w:tabs>
              <w:ind w:left="0" w:right="-90"/>
              <w:jc w:val="right"/>
              <w:rPr>
                <w:rFonts w:ascii="Arial" w:hAnsi="Arial" w:cs="Arial"/>
                <w:b/>
                <w:color w:val="000000" w:themeColor="text1"/>
                <w:sz w:val="18"/>
                <w:szCs w:val="18"/>
              </w:rPr>
            </w:pPr>
          </w:p>
        </w:tc>
      </w:tr>
      <w:tr w:rsidR="00E32C25" w:rsidRPr="00872FD9" w14:paraId="279A5A42" w14:textId="77777777" w:rsidTr="0009084A">
        <w:trPr>
          <w:trHeight w:val="256"/>
        </w:trPr>
        <w:tc>
          <w:tcPr>
            <w:tcW w:w="6379" w:type="dxa"/>
            <w:tcBorders>
              <w:top w:val="nil"/>
              <w:bottom w:val="nil"/>
            </w:tcBorders>
            <w:shd w:val="clear" w:color="auto" w:fill="FFFFFF" w:themeFill="background1"/>
          </w:tcPr>
          <w:p w14:paraId="0E352E5C" w14:textId="2C318C67" w:rsidR="00E32C25" w:rsidRPr="00872FD9" w:rsidRDefault="00E32C25" w:rsidP="00E32C25">
            <w:pPr>
              <w:pStyle w:val="ColorfulList-Accent11"/>
              <w:tabs>
                <w:tab w:val="left" w:pos="0"/>
                <w:tab w:val="left" w:pos="284"/>
              </w:tabs>
              <w:ind w:left="0" w:right="-90"/>
              <w:rPr>
                <w:rFonts w:ascii="Arial" w:hAnsi="Arial" w:cs="Arial"/>
                <w:color w:val="000000" w:themeColor="text1"/>
                <w:sz w:val="18"/>
                <w:szCs w:val="18"/>
              </w:rPr>
            </w:pPr>
            <w:r w:rsidRPr="00872FD9">
              <w:rPr>
                <w:rFonts w:ascii="Arial" w:hAnsi="Arial" w:cs="Arial"/>
                <w:sz w:val="18"/>
                <w:szCs w:val="18"/>
              </w:rPr>
              <w:t>Μα</w:t>
            </w:r>
            <w:proofErr w:type="spellStart"/>
            <w:r w:rsidRPr="00872FD9">
              <w:rPr>
                <w:rFonts w:ascii="Arial" w:hAnsi="Arial" w:cs="Arial"/>
                <w:sz w:val="18"/>
                <w:szCs w:val="18"/>
              </w:rPr>
              <w:t>κρο</w:t>
            </w:r>
            <w:proofErr w:type="spellEnd"/>
            <w:r w:rsidRPr="00872FD9">
              <w:rPr>
                <w:rFonts w:ascii="Arial" w:hAnsi="Arial" w:cs="Arial"/>
                <w:sz w:val="18"/>
                <w:szCs w:val="18"/>
              </w:rPr>
              <w:t xml:space="preserve">πρόθεσμα </w:t>
            </w:r>
            <w:proofErr w:type="spellStart"/>
            <w:r w:rsidRPr="00872FD9">
              <w:rPr>
                <w:rFonts w:ascii="Arial" w:hAnsi="Arial" w:cs="Arial"/>
                <w:sz w:val="18"/>
                <w:szCs w:val="18"/>
              </w:rPr>
              <w:t>δάνει</w:t>
            </w:r>
            <w:proofErr w:type="spellEnd"/>
            <w:r w:rsidRPr="00872FD9">
              <w:rPr>
                <w:rFonts w:ascii="Arial" w:hAnsi="Arial" w:cs="Arial"/>
                <w:sz w:val="18"/>
                <w:szCs w:val="18"/>
              </w:rPr>
              <w:t>α</w:t>
            </w:r>
          </w:p>
        </w:tc>
        <w:tc>
          <w:tcPr>
            <w:tcW w:w="1985" w:type="dxa"/>
            <w:tcBorders>
              <w:top w:val="nil"/>
              <w:bottom w:val="nil"/>
            </w:tcBorders>
            <w:shd w:val="clear" w:color="auto" w:fill="FFFFFF" w:themeFill="background1"/>
            <w:vAlign w:val="center"/>
          </w:tcPr>
          <w:p w14:paraId="5E0FECE4" w14:textId="601E1E01" w:rsidR="00E32C25" w:rsidRPr="00872FD9" w:rsidRDefault="00E32C25" w:rsidP="00E32C25">
            <w:pPr>
              <w:pStyle w:val="ColorfulList-Accent11"/>
              <w:tabs>
                <w:tab w:val="left" w:pos="0"/>
                <w:tab w:val="left" w:pos="284"/>
              </w:tabs>
              <w:ind w:left="0" w:right="-90"/>
              <w:jc w:val="right"/>
              <w:rPr>
                <w:rFonts w:ascii="Arial" w:hAnsi="Arial" w:cs="Arial"/>
                <w:color w:val="000000" w:themeColor="text1"/>
                <w:sz w:val="18"/>
                <w:szCs w:val="18"/>
              </w:rPr>
            </w:pPr>
            <w:r w:rsidRPr="00872FD9">
              <w:rPr>
                <w:rFonts w:ascii="Arial" w:hAnsi="Arial" w:cs="Arial"/>
                <w:color w:val="000000"/>
                <w:sz w:val="18"/>
                <w:szCs w:val="18"/>
              </w:rPr>
              <w:t>350</w:t>
            </w:r>
            <w:r w:rsidR="001E06AD" w:rsidRPr="00872FD9">
              <w:rPr>
                <w:rFonts w:ascii="Arial" w:hAnsi="Arial" w:cs="Arial"/>
                <w:color w:val="000000"/>
                <w:sz w:val="18"/>
                <w:szCs w:val="18"/>
              </w:rPr>
              <w:t>,</w:t>
            </w:r>
            <w:r w:rsidRPr="00872FD9">
              <w:rPr>
                <w:rFonts w:ascii="Arial" w:hAnsi="Arial" w:cs="Arial"/>
                <w:color w:val="000000"/>
                <w:sz w:val="18"/>
                <w:szCs w:val="18"/>
              </w:rPr>
              <w:t>0</w:t>
            </w:r>
          </w:p>
        </w:tc>
        <w:tc>
          <w:tcPr>
            <w:tcW w:w="2126" w:type="dxa"/>
            <w:tcBorders>
              <w:top w:val="nil"/>
              <w:bottom w:val="nil"/>
            </w:tcBorders>
            <w:shd w:val="clear" w:color="auto" w:fill="FFFFFF" w:themeFill="background1"/>
            <w:vAlign w:val="center"/>
          </w:tcPr>
          <w:p w14:paraId="23FFCE4E" w14:textId="75762995" w:rsidR="00E32C25" w:rsidRPr="00872FD9" w:rsidRDefault="00E32C25" w:rsidP="00E32C25">
            <w:pPr>
              <w:pStyle w:val="ColorfulList-Accent11"/>
              <w:tabs>
                <w:tab w:val="left" w:pos="0"/>
                <w:tab w:val="left" w:pos="284"/>
              </w:tabs>
              <w:ind w:left="0" w:right="-90"/>
              <w:jc w:val="right"/>
              <w:rPr>
                <w:rFonts w:ascii="Arial" w:hAnsi="Arial" w:cs="Arial"/>
                <w:b/>
                <w:color w:val="000000" w:themeColor="text1"/>
                <w:sz w:val="18"/>
                <w:szCs w:val="18"/>
              </w:rPr>
            </w:pPr>
            <w:r w:rsidRPr="00872FD9">
              <w:rPr>
                <w:rFonts w:ascii="Arial" w:hAnsi="Arial" w:cs="Arial"/>
                <w:sz w:val="18"/>
                <w:szCs w:val="18"/>
              </w:rPr>
              <w:t>848</w:t>
            </w:r>
            <w:r w:rsidR="001E06AD" w:rsidRPr="00872FD9">
              <w:rPr>
                <w:rFonts w:ascii="Arial" w:hAnsi="Arial" w:cs="Arial"/>
                <w:sz w:val="18"/>
                <w:szCs w:val="18"/>
              </w:rPr>
              <w:t>,</w:t>
            </w:r>
            <w:r w:rsidRPr="00872FD9">
              <w:rPr>
                <w:rFonts w:ascii="Arial" w:hAnsi="Arial" w:cs="Arial"/>
                <w:sz w:val="18"/>
                <w:szCs w:val="18"/>
              </w:rPr>
              <w:t>5</w:t>
            </w:r>
          </w:p>
        </w:tc>
      </w:tr>
      <w:tr w:rsidR="00E32C25" w:rsidRPr="00872FD9" w14:paraId="5A8C7849" w14:textId="77777777" w:rsidTr="0009084A">
        <w:trPr>
          <w:trHeight w:val="256"/>
        </w:trPr>
        <w:tc>
          <w:tcPr>
            <w:tcW w:w="6379" w:type="dxa"/>
            <w:tcBorders>
              <w:top w:val="nil"/>
              <w:bottom w:val="nil"/>
            </w:tcBorders>
            <w:shd w:val="clear" w:color="auto" w:fill="FFFFFF" w:themeFill="background1"/>
          </w:tcPr>
          <w:p w14:paraId="543F56AA" w14:textId="03E41EE5" w:rsidR="00E32C25" w:rsidRPr="00872FD9" w:rsidRDefault="00E32C25" w:rsidP="00E32C25">
            <w:pPr>
              <w:pStyle w:val="ColorfulList-Accent11"/>
              <w:tabs>
                <w:tab w:val="left" w:pos="0"/>
                <w:tab w:val="left" w:pos="284"/>
              </w:tabs>
              <w:ind w:left="0" w:right="-90"/>
              <w:rPr>
                <w:rFonts w:ascii="Arial" w:hAnsi="Arial" w:cs="Arial"/>
                <w:color w:val="000000" w:themeColor="text1"/>
                <w:sz w:val="18"/>
                <w:szCs w:val="18"/>
                <w:lang w:val="el-GR"/>
              </w:rPr>
            </w:pPr>
            <w:r w:rsidRPr="00872FD9">
              <w:rPr>
                <w:rFonts w:ascii="Arial" w:hAnsi="Arial" w:cs="Arial"/>
                <w:sz w:val="18"/>
                <w:szCs w:val="18"/>
                <w:lang w:val="el-GR"/>
              </w:rPr>
              <w:t>Πρόβλεψη αποζημίωσης προσωπικού λόγω εξόδου από την υπηρεσία</w:t>
            </w:r>
          </w:p>
        </w:tc>
        <w:tc>
          <w:tcPr>
            <w:tcW w:w="1985" w:type="dxa"/>
            <w:tcBorders>
              <w:top w:val="nil"/>
              <w:bottom w:val="nil"/>
            </w:tcBorders>
            <w:shd w:val="clear" w:color="auto" w:fill="FFFFFF" w:themeFill="background1"/>
            <w:vAlign w:val="center"/>
          </w:tcPr>
          <w:p w14:paraId="01E39BD9" w14:textId="40221E44" w:rsidR="00E32C25" w:rsidRPr="00872FD9" w:rsidRDefault="00E32C25" w:rsidP="00E32C25">
            <w:pPr>
              <w:pStyle w:val="ColorfulList-Accent11"/>
              <w:tabs>
                <w:tab w:val="left" w:pos="0"/>
                <w:tab w:val="left" w:pos="284"/>
              </w:tabs>
              <w:ind w:left="0" w:right="-90"/>
              <w:jc w:val="right"/>
              <w:rPr>
                <w:rFonts w:ascii="Arial" w:hAnsi="Arial" w:cs="Arial"/>
                <w:color w:val="000000" w:themeColor="text1"/>
                <w:sz w:val="18"/>
                <w:szCs w:val="18"/>
              </w:rPr>
            </w:pPr>
            <w:r w:rsidRPr="00872FD9">
              <w:rPr>
                <w:rFonts w:ascii="Arial" w:hAnsi="Arial" w:cs="Arial"/>
                <w:color w:val="000000"/>
                <w:sz w:val="18"/>
                <w:szCs w:val="18"/>
              </w:rPr>
              <w:t>100</w:t>
            </w:r>
            <w:r w:rsidR="001E06AD" w:rsidRPr="00872FD9">
              <w:rPr>
                <w:rFonts w:ascii="Arial" w:hAnsi="Arial" w:cs="Arial"/>
                <w:color w:val="000000"/>
                <w:sz w:val="18"/>
                <w:szCs w:val="18"/>
              </w:rPr>
              <w:t>,</w:t>
            </w:r>
            <w:r w:rsidRPr="00872FD9">
              <w:rPr>
                <w:rFonts w:ascii="Arial" w:hAnsi="Arial" w:cs="Arial"/>
                <w:color w:val="000000"/>
                <w:sz w:val="18"/>
                <w:szCs w:val="18"/>
              </w:rPr>
              <w:t>1</w:t>
            </w:r>
          </w:p>
        </w:tc>
        <w:tc>
          <w:tcPr>
            <w:tcW w:w="2126" w:type="dxa"/>
            <w:tcBorders>
              <w:top w:val="nil"/>
              <w:bottom w:val="nil"/>
            </w:tcBorders>
            <w:shd w:val="clear" w:color="auto" w:fill="FFFFFF" w:themeFill="background1"/>
            <w:vAlign w:val="center"/>
          </w:tcPr>
          <w:p w14:paraId="13DE8477" w14:textId="4CA3A261" w:rsidR="00E32C25" w:rsidRPr="00872FD9" w:rsidRDefault="00E32C25" w:rsidP="00E32C25">
            <w:pPr>
              <w:pStyle w:val="ColorfulList-Accent11"/>
              <w:tabs>
                <w:tab w:val="left" w:pos="0"/>
                <w:tab w:val="left" w:pos="284"/>
              </w:tabs>
              <w:ind w:left="0" w:right="-90"/>
              <w:jc w:val="right"/>
              <w:rPr>
                <w:rFonts w:ascii="Arial" w:hAnsi="Arial" w:cs="Arial"/>
                <w:b/>
                <w:color w:val="000000" w:themeColor="text1"/>
                <w:sz w:val="18"/>
                <w:szCs w:val="18"/>
              </w:rPr>
            </w:pPr>
            <w:r w:rsidRPr="00872FD9">
              <w:rPr>
                <w:rFonts w:ascii="Arial" w:hAnsi="Arial" w:cs="Arial"/>
                <w:sz w:val="18"/>
                <w:szCs w:val="18"/>
              </w:rPr>
              <w:t>109</w:t>
            </w:r>
            <w:r w:rsidR="001E06AD" w:rsidRPr="00872FD9">
              <w:rPr>
                <w:rFonts w:ascii="Arial" w:hAnsi="Arial" w:cs="Arial"/>
                <w:sz w:val="18"/>
                <w:szCs w:val="18"/>
              </w:rPr>
              <w:t>,</w:t>
            </w:r>
            <w:r w:rsidRPr="00872FD9">
              <w:rPr>
                <w:rFonts w:ascii="Arial" w:hAnsi="Arial" w:cs="Arial"/>
                <w:sz w:val="18"/>
                <w:szCs w:val="18"/>
              </w:rPr>
              <w:t>6</w:t>
            </w:r>
          </w:p>
        </w:tc>
      </w:tr>
      <w:tr w:rsidR="00E32C25" w:rsidRPr="00872FD9" w14:paraId="69C57CF2" w14:textId="77777777" w:rsidTr="0009084A">
        <w:trPr>
          <w:trHeight w:val="256"/>
        </w:trPr>
        <w:tc>
          <w:tcPr>
            <w:tcW w:w="6379" w:type="dxa"/>
            <w:tcBorders>
              <w:top w:val="nil"/>
              <w:bottom w:val="nil"/>
            </w:tcBorders>
            <w:shd w:val="clear" w:color="auto" w:fill="FFFFFF" w:themeFill="background1"/>
          </w:tcPr>
          <w:p w14:paraId="02B53582" w14:textId="6181E8A4" w:rsidR="00E32C25" w:rsidRPr="00872FD9" w:rsidRDefault="00E32C25" w:rsidP="00E32C25">
            <w:pPr>
              <w:pStyle w:val="ColorfulList-Accent11"/>
              <w:tabs>
                <w:tab w:val="left" w:pos="0"/>
                <w:tab w:val="left" w:pos="284"/>
              </w:tabs>
              <w:ind w:left="0" w:right="-90"/>
              <w:rPr>
                <w:rFonts w:ascii="Arial" w:hAnsi="Arial" w:cs="Arial"/>
                <w:color w:val="000000" w:themeColor="text1"/>
                <w:sz w:val="18"/>
                <w:szCs w:val="18"/>
              </w:rPr>
            </w:pPr>
            <w:proofErr w:type="spellStart"/>
            <w:r w:rsidRPr="00872FD9">
              <w:rPr>
                <w:rFonts w:ascii="Arial" w:hAnsi="Arial" w:cs="Arial"/>
                <w:sz w:val="18"/>
                <w:szCs w:val="18"/>
              </w:rPr>
              <w:t>Πρό</w:t>
            </w:r>
            <w:proofErr w:type="spellEnd"/>
            <w:r w:rsidRPr="00872FD9">
              <w:rPr>
                <w:rFonts w:ascii="Arial" w:hAnsi="Arial" w:cs="Arial"/>
                <w:sz w:val="18"/>
                <w:szCs w:val="18"/>
              </w:rPr>
              <w:t xml:space="preserve">βλεψη </w:t>
            </w:r>
            <w:proofErr w:type="spellStart"/>
            <w:r w:rsidRPr="00872FD9">
              <w:rPr>
                <w:rFonts w:ascii="Arial" w:hAnsi="Arial" w:cs="Arial"/>
                <w:sz w:val="18"/>
                <w:szCs w:val="18"/>
              </w:rPr>
              <w:t>γι</w:t>
            </w:r>
            <w:proofErr w:type="spellEnd"/>
            <w:r w:rsidRPr="00872FD9">
              <w:rPr>
                <w:rFonts w:ascii="Arial" w:hAnsi="Arial" w:cs="Arial"/>
                <w:sz w:val="18"/>
                <w:szCs w:val="18"/>
              </w:rPr>
              <w:t xml:space="preserve">α </w:t>
            </w:r>
            <w:proofErr w:type="spellStart"/>
            <w:r w:rsidRPr="00872FD9">
              <w:rPr>
                <w:rFonts w:ascii="Arial" w:hAnsi="Arial" w:cs="Arial"/>
                <w:sz w:val="18"/>
                <w:szCs w:val="18"/>
              </w:rPr>
              <w:t>λογ</w:t>
            </w:r>
            <w:proofErr w:type="spellEnd"/>
            <w:r w:rsidRPr="00872FD9">
              <w:rPr>
                <w:rFonts w:ascii="Arial" w:hAnsi="Arial" w:cs="Arial"/>
                <w:sz w:val="18"/>
                <w:szCs w:val="18"/>
              </w:rPr>
              <w:t xml:space="preserve">αριασμό </w:t>
            </w:r>
            <w:proofErr w:type="spellStart"/>
            <w:r w:rsidRPr="00872FD9">
              <w:rPr>
                <w:rFonts w:ascii="Arial" w:hAnsi="Arial" w:cs="Arial"/>
                <w:sz w:val="18"/>
                <w:szCs w:val="18"/>
              </w:rPr>
              <w:t>νεότητ</w:t>
            </w:r>
            <w:proofErr w:type="spellEnd"/>
            <w:r w:rsidRPr="00872FD9">
              <w:rPr>
                <w:rFonts w:ascii="Arial" w:hAnsi="Arial" w:cs="Arial"/>
                <w:sz w:val="18"/>
                <w:szCs w:val="18"/>
              </w:rPr>
              <w:t>ας</w:t>
            </w:r>
          </w:p>
        </w:tc>
        <w:tc>
          <w:tcPr>
            <w:tcW w:w="1985" w:type="dxa"/>
            <w:tcBorders>
              <w:top w:val="nil"/>
              <w:bottom w:val="nil"/>
            </w:tcBorders>
            <w:shd w:val="clear" w:color="auto" w:fill="FFFFFF" w:themeFill="background1"/>
            <w:vAlign w:val="center"/>
          </w:tcPr>
          <w:p w14:paraId="537728BC" w14:textId="60F95535" w:rsidR="00E32C25" w:rsidRPr="00872FD9" w:rsidRDefault="00E32C25" w:rsidP="00E32C25">
            <w:pPr>
              <w:pStyle w:val="ColorfulList-Accent11"/>
              <w:tabs>
                <w:tab w:val="left" w:pos="0"/>
                <w:tab w:val="left" w:pos="284"/>
              </w:tabs>
              <w:ind w:left="0" w:right="-90"/>
              <w:jc w:val="right"/>
              <w:rPr>
                <w:rFonts w:ascii="Arial" w:hAnsi="Arial" w:cs="Arial"/>
                <w:color w:val="000000" w:themeColor="text1"/>
                <w:sz w:val="18"/>
                <w:szCs w:val="18"/>
              </w:rPr>
            </w:pPr>
            <w:r w:rsidRPr="00872FD9">
              <w:rPr>
                <w:rFonts w:ascii="Arial" w:hAnsi="Arial" w:cs="Arial"/>
                <w:color w:val="000000"/>
                <w:sz w:val="18"/>
                <w:szCs w:val="18"/>
              </w:rPr>
              <w:t>64</w:t>
            </w:r>
            <w:r w:rsidR="001E06AD" w:rsidRPr="00872FD9">
              <w:rPr>
                <w:rFonts w:ascii="Arial" w:hAnsi="Arial" w:cs="Arial"/>
                <w:color w:val="000000"/>
                <w:sz w:val="18"/>
                <w:szCs w:val="18"/>
              </w:rPr>
              <w:t>,</w:t>
            </w:r>
            <w:r w:rsidRPr="00872FD9">
              <w:rPr>
                <w:rFonts w:ascii="Arial" w:hAnsi="Arial" w:cs="Arial"/>
                <w:color w:val="000000"/>
                <w:sz w:val="18"/>
                <w:szCs w:val="18"/>
              </w:rPr>
              <w:t>7</w:t>
            </w:r>
          </w:p>
        </w:tc>
        <w:tc>
          <w:tcPr>
            <w:tcW w:w="2126" w:type="dxa"/>
            <w:tcBorders>
              <w:top w:val="nil"/>
              <w:bottom w:val="nil"/>
            </w:tcBorders>
            <w:shd w:val="clear" w:color="auto" w:fill="FFFFFF" w:themeFill="background1"/>
            <w:vAlign w:val="center"/>
          </w:tcPr>
          <w:p w14:paraId="1D62939C" w14:textId="2D080694" w:rsidR="00E32C25" w:rsidRPr="00872FD9" w:rsidRDefault="00E32C25" w:rsidP="00E32C25">
            <w:pPr>
              <w:pStyle w:val="ColorfulList-Accent11"/>
              <w:tabs>
                <w:tab w:val="left" w:pos="0"/>
                <w:tab w:val="left" w:pos="284"/>
              </w:tabs>
              <w:ind w:left="0" w:right="-90"/>
              <w:jc w:val="right"/>
              <w:rPr>
                <w:rFonts w:ascii="Arial" w:hAnsi="Arial" w:cs="Arial"/>
                <w:b/>
                <w:color w:val="000000" w:themeColor="text1"/>
                <w:sz w:val="18"/>
                <w:szCs w:val="18"/>
              </w:rPr>
            </w:pPr>
            <w:r w:rsidRPr="00872FD9">
              <w:rPr>
                <w:rFonts w:ascii="Arial" w:hAnsi="Arial" w:cs="Arial"/>
                <w:sz w:val="18"/>
                <w:szCs w:val="18"/>
              </w:rPr>
              <w:t>69</w:t>
            </w:r>
            <w:r w:rsidR="001E06AD" w:rsidRPr="00872FD9">
              <w:rPr>
                <w:rFonts w:ascii="Arial" w:hAnsi="Arial" w:cs="Arial"/>
                <w:sz w:val="18"/>
                <w:szCs w:val="18"/>
              </w:rPr>
              <w:t>,</w:t>
            </w:r>
            <w:r w:rsidRPr="00872FD9">
              <w:rPr>
                <w:rFonts w:ascii="Arial" w:hAnsi="Arial" w:cs="Arial"/>
                <w:sz w:val="18"/>
                <w:szCs w:val="18"/>
              </w:rPr>
              <w:t>0</w:t>
            </w:r>
          </w:p>
        </w:tc>
      </w:tr>
      <w:tr w:rsidR="00E32C25" w:rsidRPr="00872FD9" w14:paraId="15EE5394" w14:textId="77777777" w:rsidTr="0009084A">
        <w:trPr>
          <w:trHeight w:val="256"/>
        </w:trPr>
        <w:tc>
          <w:tcPr>
            <w:tcW w:w="6379" w:type="dxa"/>
            <w:tcBorders>
              <w:top w:val="nil"/>
              <w:bottom w:val="nil"/>
            </w:tcBorders>
            <w:shd w:val="clear" w:color="auto" w:fill="FFFFFF" w:themeFill="background1"/>
          </w:tcPr>
          <w:p w14:paraId="3F656A6E" w14:textId="4FC6D749" w:rsidR="00E32C25" w:rsidRPr="00872FD9" w:rsidRDefault="00E32C25" w:rsidP="00E32C25">
            <w:pPr>
              <w:pStyle w:val="ColorfulList-Accent11"/>
              <w:tabs>
                <w:tab w:val="left" w:pos="0"/>
                <w:tab w:val="left" w:pos="284"/>
              </w:tabs>
              <w:ind w:left="0" w:right="-90"/>
              <w:rPr>
                <w:rFonts w:ascii="Arial" w:hAnsi="Arial" w:cs="Arial"/>
                <w:color w:val="000000" w:themeColor="text1"/>
                <w:sz w:val="18"/>
                <w:szCs w:val="18"/>
              </w:rPr>
            </w:pPr>
            <w:proofErr w:type="spellStart"/>
            <w:r w:rsidRPr="00872FD9">
              <w:rPr>
                <w:rFonts w:ascii="Arial" w:hAnsi="Arial" w:cs="Arial"/>
                <w:sz w:val="18"/>
                <w:szCs w:val="18"/>
              </w:rPr>
              <w:t>Συμ</w:t>
            </w:r>
            <w:proofErr w:type="spellEnd"/>
            <w:r w:rsidRPr="00872FD9">
              <w:rPr>
                <w:rFonts w:ascii="Arial" w:hAnsi="Arial" w:cs="Arial"/>
                <w:sz w:val="18"/>
                <w:szCs w:val="18"/>
              </w:rPr>
              <w:t>βατικές υπ</w:t>
            </w:r>
            <w:proofErr w:type="spellStart"/>
            <w:r w:rsidRPr="00872FD9">
              <w:rPr>
                <w:rFonts w:ascii="Arial" w:hAnsi="Arial" w:cs="Arial"/>
                <w:sz w:val="18"/>
                <w:szCs w:val="18"/>
              </w:rPr>
              <w:t>οχρεώσεις</w:t>
            </w:r>
            <w:proofErr w:type="spellEnd"/>
          </w:p>
        </w:tc>
        <w:tc>
          <w:tcPr>
            <w:tcW w:w="1985" w:type="dxa"/>
            <w:tcBorders>
              <w:top w:val="nil"/>
              <w:bottom w:val="nil"/>
            </w:tcBorders>
            <w:shd w:val="clear" w:color="auto" w:fill="FFFFFF" w:themeFill="background1"/>
            <w:vAlign w:val="center"/>
          </w:tcPr>
          <w:p w14:paraId="23C13916" w14:textId="691E69F2" w:rsidR="00E32C25" w:rsidRPr="00872FD9" w:rsidRDefault="00E32C25" w:rsidP="00E32C25">
            <w:pPr>
              <w:pStyle w:val="ColorfulList-Accent11"/>
              <w:tabs>
                <w:tab w:val="left" w:pos="0"/>
                <w:tab w:val="left" w:pos="284"/>
              </w:tabs>
              <w:ind w:left="0" w:right="-90"/>
              <w:jc w:val="right"/>
              <w:rPr>
                <w:rFonts w:ascii="Arial" w:hAnsi="Arial" w:cs="Arial"/>
                <w:color w:val="000000" w:themeColor="text1"/>
                <w:sz w:val="18"/>
                <w:szCs w:val="18"/>
              </w:rPr>
            </w:pPr>
            <w:r w:rsidRPr="00872FD9">
              <w:rPr>
                <w:rFonts w:ascii="Arial" w:hAnsi="Arial" w:cs="Arial"/>
                <w:color w:val="000000"/>
                <w:sz w:val="18"/>
                <w:szCs w:val="18"/>
              </w:rPr>
              <w:t>76</w:t>
            </w:r>
            <w:r w:rsidR="001E06AD" w:rsidRPr="00872FD9">
              <w:rPr>
                <w:rFonts w:ascii="Arial" w:hAnsi="Arial" w:cs="Arial"/>
                <w:color w:val="000000"/>
                <w:sz w:val="18"/>
                <w:szCs w:val="18"/>
              </w:rPr>
              <w:t>,</w:t>
            </w:r>
            <w:r w:rsidRPr="00872FD9">
              <w:rPr>
                <w:rFonts w:ascii="Arial" w:hAnsi="Arial" w:cs="Arial"/>
                <w:color w:val="000000"/>
                <w:sz w:val="18"/>
                <w:szCs w:val="18"/>
              </w:rPr>
              <w:t>7</w:t>
            </w:r>
          </w:p>
        </w:tc>
        <w:tc>
          <w:tcPr>
            <w:tcW w:w="2126" w:type="dxa"/>
            <w:tcBorders>
              <w:top w:val="nil"/>
              <w:bottom w:val="nil"/>
            </w:tcBorders>
            <w:shd w:val="clear" w:color="auto" w:fill="FFFFFF" w:themeFill="background1"/>
            <w:vAlign w:val="center"/>
          </w:tcPr>
          <w:p w14:paraId="46B7D835" w14:textId="1FBF3236" w:rsidR="00E32C25" w:rsidRPr="00872FD9" w:rsidRDefault="00E32C25" w:rsidP="00E32C25">
            <w:pPr>
              <w:pStyle w:val="ColorfulList-Accent11"/>
              <w:tabs>
                <w:tab w:val="left" w:pos="0"/>
                <w:tab w:val="left" w:pos="284"/>
              </w:tabs>
              <w:ind w:left="0" w:right="-90"/>
              <w:jc w:val="right"/>
              <w:rPr>
                <w:rFonts w:ascii="Arial" w:hAnsi="Arial" w:cs="Arial"/>
                <w:b/>
                <w:color w:val="000000" w:themeColor="text1"/>
                <w:sz w:val="18"/>
                <w:szCs w:val="18"/>
              </w:rPr>
            </w:pPr>
            <w:r w:rsidRPr="00872FD9">
              <w:rPr>
                <w:rFonts w:ascii="Arial" w:hAnsi="Arial" w:cs="Arial"/>
                <w:sz w:val="18"/>
                <w:szCs w:val="18"/>
              </w:rPr>
              <w:t>78</w:t>
            </w:r>
            <w:r w:rsidR="001E06AD" w:rsidRPr="00872FD9">
              <w:rPr>
                <w:rFonts w:ascii="Arial" w:hAnsi="Arial" w:cs="Arial"/>
                <w:sz w:val="18"/>
                <w:szCs w:val="18"/>
              </w:rPr>
              <w:t>,</w:t>
            </w:r>
            <w:r w:rsidRPr="00872FD9">
              <w:rPr>
                <w:rFonts w:ascii="Arial" w:hAnsi="Arial" w:cs="Arial"/>
                <w:sz w:val="18"/>
                <w:szCs w:val="18"/>
              </w:rPr>
              <w:t>9</w:t>
            </w:r>
          </w:p>
        </w:tc>
      </w:tr>
      <w:tr w:rsidR="00E32C25" w:rsidRPr="00872FD9" w14:paraId="4613B257" w14:textId="77777777" w:rsidTr="0009084A">
        <w:trPr>
          <w:trHeight w:val="256"/>
        </w:trPr>
        <w:tc>
          <w:tcPr>
            <w:tcW w:w="6379" w:type="dxa"/>
            <w:tcBorders>
              <w:top w:val="nil"/>
              <w:bottom w:val="nil"/>
            </w:tcBorders>
            <w:shd w:val="clear" w:color="auto" w:fill="FFFFFF" w:themeFill="background1"/>
          </w:tcPr>
          <w:p w14:paraId="5ED42121" w14:textId="1A3DE117" w:rsidR="00E32C25" w:rsidRPr="00872FD9" w:rsidRDefault="00E32C25" w:rsidP="00E32C25">
            <w:pPr>
              <w:pStyle w:val="ColorfulList-Accent11"/>
              <w:tabs>
                <w:tab w:val="left" w:pos="0"/>
                <w:tab w:val="left" w:pos="284"/>
              </w:tabs>
              <w:ind w:left="0" w:right="-90"/>
              <w:rPr>
                <w:rFonts w:ascii="Arial" w:hAnsi="Arial" w:cs="Arial"/>
                <w:color w:val="000000" w:themeColor="text1"/>
                <w:sz w:val="18"/>
                <w:szCs w:val="18"/>
              </w:rPr>
            </w:pPr>
            <w:r w:rsidRPr="00872FD9">
              <w:rPr>
                <w:rFonts w:ascii="Arial" w:hAnsi="Arial" w:cs="Arial"/>
                <w:sz w:val="18"/>
                <w:szCs w:val="18"/>
              </w:rPr>
              <w:t>Υπ</w:t>
            </w:r>
            <w:proofErr w:type="spellStart"/>
            <w:r w:rsidRPr="00872FD9">
              <w:rPr>
                <w:rFonts w:ascii="Arial" w:hAnsi="Arial" w:cs="Arial"/>
                <w:sz w:val="18"/>
                <w:szCs w:val="18"/>
              </w:rPr>
              <w:t>οχρεώσεις</w:t>
            </w:r>
            <w:proofErr w:type="spellEnd"/>
            <w:r w:rsidRPr="00872FD9">
              <w:rPr>
                <w:rFonts w:ascii="Arial" w:hAnsi="Arial" w:cs="Arial"/>
                <w:sz w:val="18"/>
                <w:szCs w:val="18"/>
              </w:rPr>
              <w:t xml:space="preserve"> από </w:t>
            </w:r>
            <w:proofErr w:type="spellStart"/>
            <w:r w:rsidRPr="00872FD9">
              <w:rPr>
                <w:rFonts w:ascii="Arial" w:hAnsi="Arial" w:cs="Arial"/>
                <w:sz w:val="18"/>
                <w:szCs w:val="18"/>
              </w:rPr>
              <w:t>μισθώσεις</w:t>
            </w:r>
            <w:proofErr w:type="spellEnd"/>
          </w:p>
        </w:tc>
        <w:tc>
          <w:tcPr>
            <w:tcW w:w="1985" w:type="dxa"/>
            <w:tcBorders>
              <w:top w:val="nil"/>
              <w:bottom w:val="nil"/>
            </w:tcBorders>
            <w:shd w:val="clear" w:color="auto" w:fill="FFFFFF" w:themeFill="background1"/>
            <w:vAlign w:val="center"/>
          </w:tcPr>
          <w:p w14:paraId="40DAF2AA" w14:textId="6BE7DE75" w:rsidR="00E32C25" w:rsidRPr="00872FD9" w:rsidRDefault="00E32C25" w:rsidP="00E32C25">
            <w:pPr>
              <w:pStyle w:val="ColorfulList-Accent11"/>
              <w:tabs>
                <w:tab w:val="left" w:pos="0"/>
                <w:tab w:val="left" w:pos="284"/>
              </w:tabs>
              <w:ind w:left="0" w:right="-90"/>
              <w:jc w:val="right"/>
              <w:rPr>
                <w:rFonts w:ascii="Arial" w:hAnsi="Arial" w:cs="Arial"/>
                <w:color w:val="000000" w:themeColor="text1"/>
                <w:sz w:val="18"/>
                <w:szCs w:val="18"/>
              </w:rPr>
            </w:pPr>
            <w:r w:rsidRPr="00872FD9">
              <w:rPr>
                <w:rFonts w:ascii="Arial" w:hAnsi="Arial" w:cs="Arial"/>
                <w:color w:val="000000"/>
                <w:sz w:val="18"/>
                <w:szCs w:val="18"/>
              </w:rPr>
              <w:t>158</w:t>
            </w:r>
            <w:r w:rsidR="001E06AD" w:rsidRPr="00872FD9">
              <w:rPr>
                <w:rFonts w:ascii="Arial" w:hAnsi="Arial" w:cs="Arial"/>
                <w:color w:val="000000"/>
                <w:sz w:val="18"/>
                <w:szCs w:val="18"/>
              </w:rPr>
              <w:t>,</w:t>
            </w:r>
            <w:r w:rsidRPr="00872FD9">
              <w:rPr>
                <w:rFonts w:ascii="Arial" w:hAnsi="Arial" w:cs="Arial"/>
                <w:color w:val="000000"/>
                <w:sz w:val="18"/>
                <w:szCs w:val="18"/>
              </w:rPr>
              <w:t>5</w:t>
            </w:r>
          </w:p>
        </w:tc>
        <w:tc>
          <w:tcPr>
            <w:tcW w:w="2126" w:type="dxa"/>
            <w:tcBorders>
              <w:top w:val="nil"/>
              <w:bottom w:val="nil"/>
            </w:tcBorders>
            <w:shd w:val="clear" w:color="auto" w:fill="FFFFFF" w:themeFill="background1"/>
            <w:vAlign w:val="center"/>
          </w:tcPr>
          <w:p w14:paraId="2A9C37C1" w14:textId="030D196D" w:rsidR="00E32C25" w:rsidRPr="00872FD9" w:rsidRDefault="00E32C25" w:rsidP="00E32C25">
            <w:pPr>
              <w:pStyle w:val="ColorfulList-Accent11"/>
              <w:tabs>
                <w:tab w:val="left" w:pos="0"/>
                <w:tab w:val="left" w:pos="284"/>
              </w:tabs>
              <w:ind w:left="0" w:right="-90"/>
              <w:jc w:val="right"/>
              <w:rPr>
                <w:rFonts w:ascii="Arial" w:hAnsi="Arial" w:cs="Arial"/>
                <w:b/>
                <w:color w:val="000000" w:themeColor="text1"/>
                <w:sz w:val="18"/>
                <w:szCs w:val="18"/>
              </w:rPr>
            </w:pPr>
            <w:r w:rsidRPr="00872FD9">
              <w:rPr>
                <w:rFonts w:ascii="Arial" w:hAnsi="Arial" w:cs="Arial"/>
                <w:sz w:val="18"/>
                <w:szCs w:val="18"/>
              </w:rPr>
              <w:t>189</w:t>
            </w:r>
            <w:r w:rsidR="001E06AD" w:rsidRPr="00872FD9">
              <w:rPr>
                <w:rFonts w:ascii="Arial" w:hAnsi="Arial" w:cs="Arial"/>
                <w:sz w:val="18"/>
                <w:szCs w:val="18"/>
              </w:rPr>
              <w:t>,</w:t>
            </w:r>
            <w:r w:rsidRPr="00872FD9">
              <w:rPr>
                <w:rFonts w:ascii="Arial" w:hAnsi="Arial" w:cs="Arial"/>
                <w:sz w:val="18"/>
                <w:szCs w:val="18"/>
              </w:rPr>
              <w:t>4</w:t>
            </w:r>
          </w:p>
        </w:tc>
      </w:tr>
      <w:tr w:rsidR="00E32C25" w:rsidRPr="00872FD9" w14:paraId="3518B4B0" w14:textId="77777777" w:rsidTr="0009084A">
        <w:trPr>
          <w:trHeight w:val="256"/>
        </w:trPr>
        <w:tc>
          <w:tcPr>
            <w:tcW w:w="6379" w:type="dxa"/>
            <w:tcBorders>
              <w:top w:val="nil"/>
              <w:bottom w:val="nil"/>
            </w:tcBorders>
            <w:shd w:val="clear" w:color="auto" w:fill="FFFFFF" w:themeFill="background1"/>
          </w:tcPr>
          <w:p w14:paraId="62C51C04" w14:textId="52F0F377" w:rsidR="00E32C25" w:rsidRPr="00872FD9" w:rsidRDefault="00E32C25" w:rsidP="00E32C25">
            <w:pPr>
              <w:pStyle w:val="ColorfulList-Accent11"/>
              <w:tabs>
                <w:tab w:val="left" w:pos="0"/>
                <w:tab w:val="left" w:pos="284"/>
              </w:tabs>
              <w:ind w:left="0" w:right="-90"/>
              <w:rPr>
                <w:rFonts w:ascii="Arial" w:hAnsi="Arial" w:cs="Arial"/>
                <w:color w:val="000000" w:themeColor="text1"/>
                <w:sz w:val="18"/>
                <w:szCs w:val="18"/>
              </w:rPr>
            </w:pPr>
            <w:proofErr w:type="spellStart"/>
            <w:r w:rsidRPr="00872FD9">
              <w:rPr>
                <w:rFonts w:ascii="Arial" w:hAnsi="Arial" w:cs="Arial"/>
                <w:sz w:val="18"/>
                <w:szCs w:val="18"/>
              </w:rPr>
              <w:t>Αν</w:t>
            </w:r>
            <w:proofErr w:type="spellEnd"/>
            <w:r w:rsidRPr="00872FD9">
              <w:rPr>
                <w:rFonts w:ascii="Arial" w:hAnsi="Arial" w:cs="Arial"/>
                <w:sz w:val="18"/>
                <w:szCs w:val="18"/>
              </w:rPr>
              <w:t xml:space="preserve">αβαλλόμενες </w:t>
            </w:r>
            <w:proofErr w:type="spellStart"/>
            <w:r w:rsidRPr="00872FD9">
              <w:rPr>
                <w:rFonts w:ascii="Arial" w:hAnsi="Arial" w:cs="Arial"/>
                <w:sz w:val="18"/>
                <w:szCs w:val="18"/>
              </w:rPr>
              <w:t>φορολογικές</w:t>
            </w:r>
            <w:proofErr w:type="spellEnd"/>
            <w:r w:rsidRPr="00872FD9">
              <w:rPr>
                <w:rFonts w:ascii="Arial" w:hAnsi="Arial" w:cs="Arial"/>
                <w:sz w:val="18"/>
                <w:szCs w:val="18"/>
              </w:rPr>
              <w:t xml:space="preserve"> υπ</w:t>
            </w:r>
            <w:proofErr w:type="spellStart"/>
            <w:r w:rsidRPr="00872FD9">
              <w:rPr>
                <w:rFonts w:ascii="Arial" w:hAnsi="Arial" w:cs="Arial"/>
                <w:sz w:val="18"/>
                <w:szCs w:val="18"/>
              </w:rPr>
              <w:t>οχρεώσεις</w:t>
            </w:r>
            <w:proofErr w:type="spellEnd"/>
          </w:p>
        </w:tc>
        <w:tc>
          <w:tcPr>
            <w:tcW w:w="1985" w:type="dxa"/>
            <w:tcBorders>
              <w:top w:val="nil"/>
              <w:bottom w:val="nil"/>
            </w:tcBorders>
            <w:shd w:val="clear" w:color="auto" w:fill="FFFFFF" w:themeFill="background1"/>
            <w:vAlign w:val="center"/>
          </w:tcPr>
          <w:p w14:paraId="2B3487C6" w14:textId="799608C2" w:rsidR="00E32C25" w:rsidRPr="00872FD9" w:rsidRDefault="00E32C25" w:rsidP="00E32C25">
            <w:pPr>
              <w:pStyle w:val="ColorfulList-Accent11"/>
              <w:tabs>
                <w:tab w:val="left" w:pos="0"/>
                <w:tab w:val="left" w:pos="284"/>
              </w:tabs>
              <w:ind w:left="0" w:right="-90"/>
              <w:jc w:val="right"/>
              <w:rPr>
                <w:rFonts w:ascii="Arial" w:hAnsi="Arial" w:cs="Arial"/>
                <w:color w:val="000000" w:themeColor="text1"/>
                <w:sz w:val="18"/>
                <w:szCs w:val="18"/>
              </w:rPr>
            </w:pPr>
            <w:r w:rsidRPr="00872FD9">
              <w:rPr>
                <w:rFonts w:ascii="Arial" w:hAnsi="Arial" w:cs="Arial"/>
                <w:color w:val="000000"/>
                <w:sz w:val="18"/>
                <w:szCs w:val="18"/>
              </w:rPr>
              <w:t>0</w:t>
            </w:r>
            <w:r w:rsidR="001E06AD" w:rsidRPr="00872FD9">
              <w:rPr>
                <w:rFonts w:ascii="Arial" w:hAnsi="Arial" w:cs="Arial"/>
                <w:color w:val="000000"/>
                <w:sz w:val="18"/>
                <w:szCs w:val="18"/>
              </w:rPr>
              <w:t>,</w:t>
            </w:r>
            <w:r w:rsidRPr="00872FD9">
              <w:rPr>
                <w:rFonts w:ascii="Arial" w:hAnsi="Arial" w:cs="Arial"/>
                <w:color w:val="000000"/>
                <w:sz w:val="18"/>
                <w:szCs w:val="18"/>
              </w:rPr>
              <w:t>9</w:t>
            </w:r>
          </w:p>
        </w:tc>
        <w:tc>
          <w:tcPr>
            <w:tcW w:w="2126" w:type="dxa"/>
            <w:tcBorders>
              <w:top w:val="nil"/>
              <w:bottom w:val="nil"/>
            </w:tcBorders>
            <w:shd w:val="clear" w:color="auto" w:fill="FFFFFF" w:themeFill="background1"/>
            <w:vAlign w:val="center"/>
          </w:tcPr>
          <w:p w14:paraId="194988FB" w14:textId="68F28C6C" w:rsidR="00E32C25" w:rsidRPr="00872FD9" w:rsidRDefault="00E32C25" w:rsidP="00E32C25">
            <w:pPr>
              <w:pStyle w:val="ColorfulList-Accent11"/>
              <w:tabs>
                <w:tab w:val="left" w:pos="0"/>
                <w:tab w:val="left" w:pos="284"/>
              </w:tabs>
              <w:ind w:left="0" w:right="-90"/>
              <w:jc w:val="right"/>
              <w:rPr>
                <w:rFonts w:ascii="Arial" w:hAnsi="Arial" w:cs="Arial"/>
                <w:b/>
                <w:color w:val="000000" w:themeColor="text1"/>
                <w:sz w:val="18"/>
                <w:szCs w:val="18"/>
              </w:rPr>
            </w:pPr>
            <w:r w:rsidRPr="00872FD9">
              <w:rPr>
                <w:rFonts w:ascii="Arial" w:hAnsi="Arial" w:cs="Arial"/>
                <w:sz w:val="18"/>
                <w:szCs w:val="18"/>
              </w:rPr>
              <w:t>0</w:t>
            </w:r>
            <w:r w:rsidR="001E06AD" w:rsidRPr="00872FD9">
              <w:rPr>
                <w:rFonts w:ascii="Arial" w:hAnsi="Arial" w:cs="Arial"/>
                <w:sz w:val="18"/>
                <w:szCs w:val="18"/>
              </w:rPr>
              <w:t>,</w:t>
            </w:r>
            <w:r w:rsidRPr="00872FD9">
              <w:rPr>
                <w:rFonts w:ascii="Arial" w:hAnsi="Arial" w:cs="Arial"/>
                <w:sz w:val="18"/>
                <w:szCs w:val="18"/>
              </w:rPr>
              <w:t>6</w:t>
            </w:r>
          </w:p>
        </w:tc>
      </w:tr>
      <w:tr w:rsidR="00E32C25" w:rsidRPr="00872FD9" w14:paraId="4E22791D" w14:textId="77777777" w:rsidTr="0009084A">
        <w:trPr>
          <w:trHeight w:val="126"/>
        </w:trPr>
        <w:tc>
          <w:tcPr>
            <w:tcW w:w="6379" w:type="dxa"/>
            <w:tcBorders>
              <w:top w:val="nil"/>
              <w:bottom w:val="single" w:sz="2" w:space="0" w:color="808080" w:themeColor="background1" w:themeShade="80"/>
            </w:tcBorders>
            <w:shd w:val="clear" w:color="auto" w:fill="FFFFFF" w:themeFill="background1"/>
          </w:tcPr>
          <w:p w14:paraId="58AC9F1B" w14:textId="00B8FA58" w:rsidR="00E32C25" w:rsidRPr="00872FD9" w:rsidRDefault="00E32C25" w:rsidP="00E32C25">
            <w:pPr>
              <w:pStyle w:val="ColorfulList-Accent11"/>
              <w:tabs>
                <w:tab w:val="left" w:pos="0"/>
                <w:tab w:val="left" w:pos="284"/>
              </w:tabs>
              <w:ind w:left="0" w:right="-90"/>
              <w:rPr>
                <w:rFonts w:ascii="Arial" w:hAnsi="Arial" w:cs="Arial"/>
                <w:color w:val="000000" w:themeColor="text1"/>
                <w:sz w:val="18"/>
                <w:szCs w:val="18"/>
              </w:rPr>
            </w:pPr>
            <w:r w:rsidRPr="00872FD9">
              <w:rPr>
                <w:rFonts w:ascii="Arial" w:hAnsi="Arial" w:cs="Arial"/>
                <w:bCs/>
                <w:sz w:val="18"/>
                <w:szCs w:val="18"/>
                <w:lang w:val="el-GR"/>
              </w:rPr>
              <w:t>Λοιπές μακροπρόθεσμες υποχρεώσεις</w:t>
            </w:r>
          </w:p>
        </w:tc>
        <w:tc>
          <w:tcPr>
            <w:tcW w:w="1985" w:type="dxa"/>
            <w:tcBorders>
              <w:top w:val="nil"/>
              <w:bottom w:val="single" w:sz="2" w:space="0" w:color="808080" w:themeColor="background1" w:themeShade="80"/>
            </w:tcBorders>
            <w:shd w:val="clear" w:color="auto" w:fill="FFFFFF" w:themeFill="background1"/>
            <w:vAlign w:val="center"/>
          </w:tcPr>
          <w:p w14:paraId="0515625D" w14:textId="3580793B" w:rsidR="00E32C25" w:rsidRPr="00872FD9" w:rsidRDefault="00E32C25" w:rsidP="00E32C25">
            <w:pPr>
              <w:pStyle w:val="ColorfulList-Accent11"/>
              <w:tabs>
                <w:tab w:val="left" w:pos="0"/>
                <w:tab w:val="left" w:pos="284"/>
              </w:tabs>
              <w:ind w:left="0" w:right="-90"/>
              <w:jc w:val="right"/>
              <w:rPr>
                <w:rFonts w:ascii="Arial" w:hAnsi="Arial" w:cs="Arial"/>
                <w:color w:val="000000" w:themeColor="text1"/>
                <w:sz w:val="18"/>
                <w:szCs w:val="18"/>
                <w:lang w:val="el-GR"/>
              </w:rPr>
            </w:pPr>
            <w:r w:rsidRPr="00872FD9">
              <w:rPr>
                <w:rFonts w:ascii="Arial" w:hAnsi="Arial" w:cs="Arial"/>
                <w:color w:val="000000"/>
                <w:sz w:val="18"/>
                <w:szCs w:val="18"/>
              </w:rPr>
              <w:t>53</w:t>
            </w:r>
            <w:r w:rsidR="001E06AD" w:rsidRPr="00872FD9">
              <w:rPr>
                <w:rFonts w:ascii="Arial" w:hAnsi="Arial" w:cs="Arial"/>
                <w:color w:val="000000"/>
                <w:sz w:val="18"/>
                <w:szCs w:val="18"/>
              </w:rPr>
              <w:t>,</w:t>
            </w:r>
            <w:r w:rsidRPr="00872FD9">
              <w:rPr>
                <w:rFonts w:ascii="Arial" w:hAnsi="Arial" w:cs="Arial"/>
                <w:color w:val="000000"/>
                <w:sz w:val="18"/>
                <w:szCs w:val="18"/>
              </w:rPr>
              <w:t>3</w:t>
            </w:r>
          </w:p>
        </w:tc>
        <w:tc>
          <w:tcPr>
            <w:tcW w:w="2126" w:type="dxa"/>
            <w:tcBorders>
              <w:top w:val="nil"/>
              <w:bottom w:val="single" w:sz="2" w:space="0" w:color="808080" w:themeColor="background1" w:themeShade="80"/>
            </w:tcBorders>
            <w:shd w:val="clear" w:color="auto" w:fill="FFFFFF" w:themeFill="background1"/>
            <w:vAlign w:val="center"/>
          </w:tcPr>
          <w:p w14:paraId="206B4428" w14:textId="4BC344FD" w:rsidR="00E32C25" w:rsidRPr="00872FD9" w:rsidRDefault="00E32C25" w:rsidP="00E32C25">
            <w:pPr>
              <w:pStyle w:val="ColorfulList-Accent11"/>
              <w:tabs>
                <w:tab w:val="left" w:pos="0"/>
                <w:tab w:val="left" w:pos="284"/>
              </w:tabs>
              <w:ind w:left="0" w:right="-90"/>
              <w:jc w:val="right"/>
              <w:rPr>
                <w:rFonts w:ascii="Arial" w:hAnsi="Arial" w:cs="Arial"/>
                <w:b/>
                <w:color w:val="000000" w:themeColor="text1"/>
                <w:sz w:val="18"/>
                <w:szCs w:val="18"/>
              </w:rPr>
            </w:pPr>
            <w:r w:rsidRPr="00872FD9">
              <w:rPr>
                <w:rFonts w:ascii="Arial" w:hAnsi="Arial" w:cs="Arial"/>
                <w:sz w:val="18"/>
                <w:szCs w:val="18"/>
              </w:rPr>
              <w:t>86</w:t>
            </w:r>
            <w:r w:rsidR="001E06AD" w:rsidRPr="00872FD9">
              <w:rPr>
                <w:rFonts w:ascii="Arial" w:hAnsi="Arial" w:cs="Arial"/>
                <w:sz w:val="18"/>
                <w:szCs w:val="18"/>
              </w:rPr>
              <w:t>,</w:t>
            </w:r>
            <w:r w:rsidRPr="00872FD9">
              <w:rPr>
                <w:rFonts w:ascii="Arial" w:hAnsi="Arial" w:cs="Arial"/>
                <w:sz w:val="18"/>
                <w:szCs w:val="18"/>
              </w:rPr>
              <w:t>9</w:t>
            </w:r>
          </w:p>
        </w:tc>
      </w:tr>
      <w:tr w:rsidR="00E32C25" w:rsidRPr="00872FD9" w14:paraId="4CEAEB6D" w14:textId="77777777" w:rsidTr="00872FD9">
        <w:trPr>
          <w:trHeight w:val="185"/>
        </w:trPr>
        <w:tc>
          <w:tcPr>
            <w:tcW w:w="6379" w:type="dxa"/>
            <w:tcBorders>
              <w:top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10EFD976" w14:textId="5368BAD7" w:rsidR="00E32C25" w:rsidRPr="00872FD9" w:rsidRDefault="00E32C25" w:rsidP="00E32C25">
            <w:pPr>
              <w:pStyle w:val="ColorfulList-Accent11"/>
              <w:tabs>
                <w:tab w:val="left" w:pos="0"/>
                <w:tab w:val="left" w:pos="284"/>
              </w:tabs>
              <w:ind w:left="0" w:right="-90"/>
              <w:rPr>
                <w:rFonts w:ascii="Arial" w:hAnsi="Arial" w:cs="Arial"/>
                <w:b/>
                <w:color w:val="000000" w:themeColor="text1"/>
                <w:sz w:val="18"/>
                <w:szCs w:val="18"/>
              </w:rPr>
            </w:pPr>
            <w:r w:rsidRPr="00872FD9">
              <w:rPr>
                <w:rFonts w:ascii="Arial" w:hAnsi="Arial" w:cs="Arial"/>
                <w:b/>
                <w:bCs/>
                <w:sz w:val="18"/>
                <w:szCs w:val="18"/>
                <w:lang w:val="el-GR"/>
              </w:rPr>
              <w:t>Σύνολο μακροπρόθεσμων υποχρεώσεων</w:t>
            </w:r>
            <w:r w:rsidRPr="00872FD9">
              <w:rPr>
                <w:rFonts w:ascii="Arial" w:hAnsi="Arial" w:cs="Arial"/>
                <w:b/>
                <w:bCs/>
                <w:sz w:val="18"/>
                <w:szCs w:val="18"/>
              </w:rPr>
              <w:t xml:space="preserve"> </w:t>
            </w:r>
          </w:p>
        </w:tc>
        <w:tc>
          <w:tcPr>
            <w:tcW w:w="1985" w:type="dxa"/>
            <w:tcBorders>
              <w:top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11C79891" w14:textId="6A2D0E99" w:rsidR="00E32C25" w:rsidRPr="00872FD9" w:rsidRDefault="00E32C25" w:rsidP="00E32C25">
            <w:pPr>
              <w:pStyle w:val="ColorfulList-Accent11"/>
              <w:tabs>
                <w:tab w:val="left" w:pos="0"/>
                <w:tab w:val="left" w:pos="284"/>
              </w:tabs>
              <w:ind w:left="0" w:right="-90"/>
              <w:jc w:val="right"/>
              <w:rPr>
                <w:rFonts w:ascii="Arial" w:hAnsi="Arial" w:cs="Arial"/>
                <w:b/>
                <w:color w:val="000000" w:themeColor="text1"/>
                <w:sz w:val="18"/>
                <w:szCs w:val="18"/>
                <w:lang w:val="el-GR"/>
              </w:rPr>
            </w:pPr>
            <w:r w:rsidRPr="00872FD9">
              <w:rPr>
                <w:rFonts w:ascii="Arial" w:hAnsi="Arial" w:cs="Arial"/>
                <w:b/>
                <w:bCs/>
                <w:color w:val="000000"/>
                <w:sz w:val="18"/>
                <w:szCs w:val="18"/>
              </w:rPr>
              <w:t>804</w:t>
            </w:r>
            <w:r w:rsidR="001E06AD" w:rsidRPr="00872FD9">
              <w:rPr>
                <w:rFonts w:ascii="Arial" w:hAnsi="Arial" w:cs="Arial"/>
                <w:b/>
                <w:bCs/>
                <w:color w:val="000000"/>
                <w:sz w:val="18"/>
                <w:szCs w:val="18"/>
              </w:rPr>
              <w:t>,</w:t>
            </w:r>
            <w:r w:rsidRPr="00872FD9">
              <w:rPr>
                <w:rFonts w:ascii="Arial" w:hAnsi="Arial" w:cs="Arial"/>
                <w:b/>
                <w:bCs/>
                <w:color w:val="000000"/>
                <w:sz w:val="18"/>
                <w:szCs w:val="18"/>
              </w:rPr>
              <w:t>2</w:t>
            </w:r>
          </w:p>
        </w:tc>
        <w:tc>
          <w:tcPr>
            <w:tcW w:w="2126" w:type="dxa"/>
            <w:tcBorders>
              <w:top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3134AD59" w14:textId="5AB25A84" w:rsidR="00E32C25" w:rsidRPr="00872FD9" w:rsidRDefault="00E32C25" w:rsidP="00E32C25">
            <w:pPr>
              <w:pStyle w:val="ColorfulList-Accent11"/>
              <w:tabs>
                <w:tab w:val="left" w:pos="0"/>
                <w:tab w:val="left" w:pos="284"/>
              </w:tabs>
              <w:ind w:left="0" w:right="-90"/>
              <w:jc w:val="right"/>
              <w:rPr>
                <w:rFonts w:ascii="Arial" w:hAnsi="Arial" w:cs="Arial"/>
                <w:b/>
                <w:color w:val="000000" w:themeColor="text1"/>
                <w:sz w:val="18"/>
                <w:szCs w:val="18"/>
              </w:rPr>
            </w:pPr>
            <w:r w:rsidRPr="00872FD9">
              <w:rPr>
                <w:rFonts w:ascii="Arial" w:hAnsi="Arial" w:cs="Arial"/>
                <w:b/>
                <w:sz w:val="18"/>
                <w:szCs w:val="18"/>
              </w:rPr>
              <w:t>1</w:t>
            </w:r>
            <w:r w:rsidR="001E06AD" w:rsidRPr="00872FD9">
              <w:rPr>
                <w:rFonts w:ascii="Arial" w:hAnsi="Arial" w:cs="Arial"/>
                <w:b/>
                <w:sz w:val="18"/>
                <w:szCs w:val="18"/>
              </w:rPr>
              <w:t>.</w:t>
            </w:r>
            <w:r w:rsidRPr="00872FD9">
              <w:rPr>
                <w:rFonts w:ascii="Arial" w:hAnsi="Arial" w:cs="Arial"/>
                <w:b/>
                <w:sz w:val="18"/>
                <w:szCs w:val="18"/>
              </w:rPr>
              <w:t>3</w:t>
            </w:r>
            <w:r w:rsidRPr="00872FD9">
              <w:rPr>
                <w:rFonts w:ascii="Arial" w:hAnsi="Arial" w:cs="Arial"/>
                <w:b/>
                <w:sz w:val="18"/>
                <w:szCs w:val="18"/>
                <w:lang w:val="el-GR"/>
              </w:rPr>
              <w:t>8</w:t>
            </w:r>
            <w:r w:rsidRPr="00872FD9">
              <w:rPr>
                <w:rFonts w:ascii="Arial" w:hAnsi="Arial" w:cs="Arial"/>
                <w:b/>
                <w:sz w:val="18"/>
                <w:szCs w:val="18"/>
              </w:rPr>
              <w:t>2</w:t>
            </w:r>
            <w:r w:rsidR="001E06AD" w:rsidRPr="00872FD9">
              <w:rPr>
                <w:rFonts w:ascii="Arial" w:hAnsi="Arial" w:cs="Arial"/>
                <w:b/>
                <w:sz w:val="18"/>
                <w:szCs w:val="18"/>
              </w:rPr>
              <w:t>,</w:t>
            </w:r>
            <w:r w:rsidRPr="00872FD9">
              <w:rPr>
                <w:rFonts w:ascii="Arial" w:hAnsi="Arial" w:cs="Arial"/>
                <w:b/>
                <w:sz w:val="18"/>
                <w:szCs w:val="18"/>
              </w:rPr>
              <w:t>9</w:t>
            </w:r>
          </w:p>
        </w:tc>
      </w:tr>
      <w:tr w:rsidR="00E32C25" w:rsidRPr="00872FD9" w14:paraId="10F98235" w14:textId="77777777" w:rsidTr="0009084A">
        <w:trPr>
          <w:trHeight w:val="256"/>
        </w:trPr>
        <w:tc>
          <w:tcPr>
            <w:tcW w:w="6379" w:type="dxa"/>
            <w:tcBorders>
              <w:top w:val="single" w:sz="2" w:space="0" w:color="808080" w:themeColor="background1" w:themeShade="80"/>
              <w:bottom w:val="nil"/>
            </w:tcBorders>
            <w:shd w:val="clear" w:color="auto" w:fill="FFFFFF" w:themeFill="background1"/>
          </w:tcPr>
          <w:p w14:paraId="633DF19C" w14:textId="73D49EC6" w:rsidR="00E32C25" w:rsidRPr="00872FD9" w:rsidRDefault="00E32C25" w:rsidP="00E32C25">
            <w:pPr>
              <w:pStyle w:val="ColorfulList-Accent11"/>
              <w:tabs>
                <w:tab w:val="left" w:pos="0"/>
                <w:tab w:val="left" w:pos="284"/>
              </w:tabs>
              <w:ind w:left="0" w:right="-90"/>
              <w:rPr>
                <w:rFonts w:ascii="Arial" w:hAnsi="Arial" w:cs="Arial"/>
                <w:b/>
                <w:color w:val="000000" w:themeColor="text1"/>
                <w:sz w:val="18"/>
                <w:szCs w:val="18"/>
              </w:rPr>
            </w:pPr>
            <w:proofErr w:type="spellStart"/>
            <w:r w:rsidRPr="00872FD9">
              <w:rPr>
                <w:rFonts w:ascii="Arial" w:hAnsi="Arial" w:cs="Arial"/>
                <w:b/>
                <w:sz w:val="18"/>
                <w:szCs w:val="18"/>
              </w:rPr>
              <w:t>Βρ</w:t>
            </w:r>
            <w:proofErr w:type="spellEnd"/>
            <w:r w:rsidRPr="00872FD9">
              <w:rPr>
                <w:rFonts w:ascii="Arial" w:hAnsi="Arial" w:cs="Arial"/>
                <w:b/>
                <w:sz w:val="18"/>
                <w:szCs w:val="18"/>
              </w:rPr>
              <w:t>αχυπρόθεσμες υπ</w:t>
            </w:r>
            <w:proofErr w:type="spellStart"/>
            <w:r w:rsidRPr="00872FD9">
              <w:rPr>
                <w:rFonts w:ascii="Arial" w:hAnsi="Arial" w:cs="Arial"/>
                <w:b/>
                <w:sz w:val="18"/>
                <w:szCs w:val="18"/>
              </w:rPr>
              <w:t>οχρεώσεις</w:t>
            </w:r>
            <w:proofErr w:type="spellEnd"/>
          </w:p>
        </w:tc>
        <w:tc>
          <w:tcPr>
            <w:tcW w:w="1985" w:type="dxa"/>
            <w:tcBorders>
              <w:top w:val="single" w:sz="2" w:space="0" w:color="808080" w:themeColor="background1" w:themeShade="80"/>
              <w:bottom w:val="nil"/>
            </w:tcBorders>
            <w:shd w:val="clear" w:color="auto" w:fill="FFFFFF" w:themeFill="background1"/>
            <w:vAlign w:val="center"/>
          </w:tcPr>
          <w:p w14:paraId="70C605D3" w14:textId="77777777" w:rsidR="00E32C25" w:rsidRPr="00872FD9" w:rsidRDefault="00E32C25" w:rsidP="00E32C25">
            <w:pPr>
              <w:pStyle w:val="ColorfulList-Accent11"/>
              <w:tabs>
                <w:tab w:val="left" w:pos="0"/>
                <w:tab w:val="left" w:pos="284"/>
              </w:tabs>
              <w:ind w:left="0" w:right="-90"/>
              <w:jc w:val="right"/>
              <w:rPr>
                <w:rFonts w:ascii="Arial" w:hAnsi="Arial" w:cs="Arial"/>
                <w:b/>
                <w:color w:val="000000" w:themeColor="text1"/>
                <w:sz w:val="18"/>
                <w:szCs w:val="18"/>
              </w:rPr>
            </w:pPr>
          </w:p>
        </w:tc>
        <w:tc>
          <w:tcPr>
            <w:tcW w:w="2126" w:type="dxa"/>
            <w:tcBorders>
              <w:top w:val="single" w:sz="2" w:space="0" w:color="808080" w:themeColor="background1" w:themeShade="80"/>
              <w:bottom w:val="nil"/>
            </w:tcBorders>
            <w:shd w:val="clear" w:color="auto" w:fill="FFFFFF" w:themeFill="background1"/>
            <w:vAlign w:val="center"/>
          </w:tcPr>
          <w:p w14:paraId="77DA68F5" w14:textId="77777777" w:rsidR="00E32C25" w:rsidRPr="00872FD9" w:rsidRDefault="00E32C25" w:rsidP="00E32C25">
            <w:pPr>
              <w:pStyle w:val="ColorfulList-Accent11"/>
              <w:tabs>
                <w:tab w:val="left" w:pos="0"/>
                <w:tab w:val="left" w:pos="284"/>
              </w:tabs>
              <w:ind w:left="0" w:right="-90"/>
              <w:jc w:val="right"/>
              <w:rPr>
                <w:rFonts w:ascii="Arial" w:hAnsi="Arial" w:cs="Arial"/>
                <w:b/>
                <w:color w:val="000000" w:themeColor="text1"/>
                <w:sz w:val="18"/>
                <w:szCs w:val="18"/>
              </w:rPr>
            </w:pPr>
          </w:p>
        </w:tc>
      </w:tr>
      <w:tr w:rsidR="00E32C25" w:rsidRPr="00872FD9" w14:paraId="63C172EE" w14:textId="77777777" w:rsidTr="0009084A">
        <w:trPr>
          <w:trHeight w:val="256"/>
        </w:trPr>
        <w:tc>
          <w:tcPr>
            <w:tcW w:w="6379" w:type="dxa"/>
            <w:tcBorders>
              <w:top w:val="nil"/>
              <w:bottom w:val="nil"/>
            </w:tcBorders>
            <w:shd w:val="clear" w:color="auto" w:fill="FFFFFF" w:themeFill="background1"/>
          </w:tcPr>
          <w:p w14:paraId="1F070146" w14:textId="3EDC00F9" w:rsidR="00E32C25" w:rsidRPr="00872FD9" w:rsidRDefault="00E32C25" w:rsidP="00E32C25">
            <w:pPr>
              <w:pStyle w:val="ColorfulList-Accent11"/>
              <w:tabs>
                <w:tab w:val="left" w:pos="0"/>
                <w:tab w:val="left" w:pos="284"/>
              </w:tabs>
              <w:ind w:left="0" w:right="-90"/>
              <w:rPr>
                <w:rFonts w:ascii="Arial" w:hAnsi="Arial" w:cs="Arial"/>
                <w:color w:val="000000" w:themeColor="text1"/>
                <w:sz w:val="18"/>
                <w:szCs w:val="18"/>
              </w:rPr>
            </w:pPr>
            <w:proofErr w:type="spellStart"/>
            <w:r w:rsidRPr="00872FD9">
              <w:rPr>
                <w:rFonts w:ascii="Arial" w:hAnsi="Arial" w:cs="Arial"/>
                <w:sz w:val="18"/>
                <w:szCs w:val="18"/>
              </w:rPr>
              <w:t>Προμηθευτές</w:t>
            </w:r>
            <w:proofErr w:type="spellEnd"/>
            <w:r w:rsidRPr="00872FD9">
              <w:rPr>
                <w:rFonts w:ascii="Arial" w:hAnsi="Arial" w:cs="Arial"/>
                <w:sz w:val="18"/>
                <w:szCs w:val="18"/>
              </w:rPr>
              <w:t xml:space="preserve"> </w:t>
            </w:r>
          </w:p>
        </w:tc>
        <w:tc>
          <w:tcPr>
            <w:tcW w:w="1985" w:type="dxa"/>
            <w:tcBorders>
              <w:top w:val="nil"/>
              <w:bottom w:val="nil"/>
            </w:tcBorders>
            <w:shd w:val="clear" w:color="auto" w:fill="FFFFFF" w:themeFill="background1"/>
            <w:vAlign w:val="center"/>
          </w:tcPr>
          <w:p w14:paraId="0931F9FD" w14:textId="579436D6" w:rsidR="00E32C25" w:rsidRPr="00872FD9" w:rsidRDefault="00E32C25" w:rsidP="00E32C25">
            <w:pPr>
              <w:pStyle w:val="ColorfulList-Accent11"/>
              <w:tabs>
                <w:tab w:val="left" w:pos="0"/>
                <w:tab w:val="left" w:pos="284"/>
              </w:tabs>
              <w:ind w:left="0" w:right="-90"/>
              <w:jc w:val="right"/>
              <w:rPr>
                <w:rFonts w:ascii="Arial" w:hAnsi="Arial" w:cs="Arial"/>
                <w:color w:val="000000" w:themeColor="text1"/>
                <w:sz w:val="18"/>
                <w:szCs w:val="18"/>
                <w:lang w:val="el-GR"/>
              </w:rPr>
            </w:pPr>
            <w:r w:rsidRPr="00872FD9">
              <w:rPr>
                <w:rFonts w:ascii="Arial" w:hAnsi="Arial" w:cs="Arial"/>
                <w:color w:val="000000"/>
                <w:sz w:val="18"/>
                <w:szCs w:val="18"/>
              </w:rPr>
              <w:t>736</w:t>
            </w:r>
            <w:r w:rsidR="001E06AD" w:rsidRPr="00872FD9">
              <w:rPr>
                <w:rFonts w:ascii="Arial" w:hAnsi="Arial" w:cs="Arial"/>
                <w:color w:val="000000"/>
                <w:sz w:val="18"/>
                <w:szCs w:val="18"/>
              </w:rPr>
              <w:t>,</w:t>
            </w:r>
            <w:r w:rsidRPr="00872FD9">
              <w:rPr>
                <w:rFonts w:ascii="Arial" w:hAnsi="Arial" w:cs="Arial"/>
                <w:color w:val="000000"/>
                <w:sz w:val="18"/>
                <w:szCs w:val="18"/>
              </w:rPr>
              <w:t>8</w:t>
            </w:r>
          </w:p>
        </w:tc>
        <w:tc>
          <w:tcPr>
            <w:tcW w:w="2126" w:type="dxa"/>
            <w:tcBorders>
              <w:top w:val="nil"/>
              <w:bottom w:val="nil"/>
            </w:tcBorders>
            <w:shd w:val="clear" w:color="auto" w:fill="FFFFFF" w:themeFill="background1"/>
            <w:vAlign w:val="center"/>
          </w:tcPr>
          <w:p w14:paraId="5D5011A3" w14:textId="22A65BDC" w:rsidR="00E32C25" w:rsidRPr="00872FD9" w:rsidRDefault="00E32C25" w:rsidP="00E32C25">
            <w:pPr>
              <w:pStyle w:val="ColorfulList-Accent11"/>
              <w:tabs>
                <w:tab w:val="left" w:pos="0"/>
                <w:tab w:val="left" w:pos="284"/>
              </w:tabs>
              <w:ind w:left="0" w:right="-90"/>
              <w:jc w:val="right"/>
              <w:rPr>
                <w:rFonts w:ascii="Arial" w:hAnsi="Arial" w:cs="Arial"/>
                <w:b/>
                <w:color w:val="000000" w:themeColor="text1"/>
                <w:sz w:val="18"/>
                <w:szCs w:val="18"/>
              </w:rPr>
            </w:pPr>
            <w:r w:rsidRPr="00872FD9">
              <w:rPr>
                <w:rFonts w:ascii="Arial" w:hAnsi="Arial" w:cs="Arial"/>
                <w:sz w:val="18"/>
                <w:szCs w:val="18"/>
              </w:rPr>
              <w:t>8</w:t>
            </w:r>
            <w:r w:rsidRPr="00872FD9">
              <w:rPr>
                <w:rFonts w:ascii="Arial" w:hAnsi="Arial" w:cs="Arial"/>
                <w:sz w:val="18"/>
                <w:szCs w:val="18"/>
                <w:lang w:val="el-GR"/>
              </w:rPr>
              <w:t>66</w:t>
            </w:r>
            <w:r w:rsidR="001E06AD" w:rsidRPr="00872FD9">
              <w:rPr>
                <w:rFonts w:ascii="Arial" w:hAnsi="Arial" w:cs="Arial"/>
                <w:sz w:val="18"/>
                <w:szCs w:val="18"/>
              </w:rPr>
              <w:t>,</w:t>
            </w:r>
            <w:r w:rsidRPr="00872FD9">
              <w:rPr>
                <w:rFonts w:ascii="Arial" w:hAnsi="Arial" w:cs="Arial"/>
                <w:sz w:val="18"/>
                <w:szCs w:val="18"/>
                <w:lang w:val="el-GR"/>
              </w:rPr>
              <w:t>4</w:t>
            </w:r>
          </w:p>
        </w:tc>
      </w:tr>
      <w:tr w:rsidR="00E32C25" w:rsidRPr="00872FD9" w14:paraId="2CF85AB3" w14:textId="77777777" w:rsidTr="0009084A">
        <w:trPr>
          <w:trHeight w:val="256"/>
        </w:trPr>
        <w:tc>
          <w:tcPr>
            <w:tcW w:w="6379" w:type="dxa"/>
            <w:tcBorders>
              <w:top w:val="nil"/>
              <w:bottom w:val="nil"/>
            </w:tcBorders>
            <w:shd w:val="clear" w:color="auto" w:fill="FFFFFF" w:themeFill="background1"/>
          </w:tcPr>
          <w:p w14:paraId="5868B4D1" w14:textId="4E365CEB" w:rsidR="00E32C25" w:rsidRPr="00872FD9" w:rsidRDefault="00E32C25" w:rsidP="00E32C25">
            <w:pPr>
              <w:pStyle w:val="ColorfulList-Accent11"/>
              <w:tabs>
                <w:tab w:val="left" w:pos="0"/>
                <w:tab w:val="left" w:pos="284"/>
              </w:tabs>
              <w:ind w:left="0" w:right="-90"/>
              <w:rPr>
                <w:rFonts w:ascii="Arial" w:hAnsi="Arial" w:cs="Arial"/>
                <w:sz w:val="18"/>
                <w:szCs w:val="18"/>
                <w:lang w:val="el-GR"/>
              </w:rPr>
            </w:pPr>
            <w:r w:rsidRPr="00872FD9">
              <w:rPr>
                <w:rFonts w:ascii="Arial" w:hAnsi="Arial" w:cs="Arial"/>
                <w:sz w:val="18"/>
                <w:szCs w:val="18"/>
                <w:lang w:val="el-GR"/>
              </w:rPr>
              <w:t>Βραχυπρόθεσμα δάνεια</w:t>
            </w:r>
          </w:p>
        </w:tc>
        <w:tc>
          <w:tcPr>
            <w:tcW w:w="1985" w:type="dxa"/>
            <w:tcBorders>
              <w:top w:val="nil"/>
              <w:bottom w:val="nil"/>
            </w:tcBorders>
            <w:shd w:val="clear" w:color="auto" w:fill="FFFFFF" w:themeFill="background1"/>
            <w:vAlign w:val="center"/>
          </w:tcPr>
          <w:p w14:paraId="43EDA92A" w14:textId="2CDBECFD" w:rsidR="00E32C25" w:rsidRPr="00872FD9" w:rsidRDefault="00E32C25" w:rsidP="00E32C25">
            <w:pPr>
              <w:pStyle w:val="ColorfulList-Accent11"/>
              <w:tabs>
                <w:tab w:val="left" w:pos="0"/>
                <w:tab w:val="left" w:pos="284"/>
              </w:tabs>
              <w:ind w:left="0" w:right="-90"/>
              <w:jc w:val="right"/>
              <w:rPr>
                <w:rFonts w:ascii="Arial" w:hAnsi="Arial" w:cs="Arial"/>
                <w:color w:val="000000"/>
                <w:sz w:val="18"/>
                <w:szCs w:val="18"/>
              </w:rPr>
            </w:pPr>
            <w:r w:rsidRPr="00872FD9">
              <w:rPr>
                <w:rFonts w:ascii="Arial" w:hAnsi="Arial" w:cs="Arial"/>
                <w:color w:val="000000"/>
                <w:sz w:val="18"/>
                <w:szCs w:val="18"/>
              </w:rPr>
              <w:t>60</w:t>
            </w:r>
            <w:r w:rsidR="001E06AD" w:rsidRPr="00872FD9">
              <w:rPr>
                <w:rFonts w:ascii="Arial" w:hAnsi="Arial" w:cs="Arial"/>
                <w:color w:val="000000"/>
                <w:sz w:val="18"/>
                <w:szCs w:val="18"/>
              </w:rPr>
              <w:t>,</w:t>
            </w:r>
            <w:r w:rsidRPr="00872FD9">
              <w:rPr>
                <w:rFonts w:ascii="Arial" w:hAnsi="Arial" w:cs="Arial"/>
                <w:color w:val="000000"/>
                <w:sz w:val="18"/>
                <w:szCs w:val="18"/>
              </w:rPr>
              <w:t>0</w:t>
            </w:r>
          </w:p>
        </w:tc>
        <w:tc>
          <w:tcPr>
            <w:tcW w:w="2126" w:type="dxa"/>
            <w:tcBorders>
              <w:top w:val="nil"/>
              <w:bottom w:val="nil"/>
            </w:tcBorders>
            <w:shd w:val="clear" w:color="auto" w:fill="FFFFFF" w:themeFill="background1"/>
            <w:vAlign w:val="center"/>
          </w:tcPr>
          <w:p w14:paraId="0F7F9809" w14:textId="6C87D3A9" w:rsidR="00E32C25" w:rsidRPr="00872FD9" w:rsidRDefault="00E32C25" w:rsidP="00E32C25">
            <w:pPr>
              <w:pStyle w:val="ColorfulList-Accent11"/>
              <w:tabs>
                <w:tab w:val="left" w:pos="0"/>
                <w:tab w:val="left" w:pos="284"/>
              </w:tabs>
              <w:ind w:left="0" w:right="-90"/>
              <w:jc w:val="right"/>
              <w:rPr>
                <w:rFonts w:ascii="Arial" w:hAnsi="Arial" w:cs="Arial"/>
                <w:sz w:val="18"/>
                <w:szCs w:val="18"/>
              </w:rPr>
            </w:pPr>
            <w:r w:rsidRPr="00872FD9">
              <w:rPr>
                <w:rFonts w:ascii="Arial" w:hAnsi="Arial" w:cs="Arial"/>
                <w:sz w:val="18"/>
                <w:szCs w:val="18"/>
              </w:rPr>
              <w:t>-</w:t>
            </w:r>
          </w:p>
        </w:tc>
      </w:tr>
      <w:tr w:rsidR="00E32C25" w:rsidRPr="00872FD9" w14:paraId="06F5AC8C" w14:textId="77777777" w:rsidTr="0009084A">
        <w:trPr>
          <w:trHeight w:val="256"/>
        </w:trPr>
        <w:tc>
          <w:tcPr>
            <w:tcW w:w="6379" w:type="dxa"/>
            <w:tcBorders>
              <w:top w:val="nil"/>
              <w:bottom w:val="nil"/>
            </w:tcBorders>
            <w:shd w:val="clear" w:color="auto" w:fill="FFFFFF" w:themeFill="background1"/>
          </w:tcPr>
          <w:p w14:paraId="3023C6C0" w14:textId="5E2919FF" w:rsidR="00E32C25" w:rsidRPr="00872FD9" w:rsidRDefault="00E32C25" w:rsidP="00E32C25">
            <w:pPr>
              <w:pStyle w:val="ColorfulList-Accent11"/>
              <w:tabs>
                <w:tab w:val="left" w:pos="0"/>
                <w:tab w:val="left" w:pos="284"/>
              </w:tabs>
              <w:ind w:left="0" w:right="-90"/>
              <w:rPr>
                <w:rFonts w:ascii="Arial" w:hAnsi="Arial" w:cs="Arial"/>
                <w:sz w:val="18"/>
                <w:szCs w:val="18"/>
              </w:rPr>
            </w:pPr>
            <w:r w:rsidRPr="00872FD9">
              <w:rPr>
                <w:rFonts w:ascii="Arial" w:hAnsi="Arial" w:cs="Arial"/>
                <w:sz w:val="18"/>
                <w:szCs w:val="18"/>
                <w:lang w:val="el-GR"/>
              </w:rPr>
              <w:t>Βραχυπρόθεσμο μέρος μακροπρόθεσμων δανείων</w:t>
            </w:r>
          </w:p>
        </w:tc>
        <w:tc>
          <w:tcPr>
            <w:tcW w:w="1985" w:type="dxa"/>
            <w:tcBorders>
              <w:top w:val="nil"/>
              <w:bottom w:val="nil"/>
            </w:tcBorders>
            <w:shd w:val="clear" w:color="auto" w:fill="FFFFFF" w:themeFill="background1"/>
            <w:vAlign w:val="center"/>
          </w:tcPr>
          <w:p w14:paraId="678C716A" w14:textId="2ADFEF30" w:rsidR="00E32C25" w:rsidRPr="00872FD9" w:rsidRDefault="00E32C25" w:rsidP="00E32C25">
            <w:pPr>
              <w:pStyle w:val="ColorfulList-Accent11"/>
              <w:tabs>
                <w:tab w:val="left" w:pos="0"/>
                <w:tab w:val="left" w:pos="284"/>
              </w:tabs>
              <w:ind w:left="0" w:right="-90"/>
              <w:jc w:val="right"/>
              <w:rPr>
                <w:rFonts w:ascii="Arial" w:hAnsi="Arial" w:cs="Arial"/>
                <w:color w:val="000000"/>
                <w:sz w:val="18"/>
                <w:szCs w:val="18"/>
              </w:rPr>
            </w:pPr>
            <w:r w:rsidRPr="00872FD9">
              <w:rPr>
                <w:rFonts w:ascii="Arial" w:hAnsi="Arial" w:cs="Arial"/>
                <w:color w:val="000000"/>
                <w:sz w:val="18"/>
                <w:szCs w:val="18"/>
              </w:rPr>
              <w:t>499</w:t>
            </w:r>
            <w:r w:rsidR="001E06AD" w:rsidRPr="00872FD9">
              <w:rPr>
                <w:rFonts w:ascii="Arial" w:hAnsi="Arial" w:cs="Arial"/>
                <w:color w:val="000000"/>
                <w:sz w:val="18"/>
                <w:szCs w:val="18"/>
              </w:rPr>
              <w:t>,</w:t>
            </w:r>
            <w:r w:rsidRPr="00872FD9">
              <w:rPr>
                <w:rFonts w:ascii="Arial" w:hAnsi="Arial" w:cs="Arial"/>
                <w:color w:val="000000"/>
                <w:sz w:val="18"/>
                <w:szCs w:val="18"/>
              </w:rPr>
              <w:t>2</w:t>
            </w:r>
          </w:p>
        </w:tc>
        <w:tc>
          <w:tcPr>
            <w:tcW w:w="2126" w:type="dxa"/>
            <w:tcBorders>
              <w:top w:val="nil"/>
              <w:bottom w:val="nil"/>
            </w:tcBorders>
            <w:shd w:val="clear" w:color="auto" w:fill="FFFFFF" w:themeFill="background1"/>
            <w:vAlign w:val="center"/>
          </w:tcPr>
          <w:p w14:paraId="11E7DC28" w14:textId="097013A6" w:rsidR="00E32C25" w:rsidRPr="00872FD9" w:rsidRDefault="00E32C25" w:rsidP="00E32C25">
            <w:pPr>
              <w:pStyle w:val="ColorfulList-Accent11"/>
              <w:tabs>
                <w:tab w:val="left" w:pos="0"/>
                <w:tab w:val="left" w:pos="284"/>
              </w:tabs>
              <w:ind w:left="0" w:right="-90"/>
              <w:jc w:val="right"/>
              <w:rPr>
                <w:rFonts w:ascii="Arial" w:hAnsi="Arial" w:cs="Arial"/>
                <w:sz w:val="18"/>
                <w:szCs w:val="18"/>
              </w:rPr>
            </w:pPr>
            <w:r w:rsidRPr="00872FD9">
              <w:rPr>
                <w:rFonts w:ascii="Arial" w:hAnsi="Arial" w:cs="Arial"/>
                <w:sz w:val="18"/>
                <w:szCs w:val="18"/>
              </w:rPr>
              <w:t>-</w:t>
            </w:r>
          </w:p>
        </w:tc>
      </w:tr>
      <w:tr w:rsidR="00E32C25" w:rsidRPr="00872FD9" w14:paraId="5C491197" w14:textId="77777777" w:rsidTr="0009084A">
        <w:trPr>
          <w:trHeight w:val="256"/>
        </w:trPr>
        <w:tc>
          <w:tcPr>
            <w:tcW w:w="6379" w:type="dxa"/>
            <w:tcBorders>
              <w:top w:val="nil"/>
              <w:bottom w:val="nil"/>
            </w:tcBorders>
            <w:shd w:val="clear" w:color="auto" w:fill="FFFFFF" w:themeFill="background1"/>
          </w:tcPr>
          <w:p w14:paraId="2F3CBCD2" w14:textId="191E31CB" w:rsidR="00E32C25" w:rsidRPr="00872FD9" w:rsidRDefault="00E32C25" w:rsidP="00E32C25">
            <w:pPr>
              <w:pStyle w:val="ColorfulList-Accent11"/>
              <w:tabs>
                <w:tab w:val="left" w:pos="0"/>
                <w:tab w:val="left" w:pos="284"/>
              </w:tabs>
              <w:ind w:left="0" w:right="-90"/>
              <w:rPr>
                <w:rFonts w:ascii="Arial" w:hAnsi="Arial" w:cs="Arial"/>
                <w:color w:val="000000" w:themeColor="text1"/>
                <w:sz w:val="18"/>
                <w:szCs w:val="18"/>
              </w:rPr>
            </w:pPr>
            <w:proofErr w:type="spellStart"/>
            <w:r w:rsidRPr="00872FD9">
              <w:rPr>
                <w:rFonts w:ascii="Arial" w:hAnsi="Arial" w:cs="Arial"/>
                <w:sz w:val="18"/>
                <w:szCs w:val="18"/>
              </w:rPr>
              <w:t>Φόρος</w:t>
            </w:r>
            <w:proofErr w:type="spellEnd"/>
            <w:r w:rsidRPr="00872FD9">
              <w:rPr>
                <w:rFonts w:ascii="Arial" w:hAnsi="Arial" w:cs="Arial"/>
                <w:sz w:val="18"/>
                <w:szCs w:val="18"/>
              </w:rPr>
              <w:t xml:space="preserve"> </w:t>
            </w:r>
            <w:proofErr w:type="spellStart"/>
            <w:r w:rsidRPr="00872FD9">
              <w:rPr>
                <w:rFonts w:ascii="Arial" w:hAnsi="Arial" w:cs="Arial"/>
                <w:sz w:val="18"/>
                <w:szCs w:val="18"/>
              </w:rPr>
              <w:t>εισοδήμ</w:t>
            </w:r>
            <w:proofErr w:type="spellEnd"/>
            <w:r w:rsidRPr="00872FD9">
              <w:rPr>
                <w:rFonts w:ascii="Arial" w:hAnsi="Arial" w:cs="Arial"/>
                <w:sz w:val="18"/>
                <w:szCs w:val="18"/>
              </w:rPr>
              <w:t xml:space="preserve">ατος </w:t>
            </w:r>
          </w:p>
        </w:tc>
        <w:tc>
          <w:tcPr>
            <w:tcW w:w="1985" w:type="dxa"/>
            <w:tcBorders>
              <w:top w:val="nil"/>
              <w:bottom w:val="nil"/>
            </w:tcBorders>
            <w:shd w:val="clear" w:color="auto" w:fill="FFFFFF" w:themeFill="background1"/>
            <w:vAlign w:val="center"/>
          </w:tcPr>
          <w:p w14:paraId="61B8CD81" w14:textId="3838E79F" w:rsidR="00E32C25" w:rsidRPr="00872FD9" w:rsidRDefault="00E32C25" w:rsidP="00E32C25">
            <w:pPr>
              <w:pStyle w:val="ColorfulList-Accent11"/>
              <w:tabs>
                <w:tab w:val="left" w:pos="0"/>
                <w:tab w:val="left" w:pos="284"/>
              </w:tabs>
              <w:ind w:left="0" w:right="-90"/>
              <w:jc w:val="right"/>
              <w:rPr>
                <w:rFonts w:ascii="Arial" w:hAnsi="Arial" w:cs="Arial"/>
                <w:color w:val="000000" w:themeColor="text1"/>
                <w:sz w:val="18"/>
                <w:szCs w:val="18"/>
              </w:rPr>
            </w:pPr>
            <w:r w:rsidRPr="00872FD9">
              <w:rPr>
                <w:rFonts w:ascii="Arial" w:hAnsi="Arial" w:cs="Arial"/>
                <w:color w:val="000000"/>
                <w:sz w:val="18"/>
                <w:szCs w:val="18"/>
              </w:rPr>
              <w:t>155</w:t>
            </w:r>
            <w:r w:rsidR="001E06AD" w:rsidRPr="00872FD9">
              <w:rPr>
                <w:rFonts w:ascii="Arial" w:hAnsi="Arial" w:cs="Arial"/>
                <w:color w:val="000000"/>
                <w:sz w:val="18"/>
                <w:szCs w:val="18"/>
              </w:rPr>
              <w:t>,</w:t>
            </w:r>
            <w:r w:rsidRPr="00872FD9">
              <w:rPr>
                <w:rFonts w:ascii="Arial" w:hAnsi="Arial" w:cs="Arial"/>
                <w:color w:val="000000"/>
                <w:sz w:val="18"/>
                <w:szCs w:val="18"/>
              </w:rPr>
              <w:t>3</w:t>
            </w:r>
          </w:p>
        </w:tc>
        <w:tc>
          <w:tcPr>
            <w:tcW w:w="2126" w:type="dxa"/>
            <w:tcBorders>
              <w:top w:val="nil"/>
              <w:bottom w:val="nil"/>
            </w:tcBorders>
            <w:shd w:val="clear" w:color="auto" w:fill="FFFFFF" w:themeFill="background1"/>
            <w:vAlign w:val="center"/>
          </w:tcPr>
          <w:p w14:paraId="09B0BCD6" w14:textId="69DB97ED" w:rsidR="00E32C25" w:rsidRPr="00872FD9" w:rsidRDefault="00E32C25" w:rsidP="00E32C25">
            <w:pPr>
              <w:pStyle w:val="ColorfulList-Accent11"/>
              <w:tabs>
                <w:tab w:val="left" w:pos="0"/>
                <w:tab w:val="left" w:pos="284"/>
              </w:tabs>
              <w:ind w:left="0" w:right="-90"/>
              <w:jc w:val="right"/>
              <w:rPr>
                <w:rFonts w:ascii="Arial" w:hAnsi="Arial" w:cs="Arial"/>
                <w:b/>
                <w:color w:val="000000" w:themeColor="text1"/>
                <w:sz w:val="18"/>
                <w:szCs w:val="18"/>
              </w:rPr>
            </w:pPr>
            <w:r w:rsidRPr="00872FD9">
              <w:rPr>
                <w:rFonts w:ascii="Arial" w:hAnsi="Arial" w:cs="Arial"/>
                <w:sz w:val="18"/>
                <w:szCs w:val="18"/>
              </w:rPr>
              <w:t>66</w:t>
            </w:r>
            <w:r w:rsidR="001E06AD" w:rsidRPr="00872FD9">
              <w:rPr>
                <w:rFonts w:ascii="Arial" w:hAnsi="Arial" w:cs="Arial"/>
                <w:sz w:val="18"/>
                <w:szCs w:val="18"/>
              </w:rPr>
              <w:t>,</w:t>
            </w:r>
            <w:r w:rsidRPr="00872FD9">
              <w:rPr>
                <w:rFonts w:ascii="Arial" w:hAnsi="Arial" w:cs="Arial"/>
                <w:sz w:val="18"/>
                <w:szCs w:val="18"/>
              </w:rPr>
              <w:t>9</w:t>
            </w:r>
          </w:p>
        </w:tc>
      </w:tr>
      <w:tr w:rsidR="00E32C25" w:rsidRPr="00872FD9" w14:paraId="0212DA02" w14:textId="77777777" w:rsidTr="0009084A">
        <w:trPr>
          <w:trHeight w:val="256"/>
        </w:trPr>
        <w:tc>
          <w:tcPr>
            <w:tcW w:w="6379" w:type="dxa"/>
            <w:tcBorders>
              <w:top w:val="nil"/>
              <w:bottom w:val="nil"/>
            </w:tcBorders>
            <w:shd w:val="clear" w:color="auto" w:fill="FFFFFF" w:themeFill="background1"/>
          </w:tcPr>
          <w:p w14:paraId="4FC16CCA" w14:textId="3668EA59" w:rsidR="00E32C25" w:rsidRPr="00872FD9" w:rsidRDefault="00E32C25" w:rsidP="00E32C25">
            <w:pPr>
              <w:pStyle w:val="ColorfulList-Accent11"/>
              <w:tabs>
                <w:tab w:val="left" w:pos="0"/>
                <w:tab w:val="left" w:pos="284"/>
              </w:tabs>
              <w:ind w:left="0" w:right="-90"/>
              <w:rPr>
                <w:rFonts w:ascii="Arial" w:hAnsi="Arial" w:cs="Arial"/>
                <w:color w:val="000000" w:themeColor="text1"/>
                <w:sz w:val="18"/>
                <w:szCs w:val="18"/>
              </w:rPr>
            </w:pPr>
            <w:proofErr w:type="spellStart"/>
            <w:r w:rsidRPr="00872FD9">
              <w:rPr>
                <w:rFonts w:ascii="Arial" w:hAnsi="Arial" w:cs="Arial"/>
                <w:sz w:val="18"/>
                <w:szCs w:val="18"/>
              </w:rPr>
              <w:t>Συμ</w:t>
            </w:r>
            <w:proofErr w:type="spellEnd"/>
            <w:r w:rsidRPr="00872FD9">
              <w:rPr>
                <w:rFonts w:ascii="Arial" w:hAnsi="Arial" w:cs="Arial"/>
                <w:sz w:val="18"/>
                <w:szCs w:val="18"/>
              </w:rPr>
              <w:t>βατικές υπ</w:t>
            </w:r>
            <w:proofErr w:type="spellStart"/>
            <w:r w:rsidRPr="00872FD9">
              <w:rPr>
                <w:rFonts w:ascii="Arial" w:hAnsi="Arial" w:cs="Arial"/>
                <w:sz w:val="18"/>
                <w:szCs w:val="18"/>
              </w:rPr>
              <w:t>οχρεώσεις</w:t>
            </w:r>
            <w:proofErr w:type="spellEnd"/>
          </w:p>
        </w:tc>
        <w:tc>
          <w:tcPr>
            <w:tcW w:w="1985" w:type="dxa"/>
            <w:tcBorders>
              <w:top w:val="nil"/>
              <w:bottom w:val="nil"/>
            </w:tcBorders>
            <w:shd w:val="clear" w:color="auto" w:fill="FFFFFF" w:themeFill="background1"/>
            <w:vAlign w:val="center"/>
          </w:tcPr>
          <w:p w14:paraId="55117B4C" w14:textId="0FFC0F46" w:rsidR="00E32C25" w:rsidRPr="00872FD9" w:rsidRDefault="00E32C25" w:rsidP="00E32C25">
            <w:pPr>
              <w:pStyle w:val="ColorfulList-Accent11"/>
              <w:tabs>
                <w:tab w:val="left" w:pos="0"/>
                <w:tab w:val="left" w:pos="284"/>
              </w:tabs>
              <w:ind w:left="0" w:right="-90"/>
              <w:jc w:val="right"/>
              <w:rPr>
                <w:rFonts w:ascii="Arial" w:hAnsi="Arial" w:cs="Arial"/>
                <w:color w:val="000000" w:themeColor="text1"/>
                <w:sz w:val="18"/>
                <w:szCs w:val="18"/>
              </w:rPr>
            </w:pPr>
            <w:r w:rsidRPr="00872FD9">
              <w:rPr>
                <w:rFonts w:ascii="Arial" w:hAnsi="Arial" w:cs="Arial"/>
                <w:color w:val="000000"/>
                <w:sz w:val="18"/>
                <w:szCs w:val="18"/>
              </w:rPr>
              <w:t>285</w:t>
            </w:r>
            <w:r w:rsidR="001E06AD" w:rsidRPr="00872FD9">
              <w:rPr>
                <w:rFonts w:ascii="Arial" w:hAnsi="Arial" w:cs="Arial"/>
                <w:color w:val="000000"/>
                <w:sz w:val="18"/>
                <w:szCs w:val="18"/>
              </w:rPr>
              <w:t>,</w:t>
            </w:r>
            <w:r w:rsidRPr="00872FD9">
              <w:rPr>
                <w:rFonts w:ascii="Arial" w:hAnsi="Arial" w:cs="Arial"/>
                <w:color w:val="000000"/>
                <w:sz w:val="18"/>
                <w:szCs w:val="18"/>
              </w:rPr>
              <w:t>5</w:t>
            </w:r>
          </w:p>
        </w:tc>
        <w:tc>
          <w:tcPr>
            <w:tcW w:w="2126" w:type="dxa"/>
            <w:tcBorders>
              <w:top w:val="nil"/>
              <w:bottom w:val="nil"/>
            </w:tcBorders>
            <w:shd w:val="clear" w:color="auto" w:fill="FFFFFF" w:themeFill="background1"/>
            <w:vAlign w:val="center"/>
          </w:tcPr>
          <w:p w14:paraId="1AB3E2DC" w14:textId="3AE473DD" w:rsidR="00E32C25" w:rsidRPr="00872FD9" w:rsidRDefault="00E32C25" w:rsidP="00E32C25">
            <w:pPr>
              <w:pStyle w:val="ColorfulList-Accent11"/>
              <w:tabs>
                <w:tab w:val="left" w:pos="0"/>
                <w:tab w:val="left" w:pos="284"/>
              </w:tabs>
              <w:ind w:left="0" w:right="-90"/>
              <w:jc w:val="right"/>
              <w:rPr>
                <w:rFonts w:ascii="Arial" w:hAnsi="Arial" w:cs="Arial"/>
                <w:b/>
                <w:color w:val="000000" w:themeColor="text1"/>
                <w:sz w:val="18"/>
                <w:szCs w:val="18"/>
              </w:rPr>
            </w:pPr>
            <w:r w:rsidRPr="00872FD9">
              <w:rPr>
                <w:rFonts w:ascii="Arial" w:hAnsi="Arial" w:cs="Arial"/>
                <w:sz w:val="18"/>
                <w:szCs w:val="18"/>
              </w:rPr>
              <w:t>258</w:t>
            </w:r>
            <w:r w:rsidR="001E06AD" w:rsidRPr="00872FD9">
              <w:rPr>
                <w:rFonts w:ascii="Arial" w:hAnsi="Arial" w:cs="Arial"/>
                <w:sz w:val="18"/>
                <w:szCs w:val="18"/>
              </w:rPr>
              <w:t>,</w:t>
            </w:r>
            <w:r w:rsidRPr="00872FD9">
              <w:rPr>
                <w:rFonts w:ascii="Arial" w:hAnsi="Arial" w:cs="Arial"/>
                <w:sz w:val="18"/>
                <w:szCs w:val="18"/>
              </w:rPr>
              <w:t>9</w:t>
            </w:r>
          </w:p>
        </w:tc>
      </w:tr>
      <w:tr w:rsidR="00E32C25" w:rsidRPr="00872FD9" w14:paraId="710D53BD" w14:textId="77777777" w:rsidTr="0009084A">
        <w:trPr>
          <w:trHeight w:val="256"/>
        </w:trPr>
        <w:tc>
          <w:tcPr>
            <w:tcW w:w="6379" w:type="dxa"/>
            <w:tcBorders>
              <w:top w:val="nil"/>
              <w:bottom w:val="nil"/>
            </w:tcBorders>
            <w:shd w:val="clear" w:color="auto" w:fill="FFFFFF" w:themeFill="background1"/>
          </w:tcPr>
          <w:p w14:paraId="69D94C7C" w14:textId="71F33B9C" w:rsidR="00E32C25" w:rsidRPr="00872FD9" w:rsidRDefault="00E32C25" w:rsidP="00E32C25">
            <w:pPr>
              <w:pStyle w:val="ColorfulList-Accent11"/>
              <w:tabs>
                <w:tab w:val="left" w:pos="0"/>
                <w:tab w:val="left" w:pos="284"/>
              </w:tabs>
              <w:ind w:left="0" w:right="-90"/>
              <w:rPr>
                <w:rFonts w:ascii="Arial" w:hAnsi="Arial" w:cs="Arial"/>
                <w:color w:val="000000" w:themeColor="text1"/>
                <w:sz w:val="18"/>
                <w:szCs w:val="18"/>
              </w:rPr>
            </w:pPr>
            <w:r w:rsidRPr="00872FD9">
              <w:rPr>
                <w:rFonts w:ascii="Arial" w:hAnsi="Arial" w:cs="Arial"/>
                <w:sz w:val="18"/>
                <w:szCs w:val="18"/>
              </w:rPr>
              <w:t>Υπ</w:t>
            </w:r>
            <w:proofErr w:type="spellStart"/>
            <w:r w:rsidRPr="00872FD9">
              <w:rPr>
                <w:rFonts w:ascii="Arial" w:hAnsi="Arial" w:cs="Arial"/>
                <w:sz w:val="18"/>
                <w:szCs w:val="18"/>
              </w:rPr>
              <w:t>οχρεώσεις</w:t>
            </w:r>
            <w:proofErr w:type="spellEnd"/>
            <w:r w:rsidRPr="00872FD9">
              <w:rPr>
                <w:rFonts w:ascii="Arial" w:hAnsi="Arial" w:cs="Arial"/>
                <w:sz w:val="18"/>
                <w:szCs w:val="18"/>
              </w:rPr>
              <w:t xml:space="preserve"> από </w:t>
            </w:r>
            <w:proofErr w:type="spellStart"/>
            <w:r w:rsidRPr="00872FD9">
              <w:rPr>
                <w:rFonts w:ascii="Arial" w:hAnsi="Arial" w:cs="Arial"/>
                <w:sz w:val="18"/>
                <w:szCs w:val="18"/>
              </w:rPr>
              <w:t>μισθώσεις</w:t>
            </w:r>
            <w:proofErr w:type="spellEnd"/>
          </w:p>
        </w:tc>
        <w:tc>
          <w:tcPr>
            <w:tcW w:w="1985" w:type="dxa"/>
            <w:tcBorders>
              <w:top w:val="nil"/>
              <w:bottom w:val="nil"/>
            </w:tcBorders>
            <w:shd w:val="clear" w:color="auto" w:fill="FFFFFF" w:themeFill="background1"/>
            <w:vAlign w:val="center"/>
          </w:tcPr>
          <w:p w14:paraId="0D0B97E6" w14:textId="01B47679" w:rsidR="00E32C25" w:rsidRPr="00872FD9" w:rsidRDefault="00E32C25" w:rsidP="00E32C25">
            <w:pPr>
              <w:pStyle w:val="ColorfulList-Accent11"/>
              <w:tabs>
                <w:tab w:val="left" w:pos="0"/>
                <w:tab w:val="left" w:pos="284"/>
              </w:tabs>
              <w:ind w:left="0" w:right="-90"/>
              <w:jc w:val="right"/>
              <w:rPr>
                <w:rFonts w:ascii="Arial" w:hAnsi="Arial" w:cs="Arial"/>
                <w:color w:val="000000" w:themeColor="text1"/>
                <w:sz w:val="18"/>
                <w:szCs w:val="18"/>
              </w:rPr>
            </w:pPr>
            <w:r w:rsidRPr="00872FD9">
              <w:rPr>
                <w:rFonts w:ascii="Arial" w:hAnsi="Arial" w:cs="Arial"/>
                <w:color w:val="000000"/>
                <w:sz w:val="18"/>
                <w:szCs w:val="18"/>
              </w:rPr>
              <w:t>46</w:t>
            </w:r>
            <w:r w:rsidR="001E06AD" w:rsidRPr="00872FD9">
              <w:rPr>
                <w:rFonts w:ascii="Arial" w:hAnsi="Arial" w:cs="Arial"/>
                <w:color w:val="000000"/>
                <w:sz w:val="18"/>
                <w:szCs w:val="18"/>
              </w:rPr>
              <w:t>,</w:t>
            </w:r>
            <w:r w:rsidRPr="00872FD9">
              <w:rPr>
                <w:rFonts w:ascii="Arial" w:hAnsi="Arial" w:cs="Arial"/>
                <w:color w:val="000000"/>
                <w:sz w:val="18"/>
                <w:szCs w:val="18"/>
              </w:rPr>
              <w:t>9</w:t>
            </w:r>
          </w:p>
        </w:tc>
        <w:tc>
          <w:tcPr>
            <w:tcW w:w="2126" w:type="dxa"/>
            <w:tcBorders>
              <w:top w:val="nil"/>
              <w:bottom w:val="nil"/>
            </w:tcBorders>
            <w:shd w:val="clear" w:color="auto" w:fill="FFFFFF" w:themeFill="background1"/>
            <w:vAlign w:val="center"/>
          </w:tcPr>
          <w:p w14:paraId="10CF055C" w14:textId="23BAC6A4" w:rsidR="00E32C25" w:rsidRPr="00872FD9" w:rsidRDefault="00E32C25" w:rsidP="00E32C25">
            <w:pPr>
              <w:pStyle w:val="ColorfulList-Accent11"/>
              <w:tabs>
                <w:tab w:val="left" w:pos="0"/>
                <w:tab w:val="left" w:pos="284"/>
              </w:tabs>
              <w:ind w:left="0" w:right="-90"/>
              <w:jc w:val="right"/>
              <w:rPr>
                <w:rFonts w:ascii="Arial" w:hAnsi="Arial" w:cs="Arial"/>
                <w:b/>
                <w:color w:val="000000" w:themeColor="text1"/>
                <w:sz w:val="18"/>
                <w:szCs w:val="18"/>
              </w:rPr>
            </w:pPr>
            <w:r w:rsidRPr="00872FD9">
              <w:rPr>
                <w:rFonts w:ascii="Arial" w:hAnsi="Arial" w:cs="Arial"/>
                <w:sz w:val="18"/>
                <w:szCs w:val="18"/>
              </w:rPr>
              <w:t>63</w:t>
            </w:r>
            <w:r w:rsidR="001E06AD" w:rsidRPr="00872FD9">
              <w:rPr>
                <w:rFonts w:ascii="Arial" w:hAnsi="Arial" w:cs="Arial"/>
                <w:sz w:val="18"/>
                <w:szCs w:val="18"/>
              </w:rPr>
              <w:t>,</w:t>
            </w:r>
            <w:r w:rsidRPr="00872FD9">
              <w:rPr>
                <w:rFonts w:ascii="Arial" w:hAnsi="Arial" w:cs="Arial"/>
                <w:sz w:val="18"/>
                <w:szCs w:val="18"/>
              </w:rPr>
              <w:t>4</w:t>
            </w:r>
          </w:p>
        </w:tc>
      </w:tr>
      <w:tr w:rsidR="00E32C25" w:rsidRPr="00872FD9" w14:paraId="0B4A1042" w14:textId="77777777" w:rsidTr="0009084A">
        <w:trPr>
          <w:trHeight w:val="256"/>
        </w:trPr>
        <w:tc>
          <w:tcPr>
            <w:tcW w:w="6379" w:type="dxa"/>
            <w:tcBorders>
              <w:top w:val="nil"/>
              <w:bottom w:val="nil"/>
            </w:tcBorders>
            <w:shd w:val="clear" w:color="auto" w:fill="FFFFFF" w:themeFill="background1"/>
          </w:tcPr>
          <w:p w14:paraId="60F339EC" w14:textId="1B42C35D" w:rsidR="00E32C25" w:rsidRPr="00872FD9" w:rsidRDefault="00E32C25" w:rsidP="00E32C25">
            <w:pPr>
              <w:pStyle w:val="ColorfulList-Accent11"/>
              <w:tabs>
                <w:tab w:val="left" w:pos="0"/>
                <w:tab w:val="left" w:pos="284"/>
              </w:tabs>
              <w:ind w:left="0" w:right="-90"/>
              <w:rPr>
                <w:rFonts w:ascii="Arial" w:hAnsi="Arial" w:cs="Arial"/>
                <w:color w:val="000000" w:themeColor="text1"/>
                <w:sz w:val="18"/>
                <w:szCs w:val="18"/>
              </w:rPr>
            </w:pPr>
            <w:proofErr w:type="spellStart"/>
            <w:r w:rsidRPr="00872FD9">
              <w:rPr>
                <w:rFonts w:ascii="Arial" w:hAnsi="Arial" w:cs="Arial"/>
                <w:sz w:val="18"/>
                <w:szCs w:val="18"/>
              </w:rPr>
              <w:t>Μερίσμ</w:t>
            </w:r>
            <w:proofErr w:type="spellEnd"/>
            <w:r w:rsidRPr="00872FD9">
              <w:rPr>
                <w:rFonts w:ascii="Arial" w:hAnsi="Arial" w:cs="Arial"/>
                <w:sz w:val="18"/>
                <w:szCs w:val="18"/>
              </w:rPr>
              <w:t>ατα π</w:t>
            </w:r>
            <w:proofErr w:type="spellStart"/>
            <w:r w:rsidRPr="00872FD9">
              <w:rPr>
                <w:rFonts w:ascii="Arial" w:hAnsi="Arial" w:cs="Arial"/>
                <w:sz w:val="18"/>
                <w:szCs w:val="18"/>
              </w:rPr>
              <w:t>ληρωτέ</w:t>
            </w:r>
            <w:proofErr w:type="spellEnd"/>
            <w:r w:rsidRPr="00872FD9">
              <w:rPr>
                <w:rFonts w:ascii="Arial" w:hAnsi="Arial" w:cs="Arial"/>
                <w:sz w:val="18"/>
                <w:szCs w:val="18"/>
              </w:rPr>
              <w:t>α</w:t>
            </w:r>
          </w:p>
        </w:tc>
        <w:tc>
          <w:tcPr>
            <w:tcW w:w="1985" w:type="dxa"/>
            <w:tcBorders>
              <w:top w:val="nil"/>
              <w:bottom w:val="nil"/>
            </w:tcBorders>
            <w:shd w:val="clear" w:color="auto" w:fill="FFFFFF" w:themeFill="background1"/>
            <w:vAlign w:val="center"/>
          </w:tcPr>
          <w:p w14:paraId="21D7C7EF" w14:textId="2D6F8CD0" w:rsidR="00E32C25" w:rsidRPr="00872FD9" w:rsidRDefault="00E32C25" w:rsidP="00E32C25">
            <w:pPr>
              <w:pStyle w:val="ColorfulList-Accent11"/>
              <w:tabs>
                <w:tab w:val="left" w:pos="0"/>
                <w:tab w:val="left" w:pos="284"/>
              </w:tabs>
              <w:ind w:left="0" w:right="-90"/>
              <w:jc w:val="right"/>
              <w:rPr>
                <w:rFonts w:ascii="Arial" w:hAnsi="Arial" w:cs="Arial"/>
                <w:color w:val="000000" w:themeColor="text1"/>
                <w:sz w:val="18"/>
                <w:szCs w:val="18"/>
              </w:rPr>
            </w:pPr>
            <w:r w:rsidRPr="00872FD9">
              <w:rPr>
                <w:rFonts w:ascii="Arial" w:hAnsi="Arial" w:cs="Arial"/>
                <w:color w:val="000000"/>
                <w:sz w:val="18"/>
                <w:szCs w:val="18"/>
              </w:rPr>
              <w:t>2</w:t>
            </w:r>
            <w:r w:rsidR="001E06AD" w:rsidRPr="00872FD9">
              <w:rPr>
                <w:rFonts w:ascii="Arial" w:hAnsi="Arial" w:cs="Arial"/>
                <w:color w:val="000000"/>
                <w:sz w:val="18"/>
                <w:szCs w:val="18"/>
              </w:rPr>
              <w:t>,</w:t>
            </w:r>
            <w:r w:rsidRPr="00872FD9">
              <w:rPr>
                <w:rFonts w:ascii="Arial" w:hAnsi="Arial" w:cs="Arial"/>
                <w:color w:val="000000"/>
                <w:sz w:val="18"/>
                <w:szCs w:val="18"/>
              </w:rPr>
              <w:t>2</w:t>
            </w:r>
          </w:p>
        </w:tc>
        <w:tc>
          <w:tcPr>
            <w:tcW w:w="2126" w:type="dxa"/>
            <w:tcBorders>
              <w:top w:val="nil"/>
              <w:bottom w:val="nil"/>
            </w:tcBorders>
            <w:shd w:val="clear" w:color="auto" w:fill="FFFFFF" w:themeFill="background1"/>
            <w:vAlign w:val="center"/>
          </w:tcPr>
          <w:p w14:paraId="6E1DE0E8" w14:textId="7A454691" w:rsidR="00E32C25" w:rsidRPr="00872FD9" w:rsidRDefault="00E32C25" w:rsidP="00E32C25">
            <w:pPr>
              <w:pStyle w:val="ColorfulList-Accent11"/>
              <w:tabs>
                <w:tab w:val="left" w:pos="0"/>
                <w:tab w:val="left" w:pos="284"/>
              </w:tabs>
              <w:ind w:left="0" w:right="-90"/>
              <w:jc w:val="right"/>
              <w:rPr>
                <w:rFonts w:ascii="Arial" w:hAnsi="Arial" w:cs="Arial"/>
                <w:b/>
                <w:color w:val="000000" w:themeColor="text1"/>
                <w:sz w:val="18"/>
                <w:szCs w:val="18"/>
              </w:rPr>
            </w:pPr>
            <w:r w:rsidRPr="00872FD9">
              <w:rPr>
                <w:rFonts w:ascii="Arial" w:hAnsi="Arial" w:cs="Arial"/>
                <w:sz w:val="18"/>
                <w:szCs w:val="18"/>
              </w:rPr>
              <w:t>2</w:t>
            </w:r>
            <w:r w:rsidR="001E06AD" w:rsidRPr="00872FD9">
              <w:rPr>
                <w:rFonts w:ascii="Arial" w:hAnsi="Arial" w:cs="Arial"/>
                <w:sz w:val="18"/>
                <w:szCs w:val="18"/>
              </w:rPr>
              <w:t>,</w:t>
            </w:r>
            <w:r w:rsidRPr="00872FD9">
              <w:rPr>
                <w:rFonts w:ascii="Arial" w:hAnsi="Arial" w:cs="Arial"/>
                <w:sz w:val="18"/>
                <w:szCs w:val="18"/>
              </w:rPr>
              <w:t>4</w:t>
            </w:r>
          </w:p>
        </w:tc>
      </w:tr>
      <w:tr w:rsidR="00E32C25" w:rsidRPr="00872FD9" w14:paraId="1FB32682" w14:textId="77777777" w:rsidTr="0009084A">
        <w:trPr>
          <w:trHeight w:val="256"/>
        </w:trPr>
        <w:tc>
          <w:tcPr>
            <w:tcW w:w="6379" w:type="dxa"/>
            <w:tcBorders>
              <w:top w:val="nil"/>
              <w:bottom w:val="single" w:sz="2" w:space="0" w:color="808080" w:themeColor="background1" w:themeShade="80"/>
            </w:tcBorders>
            <w:shd w:val="clear" w:color="auto" w:fill="FFFFFF" w:themeFill="background1"/>
          </w:tcPr>
          <w:p w14:paraId="6F2542BA" w14:textId="6B4D8BA4" w:rsidR="00E32C25" w:rsidRPr="00872FD9" w:rsidRDefault="00E32C25" w:rsidP="00E32C25">
            <w:pPr>
              <w:pStyle w:val="ColorfulList-Accent11"/>
              <w:tabs>
                <w:tab w:val="left" w:pos="0"/>
                <w:tab w:val="left" w:pos="284"/>
              </w:tabs>
              <w:ind w:left="0" w:right="-90"/>
              <w:rPr>
                <w:rFonts w:ascii="Arial" w:hAnsi="Arial" w:cs="Arial"/>
                <w:color w:val="000000" w:themeColor="text1"/>
                <w:sz w:val="18"/>
                <w:szCs w:val="18"/>
              </w:rPr>
            </w:pPr>
            <w:proofErr w:type="spellStart"/>
            <w:r w:rsidRPr="00872FD9">
              <w:rPr>
                <w:rFonts w:ascii="Arial" w:hAnsi="Arial" w:cs="Arial"/>
                <w:sz w:val="18"/>
                <w:szCs w:val="18"/>
              </w:rPr>
              <w:t>Λοι</w:t>
            </w:r>
            <w:proofErr w:type="spellEnd"/>
            <w:r w:rsidRPr="00872FD9">
              <w:rPr>
                <w:rFonts w:ascii="Arial" w:hAnsi="Arial" w:cs="Arial"/>
                <w:sz w:val="18"/>
                <w:szCs w:val="18"/>
              </w:rPr>
              <w:t>πές βρα</w:t>
            </w:r>
            <w:proofErr w:type="spellStart"/>
            <w:r w:rsidRPr="00872FD9">
              <w:rPr>
                <w:rFonts w:ascii="Arial" w:hAnsi="Arial" w:cs="Arial"/>
                <w:sz w:val="18"/>
                <w:szCs w:val="18"/>
              </w:rPr>
              <w:t>χυ</w:t>
            </w:r>
            <w:proofErr w:type="spellEnd"/>
            <w:r w:rsidRPr="00872FD9">
              <w:rPr>
                <w:rFonts w:ascii="Arial" w:hAnsi="Arial" w:cs="Arial"/>
                <w:sz w:val="18"/>
                <w:szCs w:val="18"/>
              </w:rPr>
              <w:t>πρόθεσμες υπ</w:t>
            </w:r>
            <w:proofErr w:type="spellStart"/>
            <w:r w:rsidRPr="00872FD9">
              <w:rPr>
                <w:rFonts w:ascii="Arial" w:hAnsi="Arial" w:cs="Arial"/>
                <w:sz w:val="18"/>
                <w:szCs w:val="18"/>
              </w:rPr>
              <w:t>οχρεώσεις</w:t>
            </w:r>
            <w:proofErr w:type="spellEnd"/>
          </w:p>
        </w:tc>
        <w:tc>
          <w:tcPr>
            <w:tcW w:w="1985" w:type="dxa"/>
            <w:tcBorders>
              <w:top w:val="nil"/>
              <w:bottom w:val="single" w:sz="2" w:space="0" w:color="808080" w:themeColor="background1" w:themeShade="80"/>
            </w:tcBorders>
            <w:shd w:val="clear" w:color="auto" w:fill="FFFFFF" w:themeFill="background1"/>
            <w:vAlign w:val="center"/>
          </w:tcPr>
          <w:p w14:paraId="463DEFA0" w14:textId="7B3E0B25" w:rsidR="00E32C25" w:rsidRPr="00872FD9" w:rsidRDefault="00E32C25" w:rsidP="00E32C25">
            <w:pPr>
              <w:pStyle w:val="ColorfulList-Accent11"/>
              <w:tabs>
                <w:tab w:val="left" w:pos="0"/>
                <w:tab w:val="left" w:pos="284"/>
              </w:tabs>
              <w:ind w:left="0" w:right="-90"/>
              <w:jc w:val="right"/>
              <w:rPr>
                <w:rFonts w:ascii="Arial" w:hAnsi="Arial" w:cs="Arial"/>
                <w:color w:val="000000" w:themeColor="text1"/>
                <w:sz w:val="18"/>
                <w:szCs w:val="18"/>
                <w:lang w:val="el-GR"/>
              </w:rPr>
            </w:pPr>
            <w:r w:rsidRPr="00872FD9">
              <w:rPr>
                <w:rFonts w:ascii="Arial" w:hAnsi="Arial" w:cs="Arial"/>
                <w:color w:val="000000"/>
                <w:sz w:val="18"/>
                <w:szCs w:val="18"/>
              </w:rPr>
              <w:t>338</w:t>
            </w:r>
            <w:r w:rsidR="001E06AD" w:rsidRPr="00872FD9">
              <w:rPr>
                <w:rFonts w:ascii="Arial" w:hAnsi="Arial" w:cs="Arial"/>
                <w:color w:val="000000"/>
                <w:sz w:val="18"/>
                <w:szCs w:val="18"/>
              </w:rPr>
              <w:t>,</w:t>
            </w:r>
            <w:r w:rsidRPr="00872FD9">
              <w:rPr>
                <w:rFonts w:ascii="Arial" w:hAnsi="Arial" w:cs="Arial"/>
                <w:color w:val="000000"/>
                <w:sz w:val="18"/>
                <w:szCs w:val="18"/>
              </w:rPr>
              <w:t>7</w:t>
            </w:r>
          </w:p>
        </w:tc>
        <w:tc>
          <w:tcPr>
            <w:tcW w:w="2126" w:type="dxa"/>
            <w:tcBorders>
              <w:top w:val="nil"/>
              <w:bottom w:val="single" w:sz="2" w:space="0" w:color="808080" w:themeColor="background1" w:themeShade="80"/>
            </w:tcBorders>
            <w:shd w:val="clear" w:color="auto" w:fill="FFFFFF" w:themeFill="background1"/>
            <w:vAlign w:val="center"/>
          </w:tcPr>
          <w:p w14:paraId="511EA52A" w14:textId="74B377CB" w:rsidR="00E32C25" w:rsidRPr="00872FD9" w:rsidRDefault="00E32C25" w:rsidP="00E32C25">
            <w:pPr>
              <w:pStyle w:val="ColorfulList-Accent11"/>
              <w:tabs>
                <w:tab w:val="left" w:pos="0"/>
                <w:tab w:val="left" w:pos="284"/>
              </w:tabs>
              <w:ind w:left="0" w:right="-90"/>
              <w:jc w:val="right"/>
              <w:rPr>
                <w:rFonts w:ascii="Arial" w:hAnsi="Arial" w:cs="Arial"/>
                <w:b/>
                <w:color w:val="000000" w:themeColor="text1"/>
                <w:sz w:val="18"/>
                <w:szCs w:val="18"/>
              </w:rPr>
            </w:pPr>
            <w:r w:rsidRPr="00872FD9">
              <w:rPr>
                <w:rFonts w:ascii="Arial" w:hAnsi="Arial" w:cs="Arial"/>
                <w:sz w:val="18"/>
                <w:szCs w:val="18"/>
              </w:rPr>
              <w:t>389</w:t>
            </w:r>
            <w:r w:rsidR="001E06AD" w:rsidRPr="00872FD9">
              <w:rPr>
                <w:rFonts w:ascii="Arial" w:hAnsi="Arial" w:cs="Arial"/>
                <w:sz w:val="18"/>
                <w:szCs w:val="18"/>
              </w:rPr>
              <w:t>,</w:t>
            </w:r>
            <w:r w:rsidRPr="00872FD9">
              <w:rPr>
                <w:rFonts w:ascii="Arial" w:hAnsi="Arial" w:cs="Arial"/>
                <w:sz w:val="18"/>
                <w:szCs w:val="18"/>
              </w:rPr>
              <w:t>4</w:t>
            </w:r>
          </w:p>
        </w:tc>
      </w:tr>
      <w:tr w:rsidR="00E32C25" w:rsidRPr="00872FD9" w14:paraId="62A5A5EB" w14:textId="77777777" w:rsidTr="00872FD9">
        <w:trPr>
          <w:trHeight w:val="163"/>
        </w:trPr>
        <w:tc>
          <w:tcPr>
            <w:tcW w:w="6379" w:type="dxa"/>
            <w:tcBorders>
              <w:top w:val="single" w:sz="2" w:space="0" w:color="808080" w:themeColor="background1" w:themeShade="80"/>
              <w:bottom w:val="single" w:sz="2" w:space="0" w:color="808080" w:themeColor="background1" w:themeShade="80"/>
            </w:tcBorders>
            <w:shd w:val="clear" w:color="auto" w:fill="F2F2F2" w:themeFill="background1" w:themeFillShade="F2"/>
          </w:tcPr>
          <w:p w14:paraId="0373200F" w14:textId="18F31003" w:rsidR="00E32C25" w:rsidRPr="00872FD9" w:rsidRDefault="00E32C25" w:rsidP="00E32C25">
            <w:pPr>
              <w:pStyle w:val="ColorfulList-Accent11"/>
              <w:tabs>
                <w:tab w:val="left" w:pos="0"/>
                <w:tab w:val="left" w:pos="284"/>
              </w:tabs>
              <w:ind w:left="0" w:right="-90"/>
              <w:rPr>
                <w:rFonts w:ascii="Arial" w:hAnsi="Arial" w:cs="Arial"/>
                <w:b/>
                <w:color w:val="000000" w:themeColor="text1"/>
                <w:sz w:val="18"/>
                <w:szCs w:val="18"/>
              </w:rPr>
            </w:pPr>
            <w:r w:rsidRPr="00872FD9">
              <w:rPr>
                <w:rFonts w:ascii="Arial" w:hAnsi="Arial" w:cs="Arial"/>
                <w:b/>
                <w:bCs/>
                <w:sz w:val="18"/>
                <w:szCs w:val="18"/>
                <w:lang w:val="el-GR"/>
              </w:rPr>
              <w:t>Σύνολο βραχυπρόθεσμων υποχρεώσεων</w:t>
            </w:r>
          </w:p>
        </w:tc>
        <w:tc>
          <w:tcPr>
            <w:tcW w:w="1985" w:type="dxa"/>
            <w:tcBorders>
              <w:top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40A4F18F" w14:textId="5060DADB" w:rsidR="00E32C25" w:rsidRPr="00872FD9" w:rsidRDefault="00E32C25" w:rsidP="00E32C25">
            <w:pPr>
              <w:pStyle w:val="ColorfulList-Accent11"/>
              <w:tabs>
                <w:tab w:val="left" w:pos="0"/>
                <w:tab w:val="left" w:pos="284"/>
              </w:tabs>
              <w:ind w:left="0" w:right="-90"/>
              <w:jc w:val="right"/>
              <w:rPr>
                <w:rFonts w:ascii="Arial" w:hAnsi="Arial" w:cs="Arial"/>
                <w:b/>
                <w:color w:val="000000" w:themeColor="text1"/>
                <w:sz w:val="18"/>
                <w:szCs w:val="18"/>
                <w:lang w:val="el-GR"/>
              </w:rPr>
            </w:pPr>
            <w:r w:rsidRPr="00872FD9">
              <w:rPr>
                <w:rFonts w:ascii="Arial" w:hAnsi="Arial" w:cs="Arial"/>
                <w:b/>
                <w:bCs/>
                <w:color w:val="000000"/>
                <w:sz w:val="18"/>
                <w:szCs w:val="18"/>
              </w:rPr>
              <w:t>2</w:t>
            </w:r>
            <w:r w:rsidR="001E06AD" w:rsidRPr="00872FD9">
              <w:rPr>
                <w:rFonts w:ascii="Arial" w:hAnsi="Arial" w:cs="Arial"/>
                <w:b/>
                <w:bCs/>
                <w:color w:val="000000"/>
                <w:sz w:val="18"/>
                <w:szCs w:val="18"/>
              </w:rPr>
              <w:t>.</w:t>
            </w:r>
            <w:r w:rsidRPr="00872FD9">
              <w:rPr>
                <w:rFonts w:ascii="Arial" w:hAnsi="Arial" w:cs="Arial"/>
                <w:b/>
                <w:bCs/>
                <w:color w:val="000000"/>
                <w:sz w:val="18"/>
                <w:szCs w:val="18"/>
              </w:rPr>
              <w:t>124</w:t>
            </w:r>
            <w:r w:rsidR="001E06AD" w:rsidRPr="00872FD9">
              <w:rPr>
                <w:rFonts w:ascii="Arial" w:hAnsi="Arial" w:cs="Arial"/>
                <w:b/>
                <w:bCs/>
                <w:color w:val="000000"/>
                <w:sz w:val="18"/>
                <w:szCs w:val="18"/>
              </w:rPr>
              <w:t>,</w:t>
            </w:r>
            <w:r w:rsidRPr="00872FD9">
              <w:rPr>
                <w:rFonts w:ascii="Arial" w:hAnsi="Arial" w:cs="Arial"/>
                <w:b/>
                <w:bCs/>
                <w:color w:val="000000"/>
                <w:sz w:val="18"/>
                <w:szCs w:val="18"/>
              </w:rPr>
              <w:t>6</w:t>
            </w:r>
          </w:p>
        </w:tc>
        <w:tc>
          <w:tcPr>
            <w:tcW w:w="2126" w:type="dxa"/>
            <w:tcBorders>
              <w:top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12D3CE7F" w14:textId="04350DB0" w:rsidR="00E32C25" w:rsidRPr="00872FD9" w:rsidRDefault="00E32C25" w:rsidP="00E32C25">
            <w:pPr>
              <w:pStyle w:val="ColorfulList-Accent11"/>
              <w:tabs>
                <w:tab w:val="left" w:pos="0"/>
                <w:tab w:val="left" w:pos="284"/>
              </w:tabs>
              <w:ind w:left="0" w:right="-90"/>
              <w:jc w:val="right"/>
              <w:rPr>
                <w:rFonts w:ascii="Arial" w:hAnsi="Arial" w:cs="Arial"/>
                <w:b/>
                <w:color w:val="000000" w:themeColor="text1"/>
                <w:sz w:val="18"/>
                <w:szCs w:val="18"/>
              </w:rPr>
            </w:pPr>
            <w:r w:rsidRPr="00872FD9">
              <w:rPr>
                <w:rFonts w:ascii="Arial" w:hAnsi="Arial" w:cs="Arial"/>
                <w:b/>
                <w:sz w:val="18"/>
                <w:szCs w:val="18"/>
              </w:rPr>
              <w:t>1</w:t>
            </w:r>
            <w:r w:rsidR="001E06AD" w:rsidRPr="00872FD9">
              <w:rPr>
                <w:rFonts w:ascii="Arial" w:hAnsi="Arial" w:cs="Arial"/>
                <w:b/>
                <w:sz w:val="18"/>
                <w:szCs w:val="18"/>
              </w:rPr>
              <w:t>.</w:t>
            </w:r>
            <w:r w:rsidRPr="00872FD9">
              <w:rPr>
                <w:rFonts w:ascii="Arial" w:hAnsi="Arial" w:cs="Arial"/>
                <w:b/>
                <w:sz w:val="18"/>
                <w:szCs w:val="18"/>
                <w:lang w:val="el-GR"/>
              </w:rPr>
              <w:t>64</w:t>
            </w:r>
            <w:r w:rsidRPr="00872FD9">
              <w:rPr>
                <w:rFonts w:ascii="Arial" w:hAnsi="Arial" w:cs="Arial"/>
                <w:b/>
                <w:sz w:val="18"/>
                <w:szCs w:val="18"/>
              </w:rPr>
              <w:t>7</w:t>
            </w:r>
            <w:r w:rsidR="001E06AD" w:rsidRPr="00872FD9">
              <w:rPr>
                <w:rFonts w:ascii="Arial" w:hAnsi="Arial" w:cs="Arial"/>
                <w:b/>
                <w:sz w:val="18"/>
                <w:szCs w:val="18"/>
              </w:rPr>
              <w:t>,</w:t>
            </w:r>
            <w:r w:rsidRPr="00872FD9">
              <w:rPr>
                <w:rFonts w:ascii="Arial" w:hAnsi="Arial" w:cs="Arial"/>
                <w:b/>
                <w:sz w:val="18"/>
                <w:szCs w:val="18"/>
              </w:rPr>
              <w:t>4</w:t>
            </w:r>
          </w:p>
        </w:tc>
      </w:tr>
      <w:tr w:rsidR="00E32C25" w:rsidRPr="00872FD9" w14:paraId="3749D7D2" w14:textId="77777777" w:rsidTr="00872FD9">
        <w:trPr>
          <w:trHeight w:val="47"/>
        </w:trPr>
        <w:tc>
          <w:tcPr>
            <w:tcW w:w="6379" w:type="dxa"/>
            <w:tcBorders>
              <w:top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1E7954D2" w14:textId="2AFCF853" w:rsidR="00E32C25" w:rsidRPr="00872FD9" w:rsidRDefault="00E32C25" w:rsidP="00E32C25">
            <w:pPr>
              <w:pStyle w:val="Default"/>
              <w:rPr>
                <w:rFonts w:ascii="Arial" w:hAnsi="Arial" w:cs="Arial"/>
                <w:sz w:val="18"/>
                <w:szCs w:val="18"/>
                <w:lang w:val="el-GR"/>
              </w:rPr>
            </w:pPr>
            <w:r w:rsidRPr="00872FD9">
              <w:rPr>
                <w:rFonts w:ascii="Arial" w:hAnsi="Arial" w:cs="Arial"/>
                <w:sz w:val="18"/>
                <w:szCs w:val="18"/>
                <w:lang w:val="el-GR"/>
              </w:rPr>
              <w:t xml:space="preserve">Υποχρεώσεις ομάδας στοιχείων κατεχόμενων προς πώληση </w:t>
            </w:r>
          </w:p>
        </w:tc>
        <w:tc>
          <w:tcPr>
            <w:tcW w:w="1985" w:type="dxa"/>
            <w:tcBorders>
              <w:top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2FB7C02D" w14:textId="71DF1EFA" w:rsidR="00E32C25" w:rsidRPr="00872FD9" w:rsidRDefault="00E32C25" w:rsidP="00E32C25">
            <w:pPr>
              <w:pStyle w:val="ColorfulList-Accent11"/>
              <w:tabs>
                <w:tab w:val="left" w:pos="0"/>
                <w:tab w:val="left" w:pos="284"/>
              </w:tabs>
              <w:ind w:left="0" w:right="-90"/>
              <w:jc w:val="right"/>
              <w:rPr>
                <w:rFonts w:ascii="Arial" w:hAnsi="Arial" w:cs="Arial"/>
                <w:b/>
                <w:sz w:val="18"/>
                <w:szCs w:val="18"/>
                <w:lang w:val="el-GR"/>
              </w:rPr>
            </w:pPr>
            <w:r w:rsidRPr="00872FD9">
              <w:rPr>
                <w:rFonts w:ascii="Arial" w:hAnsi="Arial" w:cs="Arial"/>
                <w:color w:val="000000"/>
                <w:sz w:val="18"/>
                <w:szCs w:val="18"/>
              </w:rPr>
              <w:t>140</w:t>
            </w:r>
            <w:r w:rsidR="001E06AD" w:rsidRPr="00872FD9">
              <w:rPr>
                <w:rFonts w:ascii="Arial" w:hAnsi="Arial" w:cs="Arial"/>
                <w:color w:val="000000"/>
                <w:sz w:val="18"/>
                <w:szCs w:val="18"/>
              </w:rPr>
              <w:t>,</w:t>
            </w:r>
            <w:r w:rsidRPr="00872FD9">
              <w:rPr>
                <w:rFonts w:ascii="Arial" w:hAnsi="Arial" w:cs="Arial"/>
                <w:color w:val="000000"/>
                <w:sz w:val="18"/>
                <w:szCs w:val="18"/>
              </w:rPr>
              <w:t>7</w:t>
            </w:r>
          </w:p>
        </w:tc>
        <w:tc>
          <w:tcPr>
            <w:tcW w:w="2126" w:type="dxa"/>
            <w:tcBorders>
              <w:top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3754478E" w14:textId="0573AABA" w:rsidR="00E32C25" w:rsidRPr="00872FD9" w:rsidRDefault="00E32C25" w:rsidP="00E32C25">
            <w:pPr>
              <w:pStyle w:val="ColorfulList-Accent11"/>
              <w:tabs>
                <w:tab w:val="left" w:pos="0"/>
                <w:tab w:val="left" w:pos="284"/>
              </w:tabs>
              <w:ind w:left="0" w:right="-90"/>
              <w:jc w:val="right"/>
              <w:rPr>
                <w:rFonts w:ascii="Arial" w:hAnsi="Arial" w:cs="Arial"/>
                <w:b/>
                <w:sz w:val="18"/>
                <w:szCs w:val="18"/>
                <w:lang w:val="el-GR"/>
              </w:rPr>
            </w:pPr>
            <w:r w:rsidRPr="00872FD9">
              <w:rPr>
                <w:rFonts w:ascii="Arial" w:hAnsi="Arial" w:cs="Arial"/>
                <w:b/>
                <w:sz w:val="18"/>
                <w:szCs w:val="18"/>
              </w:rPr>
              <w:t>-</w:t>
            </w:r>
          </w:p>
        </w:tc>
      </w:tr>
      <w:tr w:rsidR="00E32C25" w:rsidRPr="00872FD9" w14:paraId="62F4A6EA" w14:textId="77777777" w:rsidTr="00AF637A">
        <w:trPr>
          <w:trHeight w:val="256"/>
        </w:trPr>
        <w:tc>
          <w:tcPr>
            <w:tcW w:w="6379" w:type="dxa"/>
            <w:tcBorders>
              <w:top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204E5932" w14:textId="7F00C4CC" w:rsidR="00E32C25" w:rsidRPr="00872FD9" w:rsidRDefault="00E32C25" w:rsidP="00E32C25">
            <w:pPr>
              <w:pStyle w:val="ColorfulList-Accent11"/>
              <w:tabs>
                <w:tab w:val="left" w:pos="0"/>
                <w:tab w:val="left" w:pos="284"/>
              </w:tabs>
              <w:ind w:left="0" w:right="-90"/>
              <w:rPr>
                <w:rFonts w:ascii="Arial" w:hAnsi="Arial" w:cs="Arial"/>
                <w:b/>
                <w:bCs/>
                <w:sz w:val="18"/>
                <w:szCs w:val="18"/>
                <w:lang w:val="el-GR"/>
              </w:rPr>
            </w:pPr>
            <w:r w:rsidRPr="00872FD9">
              <w:rPr>
                <w:rFonts w:ascii="Arial" w:hAnsi="Arial" w:cs="Arial"/>
                <w:b/>
                <w:bCs/>
                <w:sz w:val="18"/>
                <w:szCs w:val="18"/>
                <w:lang w:val="el-GR"/>
              </w:rPr>
              <w:t>Σύνολο υποχρεώσεων</w:t>
            </w:r>
          </w:p>
        </w:tc>
        <w:tc>
          <w:tcPr>
            <w:tcW w:w="1985" w:type="dxa"/>
            <w:tcBorders>
              <w:top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78C0873C" w14:textId="7BA9CBB7" w:rsidR="00E32C25" w:rsidRPr="00872FD9" w:rsidRDefault="00E32C25" w:rsidP="00E32C25">
            <w:pPr>
              <w:pStyle w:val="ColorfulList-Accent11"/>
              <w:tabs>
                <w:tab w:val="left" w:pos="0"/>
                <w:tab w:val="left" w:pos="284"/>
              </w:tabs>
              <w:ind w:left="0" w:right="-90"/>
              <w:jc w:val="right"/>
              <w:rPr>
                <w:rFonts w:ascii="Arial" w:hAnsi="Arial" w:cs="Arial"/>
                <w:b/>
                <w:color w:val="000000" w:themeColor="text1"/>
                <w:sz w:val="18"/>
                <w:szCs w:val="18"/>
              </w:rPr>
            </w:pPr>
            <w:r w:rsidRPr="00872FD9">
              <w:rPr>
                <w:rFonts w:ascii="Arial" w:hAnsi="Arial" w:cs="Arial"/>
                <w:b/>
                <w:sz w:val="18"/>
                <w:szCs w:val="18"/>
              </w:rPr>
              <w:t>3</w:t>
            </w:r>
            <w:r w:rsidR="001E06AD" w:rsidRPr="00872FD9">
              <w:rPr>
                <w:rFonts w:ascii="Arial" w:hAnsi="Arial" w:cs="Arial"/>
                <w:b/>
                <w:sz w:val="18"/>
                <w:szCs w:val="18"/>
              </w:rPr>
              <w:t>.</w:t>
            </w:r>
            <w:r w:rsidRPr="00872FD9">
              <w:rPr>
                <w:rFonts w:ascii="Arial" w:hAnsi="Arial" w:cs="Arial"/>
                <w:b/>
                <w:sz w:val="18"/>
                <w:szCs w:val="18"/>
              </w:rPr>
              <w:t>069</w:t>
            </w:r>
            <w:r w:rsidR="001E06AD" w:rsidRPr="00872FD9">
              <w:rPr>
                <w:rFonts w:ascii="Arial" w:hAnsi="Arial" w:cs="Arial"/>
                <w:b/>
                <w:sz w:val="18"/>
                <w:szCs w:val="18"/>
              </w:rPr>
              <w:t>,</w:t>
            </w:r>
            <w:r w:rsidRPr="00872FD9">
              <w:rPr>
                <w:rFonts w:ascii="Arial" w:hAnsi="Arial" w:cs="Arial"/>
                <w:b/>
                <w:sz w:val="18"/>
                <w:szCs w:val="18"/>
              </w:rPr>
              <w:t>5</w:t>
            </w:r>
          </w:p>
        </w:tc>
        <w:tc>
          <w:tcPr>
            <w:tcW w:w="2126" w:type="dxa"/>
            <w:tcBorders>
              <w:top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0D111238" w14:textId="5D6D3404" w:rsidR="00E32C25" w:rsidRPr="00872FD9" w:rsidRDefault="00E32C25" w:rsidP="00E32C25">
            <w:pPr>
              <w:pStyle w:val="ColorfulList-Accent11"/>
              <w:tabs>
                <w:tab w:val="left" w:pos="0"/>
                <w:tab w:val="left" w:pos="284"/>
              </w:tabs>
              <w:ind w:left="0" w:right="-90"/>
              <w:jc w:val="right"/>
              <w:rPr>
                <w:rFonts w:ascii="Arial" w:hAnsi="Arial" w:cs="Arial"/>
                <w:b/>
                <w:color w:val="000000" w:themeColor="text1"/>
                <w:sz w:val="18"/>
                <w:szCs w:val="18"/>
              </w:rPr>
            </w:pPr>
            <w:r w:rsidRPr="00872FD9">
              <w:rPr>
                <w:rFonts w:ascii="Arial" w:hAnsi="Arial" w:cs="Arial"/>
                <w:b/>
                <w:sz w:val="18"/>
                <w:szCs w:val="18"/>
              </w:rPr>
              <w:t>3</w:t>
            </w:r>
            <w:r w:rsidR="001E06AD" w:rsidRPr="00872FD9">
              <w:rPr>
                <w:rFonts w:ascii="Arial" w:hAnsi="Arial" w:cs="Arial"/>
                <w:b/>
                <w:sz w:val="18"/>
                <w:szCs w:val="18"/>
              </w:rPr>
              <w:t>.</w:t>
            </w:r>
            <w:r w:rsidRPr="00872FD9">
              <w:rPr>
                <w:rFonts w:ascii="Arial" w:hAnsi="Arial" w:cs="Arial"/>
                <w:b/>
                <w:sz w:val="18"/>
                <w:szCs w:val="18"/>
              </w:rPr>
              <w:t>030</w:t>
            </w:r>
            <w:r w:rsidR="001E06AD" w:rsidRPr="00872FD9">
              <w:rPr>
                <w:rFonts w:ascii="Arial" w:hAnsi="Arial" w:cs="Arial"/>
                <w:b/>
                <w:sz w:val="18"/>
                <w:szCs w:val="18"/>
              </w:rPr>
              <w:t>,</w:t>
            </w:r>
            <w:r w:rsidRPr="00872FD9">
              <w:rPr>
                <w:rFonts w:ascii="Arial" w:hAnsi="Arial" w:cs="Arial"/>
                <w:b/>
                <w:sz w:val="18"/>
                <w:szCs w:val="18"/>
              </w:rPr>
              <w:t>3</w:t>
            </w:r>
          </w:p>
        </w:tc>
      </w:tr>
      <w:tr w:rsidR="00E32C25" w:rsidRPr="00872FD9" w14:paraId="057A57F3" w14:textId="77777777" w:rsidTr="0009084A">
        <w:trPr>
          <w:trHeight w:val="256"/>
        </w:trPr>
        <w:tc>
          <w:tcPr>
            <w:tcW w:w="6379" w:type="dxa"/>
            <w:tcBorders>
              <w:top w:val="single" w:sz="2" w:space="0" w:color="808080" w:themeColor="background1" w:themeShade="80"/>
              <w:bottom w:val="single" w:sz="2" w:space="0" w:color="808080" w:themeColor="background1" w:themeShade="80"/>
            </w:tcBorders>
            <w:shd w:val="clear" w:color="auto" w:fill="D9D9D9" w:themeFill="background1" w:themeFillShade="D9"/>
            <w:vAlign w:val="center"/>
          </w:tcPr>
          <w:p w14:paraId="5021A734" w14:textId="3FB9F943" w:rsidR="00E32C25" w:rsidRPr="00872FD9" w:rsidRDefault="00E32C25" w:rsidP="00E32C25">
            <w:pPr>
              <w:pStyle w:val="ColorfulList-Accent11"/>
              <w:tabs>
                <w:tab w:val="left" w:pos="0"/>
                <w:tab w:val="left" w:pos="284"/>
              </w:tabs>
              <w:ind w:left="0" w:right="-90"/>
              <w:rPr>
                <w:rFonts w:ascii="Arial" w:hAnsi="Arial" w:cs="Arial"/>
                <w:b/>
                <w:color w:val="000000" w:themeColor="text1"/>
                <w:sz w:val="18"/>
                <w:szCs w:val="18"/>
                <w:lang w:val="el-GR"/>
              </w:rPr>
            </w:pPr>
            <w:r w:rsidRPr="00872FD9">
              <w:rPr>
                <w:rFonts w:ascii="Arial" w:hAnsi="Arial" w:cs="Arial"/>
                <w:b/>
                <w:sz w:val="18"/>
                <w:szCs w:val="18"/>
                <w:lang w:val="el-GR"/>
              </w:rPr>
              <w:t>ΣΥΝΟΛΟ ΙΔΙΩΝ ΚΕΦΑΛΑΙΩΝ ΚΑΙ ΥΠΟΧΡΕΩΣΕΩΝ</w:t>
            </w:r>
          </w:p>
        </w:tc>
        <w:tc>
          <w:tcPr>
            <w:tcW w:w="1985" w:type="dxa"/>
            <w:tcBorders>
              <w:top w:val="single" w:sz="2" w:space="0" w:color="808080" w:themeColor="background1" w:themeShade="80"/>
              <w:bottom w:val="single" w:sz="2" w:space="0" w:color="808080" w:themeColor="background1" w:themeShade="80"/>
            </w:tcBorders>
            <w:shd w:val="clear" w:color="auto" w:fill="D9D9D9" w:themeFill="background1" w:themeFillShade="D9"/>
            <w:vAlign w:val="center"/>
          </w:tcPr>
          <w:p w14:paraId="7801E283" w14:textId="381F9C86" w:rsidR="00E32C25" w:rsidRPr="00872FD9" w:rsidRDefault="00E32C25" w:rsidP="00E32C25">
            <w:pPr>
              <w:pStyle w:val="ColorfulList-Accent11"/>
              <w:tabs>
                <w:tab w:val="left" w:pos="0"/>
                <w:tab w:val="left" w:pos="284"/>
              </w:tabs>
              <w:ind w:left="0" w:right="-90"/>
              <w:jc w:val="right"/>
              <w:rPr>
                <w:rFonts w:ascii="Arial" w:hAnsi="Arial" w:cs="Arial"/>
                <w:b/>
                <w:color w:val="000000" w:themeColor="text1"/>
                <w:sz w:val="18"/>
                <w:szCs w:val="18"/>
                <w:lang w:val="el-GR"/>
              </w:rPr>
            </w:pPr>
            <w:r w:rsidRPr="00872FD9">
              <w:rPr>
                <w:rFonts w:ascii="Arial" w:hAnsi="Arial" w:cs="Arial"/>
                <w:b/>
                <w:bCs/>
                <w:color w:val="000000"/>
                <w:sz w:val="18"/>
                <w:szCs w:val="18"/>
                <w:lang w:val="el-GR"/>
              </w:rPr>
              <w:t xml:space="preserve">                      </w:t>
            </w:r>
            <w:r w:rsidRPr="00872FD9">
              <w:rPr>
                <w:rFonts w:ascii="Arial" w:hAnsi="Arial" w:cs="Arial"/>
                <w:b/>
                <w:bCs/>
                <w:color w:val="000000"/>
                <w:sz w:val="18"/>
                <w:szCs w:val="18"/>
              </w:rPr>
              <w:t>5</w:t>
            </w:r>
            <w:r w:rsidR="001E06AD" w:rsidRPr="00872FD9">
              <w:rPr>
                <w:rFonts w:ascii="Arial" w:hAnsi="Arial" w:cs="Arial"/>
                <w:b/>
                <w:bCs/>
                <w:color w:val="000000"/>
                <w:sz w:val="18"/>
                <w:szCs w:val="18"/>
              </w:rPr>
              <w:t>.</w:t>
            </w:r>
            <w:r w:rsidRPr="00872FD9">
              <w:rPr>
                <w:rFonts w:ascii="Arial" w:hAnsi="Arial" w:cs="Arial"/>
                <w:b/>
                <w:bCs/>
                <w:color w:val="000000"/>
                <w:sz w:val="18"/>
                <w:szCs w:val="18"/>
              </w:rPr>
              <w:t>119</w:t>
            </w:r>
            <w:r w:rsidR="001E06AD" w:rsidRPr="00872FD9">
              <w:rPr>
                <w:rFonts w:ascii="Arial" w:hAnsi="Arial" w:cs="Arial"/>
                <w:b/>
                <w:bCs/>
                <w:color w:val="000000"/>
                <w:sz w:val="18"/>
                <w:szCs w:val="18"/>
              </w:rPr>
              <w:t>,</w:t>
            </w:r>
            <w:r w:rsidRPr="00872FD9">
              <w:rPr>
                <w:rFonts w:ascii="Arial" w:hAnsi="Arial" w:cs="Arial"/>
                <w:b/>
                <w:bCs/>
                <w:color w:val="000000"/>
                <w:sz w:val="18"/>
                <w:szCs w:val="18"/>
              </w:rPr>
              <w:t>9</w:t>
            </w:r>
          </w:p>
        </w:tc>
        <w:tc>
          <w:tcPr>
            <w:tcW w:w="2126" w:type="dxa"/>
            <w:tcBorders>
              <w:top w:val="single" w:sz="2" w:space="0" w:color="808080" w:themeColor="background1" w:themeShade="80"/>
              <w:bottom w:val="single" w:sz="2" w:space="0" w:color="808080" w:themeColor="background1" w:themeShade="80"/>
            </w:tcBorders>
            <w:shd w:val="clear" w:color="auto" w:fill="D9D9D9" w:themeFill="background1" w:themeFillShade="D9"/>
            <w:vAlign w:val="center"/>
          </w:tcPr>
          <w:p w14:paraId="7B5BA29D" w14:textId="26097F3D" w:rsidR="00E32C25" w:rsidRPr="00872FD9" w:rsidRDefault="00E32C25" w:rsidP="00E32C25">
            <w:pPr>
              <w:pStyle w:val="ColorfulList-Accent11"/>
              <w:tabs>
                <w:tab w:val="left" w:pos="0"/>
                <w:tab w:val="left" w:pos="284"/>
              </w:tabs>
              <w:ind w:left="0" w:right="-90"/>
              <w:jc w:val="right"/>
              <w:rPr>
                <w:rFonts w:ascii="Arial" w:hAnsi="Arial" w:cs="Arial"/>
                <w:b/>
                <w:color w:val="000000" w:themeColor="text1"/>
                <w:sz w:val="18"/>
                <w:szCs w:val="18"/>
              </w:rPr>
            </w:pPr>
            <w:r w:rsidRPr="00872FD9">
              <w:rPr>
                <w:rFonts w:ascii="Arial" w:hAnsi="Arial" w:cs="Arial"/>
                <w:b/>
                <w:sz w:val="18"/>
                <w:szCs w:val="18"/>
              </w:rPr>
              <w:t xml:space="preserve">          </w:t>
            </w:r>
            <w:r w:rsidRPr="00872FD9">
              <w:rPr>
                <w:rFonts w:ascii="Arial" w:hAnsi="Arial" w:cs="Arial"/>
                <w:b/>
                <w:sz w:val="18"/>
                <w:szCs w:val="18"/>
                <w:lang w:val="el-GR"/>
              </w:rPr>
              <w:t>4</w:t>
            </w:r>
            <w:r w:rsidR="001E06AD" w:rsidRPr="00872FD9">
              <w:rPr>
                <w:rFonts w:ascii="Arial" w:hAnsi="Arial" w:cs="Arial"/>
                <w:b/>
                <w:sz w:val="18"/>
                <w:szCs w:val="18"/>
                <w:lang w:val="el-GR"/>
              </w:rPr>
              <w:t>.</w:t>
            </w:r>
            <w:r w:rsidRPr="00872FD9">
              <w:rPr>
                <w:rFonts w:ascii="Arial" w:hAnsi="Arial" w:cs="Arial"/>
                <w:b/>
                <w:sz w:val="18"/>
                <w:szCs w:val="18"/>
                <w:lang w:val="el-GR"/>
              </w:rPr>
              <w:t>995</w:t>
            </w:r>
            <w:r w:rsidR="001E06AD" w:rsidRPr="00872FD9">
              <w:rPr>
                <w:rFonts w:ascii="Arial" w:hAnsi="Arial" w:cs="Arial"/>
                <w:b/>
                <w:sz w:val="18"/>
                <w:szCs w:val="18"/>
              </w:rPr>
              <w:t>,</w:t>
            </w:r>
            <w:r w:rsidRPr="00872FD9">
              <w:rPr>
                <w:rFonts w:ascii="Arial" w:hAnsi="Arial" w:cs="Arial"/>
                <w:b/>
                <w:sz w:val="18"/>
                <w:szCs w:val="18"/>
                <w:lang w:val="el-GR"/>
              </w:rPr>
              <w:t>2</w:t>
            </w:r>
          </w:p>
        </w:tc>
      </w:tr>
    </w:tbl>
    <w:p w14:paraId="4C00D981" w14:textId="7552A4DB" w:rsidR="006C4A28" w:rsidRPr="00FB20CB" w:rsidRDefault="006C4A28" w:rsidP="00097EA2">
      <w:pPr>
        <w:pStyle w:val="Normal2"/>
        <w:numPr>
          <w:ilvl w:val="0"/>
          <w:numId w:val="0"/>
        </w:numPr>
        <w:tabs>
          <w:tab w:val="num" w:pos="709"/>
        </w:tabs>
        <w:ind w:left="567" w:hanging="283"/>
        <w:rPr>
          <w:rFonts w:cs="Arial"/>
        </w:rPr>
      </w:pPr>
      <w:proofErr w:type="gramStart"/>
      <w:r w:rsidRPr="00FB20CB">
        <w:rPr>
          <w:rFonts w:cs="Arial"/>
        </w:rPr>
        <w:lastRenderedPageBreak/>
        <w:t>ΙΙΙ .</w:t>
      </w:r>
      <w:proofErr w:type="gramEnd"/>
      <w:r w:rsidRPr="00FB20CB">
        <w:rPr>
          <w:rFonts w:cs="Arial"/>
        </w:rPr>
        <w:t xml:space="preserve"> ΕΝΟΠΟΙΗΜΕΝΗ ΚΑΤΑΣΤΑΣΗ ΑΠΟΤΕΛΕΣΜΑΤΩΝ </w:t>
      </w:r>
    </w:p>
    <w:tbl>
      <w:tblPr>
        <w:tblStyle w:val="TableGrid"/>
        <w:tblW w:w="104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95"/>
        <w:gridCol w:w="1072"/>
        <w:gridCol w:w="1103"/>
        <w:gridCol w:w="1183"/>
        <w:gridCol w:w="1183"/>
        <w:gridCol w:w="1183"/>
        <w:gridCol w:w="1183"/>
      </w:tblGrid>
      <w:tr w:rsidR="00865185" w:rsidRPr="00CA6E28" w14:paraId="2ACBEB04" w14:textId="77777777" w:rsidTr="00CA6E28">
        <w:trPr>
          <w:trHeight w:val="315"/>
        </w:trPr>
        <w:tc>
          <w:tcPr>
            <w:tcW w:w="3495" w:type="dxa"/>
            <w:tcBorders>
              <w:bottom w:val="single" w:sz="2" w:space="0" w:color="808080" w:themeColor="background1" w:themeShade="80"/>
            </w:tcBorders>
            <w:vAlign w:val="center"/>
          </w:tcPr>
          <w:p w14:paraId="02E99F7C" w14:textId="759DABF0" w:rsidR="00865185" w:rsidRPr="00CA6E28" w:rsidRDefault="00865185" w:rsidP="00865185">
            <w:pPr>
              <w:pStyle w:val="ColorfulList-Accent11"/>
              <w:tabs>
                <w:tab w:val="left" w:pos="0"/>
                <w:tab w:val="left" w:pos="284"/>
              </w:tabs>
              <w:ind w:left="0" w:right="-90"/>
              <w:rPr>
                <w:rFonts w:ascii="Arial" w:hAnsi="Arial" w:cs="Arial"/>
                <w:b/>
                <w:sz w:val="18"/>
                <w:szCs w:val="18"/>
              </w:rPr>
            </w:pPr>
            <w:r w:rsidRPr="00CA6E28">
              <w:rPr>
                <w:rFonts w:ascii="Arial" w:hAnsi="Arial" w:cs="Arial"/>
                <w:b/>
                <w:sz w:val="18"/>
                <w:szCs w:val="18"/>
              </w:rPr>
              <w:t>(</w:t>
            </w:r>
            <w:r w:rsidRPr="00CA6E28">
              <w:rPr>
                <w:rFonts w:ascii="Arial" w:hAnsi="Arial" w:cs="Arial"/>
                <w:b/>
                <w:sz w:val="18"/>
                <w:szCs w:val="18"/>
                <w:lang w:val="el-GR"/>
              </w:rPr>
              <w:t>Ευρώ εκατ.</w:t>
            </w:r>
            <w:r w:rsidRPr="00CA6E28">
              <w:rPr>
                <w:rFonts w:ascii="Arial" w:hAnsi="Arial" w:cs="Arial"/>
                <w:b/>
                <w:sz w:val="18"/>
                <w:szCs w:val="18"/>
              </w:rPr>
              <w:t>)</w:t>
            </w:r>
          </w:p>
        </w:tc>
        <w:tc>
          <w:tcPr>
            <w:tcW w:w="1072" w:type="dxa"/>
            <w:tcBorders>
              <w:bottom w:val="single" w:sz="2" w:space="0" w:color="808080" w:themeColor="background1" w:themeShade="80"/>
            </w:tcBorders>
            <w:vAlign w:val="center"/>
          </w:tcPr>
          <w:p w14:paraId="610AB9C7" w14:textId="6AE10FBC" w:rsidR="00865185" w:rsidRPr="00CA6E28" w:rsidRDefault="00865185" w:rsidP="00865185">
            <w:pPr>
              <w:pStyle w:val="ColorfulList-Accent11"/>
              <w:tabs>
                <w:tab w:val="left" w:pos="0"/>
                <w:tab w:val="left" w:pos="284"/>
              </w:tabs>
              <w:ind w:left="0" w:right="-90"/>
              <w:jc w:val="center"/>
              <w:rPr>
                <w:rFonts w:ascii="Arial" w:hAnsi="Arial" w:cs="Arial"/>
                <w:i/>
                <w:sz w:val="18"/>
                <w:szCs w:val="18"/>
              </w:rPr>
            </w:pPr>
            <w:r w:rsidRPr="00CA6E28">
              <w:rPr>
                <w:rFonts w:ascii="Arial" w:hAnsi="Arial" w:cs="Arial"/>
                <w:b/>
                <w:sz w:val="18"/>
                <w:szCs w:val="18"/>
              </w:rPr>
              <w:t>Q3'25</w:t>
            </w:r>
          </w:p>
        </w:tc>
        <w:tc>
          <w:tcPr>
            <w:tcW w:w="1103" w:type="dxa"/>
            <w:tcBorders>
              <w:bottom w:val="single" w:sz="2" w:space="0" w:color="808080" w:themeColor="background1" w:themeShade="80"/>
            </w:tcBorders>
            <w:vAlign w:val="center"/>
          </w:tcPr>
          <w:p w14:paraId="7385FFDA" w14:textId="545FDCFB" w:rsidR="00865185" w:rsidRPr="00CA6E28" w:rsidRDefault="00865185" w:rsidP="00865185">
            <w:pPr>
              <w:pStyle w:val="ColorfulList-Accent11"/>
              <w:tabs>
                <w:tab w:val="left" w:pos="0"/>
                <w:tab w:val="left" w:pos="284"/>
              </w:tabs>
              <w:ind w:left="0" w:right="-90"/>
              <w:jc w:val="center"/>
              <w:rPr>
                <w:rFonts w:ascii="Arial" w:hAnsi="Arial" w:cs="Arial"/>
                <w:i/>
                <w:sz w:val="18"/>
                <w:szCs w:val="18"/>
              </w:rPr>
            </w:pPr>
            <w:r w:rsidRPr="00CA6E28">
              <w:rPr>
                <w:rFonts w:ascii="Arial" w:hAnsi="Arial" w:cs="Arial"/>
                <w:b/>
                <w:sz w:val="18"/>
                <w:szCs w:val="18"/>
              </w:rPr>
              <w:t>Q3'24</w:t>
            </w:r>
          </w:p>
        </w:tc>
        <w:tc>
          <w:tcPr>
            <w:tcW w:w="1183" w:type="dxa"/>
            <w:tcBorders>
              <w:bottom w:val="single" w:sz="2" w:space="0" w:color="808080" w:themeColor="background1" w:themeShade="80"/>
            </w:tcBorders>
            <w:vAlign w:val="center"/>
          </w:tcPr>
          <w:p w14:paraId="76B531FF" w14:textId="22C54E77" w:rsidR="00865185" w:rsidRPr="00CA6E28" w:rsidRDefault="00865185" w:rsidP="00865185">
            <w:pPr>
              <w:pStyle w:val="ColorfulList-Accent11"/>
              <w:tabs>
                <w:tab w:val="left" w:pos="0"/>
                <w:tab w:val="left" w:pos="284"/>
              </w:tabs>
              <w:ind w:left="0" w:right="-90"/>
              <w:jc w:val="center"/>
              <w:rPr>
                <w:rFonts w:ascii="Arial" w:hAnsi="Arial" w:cs="Arial"/>
                <w:i/>
                <w:sz w:val="18"/>
                <w:szCs w:val="18"/>
              </w:rPr>
            </w:pPr>
            <w:r w:rsidRPr="00CA6E28">
              <w:rPr>
                <w:rFonts w:ascii="Arial" w:hAnsi="Arial" w:cs="Arial"/>
                <w:b/>
                <w:sz w:val="18"/>
                <w:szCs w:val="18"/>
              </w:rPr>
              <w:t>y-o-y</w:t>
            </w:r>
          </w:p>
        </w:tc>
        <w:tc>
          <w:tcPr>
            <w:tcW w:w="1183" w:type="dxa"/>
            <w:tcBorders>
              <w:bottom w:val="single" w:sz="2" w:space="0" w:color="808080" w:themeColor="background1" w:themeShade="80"/>
            </w:tcBorders>
            <w:vAlign w:val="center"/>
          </w:tcPr>
          <w:p w14:paraId="204C01BE" w14:textId="2AC6AB33" w:rsidR="00865185" w:rsidRPr="00CA6E28" w:rsidRDefault="00865185" w:rsidP="00865185">
            <w:pPr>
              <w:pStyle w:val="ColorfulList-Accent11"/>
              <w:tabs>
                <w:tab w:val="left" w:pos="0"/>
                <w:tab w:val="left" w:pos="284"/>
              </w:tabs>
              <w:ind w:left="0" w:right="-90"/>
              <w:jc w:val="center"/>
              <w:rPr>
                <w:rFonts w:ascii="Arial" w:hAnsi="Arial" w:cs="Arial"/>
                <w:b/>
                <w:sz w:val="18"/>
                <w:szCs w:val="18"/>
              </w:rPr>
            </w:pPr>
            <w:r w:rsidRPr="00CA6E28">
              <w:rPr>
                <w:rFonts w:ascii="Arial" w:hAnsi="Arial" w:cs="Arial"/>
                <w:b/>
                <w:sz w:val="18"/>
                <w:szCs w:val="18"/>
              </w:rPr>
              <w:t>9M'25</w:t>
            </w:r>
          </w:p>
        </w:tc>
        <w:tc>
          <w:tcPr>
            <w:tcW w:w="1183" w:type="dxa"/>
            <w:tcBorders>
              <w:bottom w:val="single" w:sz="2" w:space="0" w:color="808080" w:themeColor="background1" w:themeShade="80"/>
            </w:tcBorders>
            <w:vAlign w:val="center"/>
          </w:tcPr>
          <w:p w14:paraId="1EEBA47A" w14:textId="4F2C227B" w:rsidR="00865185" w:rsidRPr="00CA6E28" w:rsidRDefault="00865185" w:rsidP="00865185">
            <w:pPr>
              <w:pStyle w:val="ColorfulList-Accent11"/>
              <w:tabs>
                <w:tab w:val="left" w:pos="0"/>
                <w:tab w:val="left" w:pos="284"/>
              </w:tabs>
              <w:ind w:left="0" w:right="-90"/>
              <w:jc w:val="center"/>
              <w:rPr>
                <w:rFonts w:ascii="Arial" w:hAnsi="Arial" w:cs="Arial"/>
                <w:b/>
                <w:sz w:val="18"/>
                <w:szCs w:val="18"/>
              </w:rPr>
            </w:pPr>
            <w:r w:rsidRPr="00CA6E28">
              <w:rPr>
                <w:rFonts w:ascii="Arial" w:hAnsi="Arial" w:cs="Arial"/>
                <w:b/>
                <w:sz w:val="18"/>
                <w:szCs w:val="18"/>
              </w:rPr>
              <w:t>9M'24</w:t>
            </w:r>
          </w:p>
        </w:tc>
        <w:tc>
          <w:tcPr>
            <w:tcW w:w="1183" w:type="dxa"/>
            <w:tcBorders>
              <w:bottom w:val="single" w:sz="2" w:space="0" w:color="808080" w:themeColor="background1" w:themeShade="80"/>
            </w:tcBorders>
            <w:vAlign w:val="center"/>
          </w:tcPr>
          <w:p w14:paraId="5111969D" w14:textId="384D7093" w:rsidR="00865185" w:rsidRPr="00CA6E28" w:rsidRDefault="00865185" w:rsidP="00865185">
            <w:pPr>
              <w:pStyle w:val="ColorfulList-Accent11"/>
              <w:tabs>
                <w:tab w:val="left" w:pos="0"/>
                <w:tab w:val="left" w:pos="284"/>
              </w:tabs>
              <w:ind w:left="0" w:right="-90"/>
              <w:jc w:val="center"/>
              <w:rPr>
                <w:rFonts w:ascii="Arial" w:hAnsi="Arial" w:cs="Arial"/>
                <w:b/>
                <w:sz w:val="18"/>
                <w:szCs w:val="18"/>
              </w:rPr>
            </w:pPr>
            <w:r w:rsidRPr="00CA6E28">
              <w:rPr>
                <w:rFonts w:ascii="Arial" w:hAnsi="Arial" w:cs="Arial"/>
                <w:b/>
                <w:sz w:val="18"/>
                <w:szCs w:val="18"/>
              </w:rPr>
              <w:t>y-o-y</w:t>
            </w:r>
          </w:p>
        </w:tc>
      </w:tr>
      <w:tr w:rsidR="002620CF" w:rsidRPr="00CA6E28" w14:paraId="2B5E9D75" w14:textId="77777777" w:rsidTr="002620CF">
        <w:trPr>
          <w:trHeight w:val="252"/>
        </w:trPr>
        <w:tc>
          <w:tcPr>
            <w:tcW w:w="3495" w:type="dxa"/>
            <w:tcBorders>
              <w:top w:val="single" w:sz="2" w:space="0" w:color="808080" w:themeColor="background1" w:themeShade="80"/>
              <w:right w:val="single" w:sz="2" w:space="0" w:color="808080" w:themeColor="background1" w:themeShade="80"/>
            </w:tcBorders>
            <w:vAlign w:val="center"/>
          </w:tcPr>
          <w:p w14:paraId="4E370081" w14:textId="1B99641F" w:rsidR="002620CF" w:rsidRPr="00CA6E28" w:rsidRDefault="002620CF" w:rsidP="002620CF">
            <w:pPr>
              <w:pStyle w:val="ColorfulList-Accent11"/>
              <w:tabs>
                <w:tab w:val="left" w:pos="0"/>
                <w:tab w:val="left" w:pos="284"/>
              </w:tabs>
              <w:ind w:left="0" w:right="-90"/>
              <w:rPr>
                <w:rFonts w:ascii="Arial" w:hAnsi="Arial" w:cs="Arial"/>
                <w:b/>
                <w:sz w:val="18"/>
                <w:szCs w:val="18"/>
              </w:rPr>
            </w:pPr>
            <w:r w:rsidRPr="00CA6E28">
              <w:rPr>
                <w:rFonts w:ascii="Arial" w:hAnsi="Arial" w:cs="Arial"/>
                <w:b/>
                <w:sz w:val="18"/>
                <w:szCs w:val="18"/>
                <w:lang w:val="el-GR"/>
              </w:rPr>
              <w:t>Σταθερή Τηλεφωνία</w:t>
            </w:r>
            <w:r w:rsidRPr="00CA6E28">
              <w:rPr>
                <w:rFonts w:ascii="Arial" w:hAnsi="Arial" w:cs="Arial"/>
                <w:b/>
                <w:sz w:val="18"/>
                <w:szCs w:val="18"/>
              </w:rPr>
              <w:t>:</w:t>
            </w:r>
          </w:p>
        </w:tc>
        <w:tc>
          <w:tcPr>
            <w:tcW w:w="1072" w:type="dxa"/>
            <w:tcBorders>
              <w:top w:val="single" w:sz="2" w:space="0" w:color="808080" w:themeColor="background1" w:themeShade="80"/>
              <w:left w:val="single" w:sz="2" w:space="0" w:color="808080" w:themeColor="background1" w:themeShade="80"/>
            </w:tcBorders>
            <w:vAlign w:val="center"/>
          </w:tcPr>
          <w:p w14:paraId="6520ED09" w14:textId="77777777" w:rsidR="002620CF" w:rsidRPr="00CA6E28" w:rsidRDefault="002620CF" w:rsidP="002620CF">
            <w:pPr>
              <w:pStyle w:val="ColorfulList-Accent11"/>
              <w:tabs>
                <w:tab w:val="left" w:pos="0"/>
                <w:tab w:val="left" w:pos="284"/>
              </w:tabs>
              <w:ind w:left="0" w:right="-90"/>
              <w:jc w:val="center"/>
              <w:rPr>
                <w:rFonts w:ascii="Arial" w:hAnsi="Arial" w:cs="Arial"/>
                <w:i/>
                <w:color w:val="FF0000"/>
                <w:sz w:val="18"/>
                <w:szCs w:val="18"/>
              </w:rPr>
            </w:pPr>
          </w:p>
        </w:tc>
        <w:tc>
          <w:tcPr>
            <w:tcW w:w="1103" w:type="dxa"/>
            <w:tcBorders>
              <w:top w:val="single" w:sz="2" w:space="0" w:color="808080" w:themeColor="background1" w:themeShade="80"/>
            </w:tcBorders>
            <w:vAlign w:val="center"/>
          </w:tcPr>
          <w:p w14:paraId="3B3256E6" w14:textId="77777777" w:rsidR="002620CF" w:rsidRPr="00CA6E28" w:rsidRDefault="002620CF" w:rsidP="002620CF">
            <w:pPr>
              <w:pStyle w:val="ColorfulList-Accent11"/>
              <w:tabs>
                <w:tab w:val="left" w:pos="0"/>
                <w:tab w:val="left" w:pos="284"/>
              </w:tabs>
              <w:ind w:left="0" w:right="-90"/>
              <w:jc w:val="center"/>
              <w:rPr>
                <w:rFonts w:ascii="Arial" w:hAnsi="Arial" w:cs="Arial"/>
                <w:i/>
                <w:color w:val="FF0000"/>
                <w:sz w:val="18"/>
                <w:szCs w:val="18"/>
              </w:rPr>
            </w:pPr>
          </w:p>
        </w:tc>
        <w:tc>
          <w:tcPr>
            <w:tcW w:w="1183" w:type="dxa"/>
            <w:tcBorders>
              <w:top w:val="single" w:sz="2" w:space="0" w:color="808080" w:themeColor="background1" w:themeShade="80"/>
              <w:right w:val="single" w:sz="2" w:space="0" w:color="808080" w:themeColor="background1" w:themeShade="80"/>
            </w:tcBorders>
            <w:vAlign w:val="center"/>
          </w:tcPr>
          <w:p w14:paraId="153C8D39" w14:textId="77777777" w:rsidR="002620CF" w:rsidRPr="00CA6E28" w:rsidRDefault="002620CF" w:rsidP="002620CF">
            <w:pPr>
              <w:pStyle w:val="ColorfulList-Accent11"/>
              <w:tabs>
                <w:tab w:val="left" w:pos="0"/>
                <w:tab w:val="left" w:pos="284"/>
              </w:tabs>
              <w:ind w:left="0" w:right="-90"/>
              <w:jc w:val="center"/>
              <w:rPr>
                <w:rFonts w:ascii="Arial" w:hAnsi="Arial" w:cs="Arial"/>
                <w:i/>
                <w:color w:val="FF0000"/>
                <w:sz w:val="18"/>
                <w:szCs w:val="18"/>
              </w:rPr>
            </w:pPr>
          </w:p>
        </w:tc>
        <w:tc>
          <w:tcPr>
            <w:tcW w:w="1183" w:type="dxa"/>
            <w:tcBorders>
              <w:top w:val="single" w:sz="2" w:space="0" w:color="808080" w:themeColor="background1" w:themeShade="80"/>
              <w:left w:val="single" w:sz="2" w:space="0" w:color="808080" w:themeColor="background1" w:themeShade="80"/>
            </w:tcBorders>
          </w:tcPr>
          <w:p w14:paraId="4F028B1D" w14:textId="77777777" w:rsidR="002620CF" w:rsidRPr="00CA6E28" w:rsidRDefault="002620CF" w:rsidP="002620CF">
            <w:pPr>
              <w:pStyle w:val="ColorfulList-Accent11"/>
              <w:tabs>
                <w:tab w:val="left" w:pos="0"/>
                <w:tab w:val="left" w:pos="284"/>
              </w:tabs>
              <w:ind w:left="0" w:right="-90"/>
              <w:jc w:val="center"/>
              <w:rPr>
                <w:rFonts w:ascii="Arial" w:hAnsi="Arial" w:cs="Arial"/>
                <w:i/>
                <w:color w:val="FF0000"/>
                <w:sz w:val="18"/>
                <w:szCs w:val="18"/>
              </w:rPr>
            </w:pPr>
          </w:p>
        </w:tc>
        <w:tc>
          <w:tcPr>
            <w:tcW w:w="1183" w:type="dxa"/>
            <w:tcBorders>
              <w:top w:val="single" w:sz="2" w:space="0" w:color="808080" w:themeColor="background1" w:themeShade="80"/>
            </w:tcBorders>
          </w:tcPr>
          <w:p w14:paraId="2F9FB559" w14:textId="77777777" w:rsidR="002620CF" w:rsidRPr="00CA6E28" w:rsidRDefault="002620CF" w:rsidP="002620CF">
            <w:pPr>
              <w:pStyle w:val="ColorfulList-Accent11"/>
              <w:tabs>
                <w:tab w:val="left" w:pos="0"/>
                <w:tab w:val="left" w:pos="284"/>
              </w:tabs>
              <w:ind w:left="0" w:right="-90"/>
              <w:jc w:val="center"/>
              <w:rPr>
                <w:rFonts w:ascii="Arial" w:hAnsi="Arial" w:cs="Arial"/>
                <w:i/>
                <w:color w:val="FF0000"/>
                <w:sz w:val="18"/>
                <w:szCs w:val="18"/>
              </w:rPr>
            </w:pPr>
          </w:p>
        </w:tc>
        <w:tc>
          <w:tcPr>
            <w:tcW w:w="1183" w:type="dxa"/>
            <w:tcBorders>
              <w:top w:val="single" w:sz="2" w:space="0" w:color="808080" w:themeColor="background1" w:themeShade="80"/>
            </w:tcBorders>
          </w:tcPr>
          <w:p w14:paraId="1CFCDAB2" w14:textId="77777777" w:rsidR="002620CF" w:rsidRPr="00CA6E28" w:rsidRDefault="002620CF" w:rsidP="002620CF">
            <w:pPr>
              <w:pStyle w:val="ColorfulList-Accent11"/>
              <w:tabs>
                <w:tab w:val="left" w:pos="0"/>
                <w:tab w:val="left" w:pos="284"/>
              </w:tabs>
              <w:ind w:left="0" w:right="-90"/>
              <w:jc w:val="center"/>
              <w:rPr>
                <w:rFonts w:ascii="Arial" w:hAnsi="Arial" w:cs="Arial"/>
                <w:i/>
                <w:color w:val="FF0000"/>
                <w:sz w:val="18"/>
                <w:szCs w:val="18"/>
              </w:rPr>
            </w:pPr>
          </w:p>
        </w:tc>
      </w:tr>
      <w:tr w:rsidR="00895717" w:rsidRPr="00CA6E28" w14:paraId="0FC36FE9" w14:textId="77777777" w:rsidTr="00172C17">
        <w:trPr>
          <w:trHeight w:val="252"/>
        </w:trPr>
        <w:tc>
          <w:tcPr>
            <w:tcW w:w="3495" w:type="dxa"/>
            <w:tcBorders>
              <w:right w:val="single" w:sz="2" w:space="0" w:color="808080" w:themeColor="background1" w:themeShade="80"/>
            </w:tcBorders>
            <w:vAlign w:val="center"/>
          </w:tcPr>
          <w:p w14:paraId="28B6D957" w14:textId="66A2B1D5" w:rsidR="00895717" w:rsidRPr="00CA6E28" w:rsidRDefault="00895717" w:rsidP="00895717">
            <w:pPr>
              <w:pStyle w:val="ColorfulList-Accent11"/>
              <w:tabs>
                <w:tab w:val="left" w:pos="0"/>
                <w:tab w:val="left" w:pos="284"/>
              </w:tabs>
              <w:ind w:left="0" w:right="-90"/>
              <w:rPr>
                <w:rFonts w:ascii="Arial" w:hAnsi="Arial" w:cs="Arial"/>
                <w:sz w:val="18"/>
                <w:szCs w:val="18"/>
              </w:rPr>
            </w:pPr>
            <w:r w:rsidRPr="00CA6E28">
              <w:rPr>
                <w:rFonts w:ascii="Arial" w:hAnsi="Arial" w:cs="Arial"/>
                <w:sz w:val="18"/>
                <w:szCs w:val="18"/>
                <w:lang w:val="el-GR"/>
              </w:rPr>
              <w:t>Έσοδα λιανικής</w:t>
            </w:r>
          </w:p>
        </w:tc>
        <w:tc>
          <w:tcPr>
            <w:tcW w:w="1072" w:type="dxa"/>
            <w:tcBorders>
              <w:left w:val="single" w:sz="2" w:space="0" w:color="808080" w:themeColor="background1" w:themeShade="80"/>
            </w:tcBorders>
            <w:vAlign w:val="center"/>
          </w:tcPr>
          <w:p w14:paraId="7D5E54A0" w14:textId="10D57025" w:rsidR="00895717" w:rsidRPr="00CA6E28" w:rsidRDefault="00895717" w:rsidP="00895717">
            <w:pPr>
              <w:pStyle w:val="ColorfulList-Accent11"/>
              <w:tabs>
                <w:tab w:val="left" w:pos="0"/>
                <w:tab w:val="left" w:pos="284"/>
              </w:tabs>
              <w:ind w:left="0" w:right="-90"/>
              <w:jc w:val="center"/>
              <w:rPr>
                <w:rFonts w:ascii="Arial" w:hAnsi="Arial" w:cs="Arial"/>
                <w:color w:val="FF0000"/>
                <w:sz w:val="18"/>
                <w:szCs w:val="18"/>
              </w:rPr>
            </w:pPr>
            <w:r w:rsidRPr="00CA6E28">
              <w:rPr>
                <w:rFonts w:ascii="Arial" w:hAnsi="Arial" w:cs="Arial"/>
                <w:sz w:val="18"/>
                <w:szCs w:val="18"/>
              </w:rPr>
              <w:t>230</w:t>
            </w:r>
            <w:r w:rsidR="003B452A" w:rsidRPr="00CA6E28">
              <w:rPr>
                <w:rFonts w:ascii="Arial" w:hAnsi="Arial" w:cs="Arial"/>
                <w:sz w:val="18"/>
                <w:szCs w:val="18"/>
              </w:rPr>
              <w:t>,</w:t>
            </w:r>
            <w:r w:rsidRPr="00CA6E28">
              <w:rPr>
                <w:rFonts w:ascii="Arial" w:hAnsi="Arial" w:cs="Arial"/>
                <w:sz w:val="18"/>
                <w:szCs w:val="18"/>
              </w:rPr>
              <w:t>5</w:t>
            </w:r>
          </w:p>
        </w:tc>
        <w:tc>
          <w:tcPr>
            <w:tcW w:w="1103" w:type="dxa"/>
            <w:vAlign w:val="center"/>
          </w:tcPr>
          <w:p w14:paraId="26E184EC" w14:textId="673BF103" w:rsidR="00895717" w:rsidRPr="00CA6E28" w:rsidRDefault="00895717" w:rsidP="00895717">
            <w:pPr>
              <w:pStyle w:val="ColorfulList-Accent11"/>
              <w:tabs>
                <w:tab w:val="left" w:pos="0"/>
                <w:tab w:val="left" w:pos="284"/>
              </w:tabs>
              <w:ind w:left="0" w:right="-90"/>
              <w:jc w:val="center"/>
              <w:rPr>
                <w:rFonts w:ascii="Arial" w:hAnsi="Arial" w:cs="Arial"/>
                <w:color w:val="FF0000"/>
                <w:sz w:val="18"/>
                <w:szCs w:val="18"/>
              </w:rPr>
            </w:pPr>
            <w:r w:rsidRPr="00CA6E28">
              <w:rPr>
                <w:rFonts w:ascii="Arial" w:hAnsi="Arial" w:cs="Arial"/>
                <w:sz w:val="18"/>
                <w:szCs w:val="18"/>
              </w:rPr>
              <w:t>227</w:t>
            </w:r>
            <w:r w:rsidR="003B452A" w:rsidRPr="00CA6E28">
              <w:rPr>
                <w:rFonts w:ascii="Arial" w:hAnsi="Arial" w:cs="Arial"/>
                <w:sz w:val="18"/>
                <w:szCs w:val="18"/>
              </w:rPr>
              <w:t>,</w:t>
            </w:r>
            <w:r w:rsidRPr="00CA6E28">
              <w:rPr>
                <w:rFonts w:ascii="Arial" w:hAnsi="Arial" w:cs="Arial"/>
                <w:sz w:val="18"/>
                <w:szCs w:val="18"/>
              </w:rPr>
              <w:t>6</w:t>
            </w:r>
          </w:p>
        </w:tc>
        <w:tc>
          <w:tcPr>
            <w:tcW w:w="1183" w:type="dxa"/>
            <w:tcBorders>
              <w:right w:val="single" w:sz="2" w:space="0" w:color="808080" w:themeColor="background1" w:themeShade="80"/>
            </w:tcBorders>
            <w:vAlign w:val="center"/>
          </w:tcPr>
          <w:p w14:paraId="34B522E2" w14:textId="4AD940E3" w:rsidR="00895717" w:rsidRPr="00CA6E28" w:rsidRDefault="00895717" w:rsidP="00895717">
            <w:pPr>
              <w:pStyle w:val="ColorfulList-Accent11"/>
              <w:tabs>
                <w:tab w:val="left" w:pos="0"/>
                <w:tab w:val="left" w:pos="284"/>
              </w:tabs>
              <w:ind w:left="0" w:right="-90"/>
              <w:jc w:val="center"/>
              <w:rPr>
                <w:rFonts w:ascii="Arial" w:hAnsi="Arial" w:cs="Arial"/>
                <w:color w:val="FF0000"/>
                <w:sz w:val="18"/>
                <w:szCs w:val="18"/>
              </w:rPr>
            </w:pPr>
            <w:r w:rsidRPr="00CA6E28">
              <w:rPr>
                <w:rFonts w:ascii="Arial" w:hAnsi="Arial" w:cs="Arial"/>
                <w:sz w:val="18"/>
                <w:szCs w:val="18"/>
              </w:rPr>
              <w:t>+1</w:t>
            </w:r>
            <w:r w:rsidR="003B452A" w:rsidRPr="00CA6E28">
              <w:rPr>
                <w:rFonts w:ascii="Arial" w:hAnsi="Arial" w:cs="Arial"/>
                <w:sz w:val="18"/>
                <w:szCs w:val="18"/>
              </w:rPr>
              <w:t>,</w:t>
            </w:r>
            <w:r w:rsidRPr="00CA6E28">
              <w:rPr>
                <w:rFonts w:ascii="Arial" w:hAnsi="Arial" w:cs="Arial"/>
                <w:sz w:val="18"/>
                <w:szCs w:val="18"/>
              </w:rPr>
              <w:t>3%</w:t>
            </w:r>
          </w:p>
        </w:tc>
        <w:tc>
          <w:tcPr>
            <w:tcW w:w="1183" w:type="dxa"/>
            <w:tcBorders>
              <w:left w:val="single" w:sz="2" w:space="0" w:color="808080" w:themeColor="background1" w:themeShade="80"/>
            </w:tcBorders>
            <w:vAlign w:val="center"/>
          </w:tcPr>
          <w:p w14:paraId="24080714" w14:textId="0199FB6D" w:rsidR="00895717" w:rsidRPr="00CA6E28" w:rsidRDefault="00895717" w:rsidP="00895717">
            <w:pPr>
              <w:pStyle w:val="ColorfulList-Accent11"/>
              <w:tabs>
                <w:tab w:val="left" w:pos="0"/>
                <w:tab w:val="left" w:pos="284"/>
              </w:tabs>
              <w:ind w:left="0" w:right="-90"/>
              <w:jc w:val="center"/>
              <w:rPr>
                <w:rFonts w:ascii="Arial" w:hAnsi="Arial" w:cs="Arial"/>
                <w:sz w:val="18"/>
                <w:szCs w:val="18"/>
              </w:rPr>
            </w:pPr>
            <w:r w:rsidRPr="00CA6E28">
              <w:rPr>
                <w:rFonts w:ascii="Arial" w:hAnsi="Arial" w:cs="Arial"/>
                <w:sz w:val="18"/>
                <w:szCs w:val="18"/>
              </w:rPr>
              <w:t>687</w:t>
            </w:r>
            <w:r w:rsidR="003B452A" w:rsidRPr="00CA6E28">
              <w:rPr>
                <w:rFonts w:ascii="Arial" w:hAnsi="Arial" w:cs="Arial"/>
                <w:sz w:val="18"/>
                <w:szCs w:val="18"/>
              </w:rPr>
              <w:t>,</w:t>
            </w:r>
            <w:r w:rsidRPr="00CA6E28">
              <w:rPr>
                <w:rFonts w:ascii="Arial" w:hAnsi="Arial" w:cs="Arial"/>
                <w:sz w:val="18"/>
                <w:szCs w:val="18"/>
              </w:rPr>
              <w:t>9</w:t>
            </w:r>
          </w:p>
        </w:tc>
        <w:tc>
          <w:tcPr>
            <w:tcW w:w="1183" w:type="dxa"/>
            <w:vAlign w:val="center"/>
          </w:tcPr>
          <w:p w14:paraId="63044EF9" w14:textId="0B4F3754" w:rsidR="00895717" w:rsidRPr="00CA6E28" w:rsidRDefault="00895717" w:rsidP="00895717">
            <w:pPr>
              <w:pStyle w:val="ColorfulList-Accent11"/>
              <w:tabs>
                <w:tab w:val="left" w:pos="0"/>
                <w:tab w:val="left" w:pos="284"/>
              </w:tabs>
              <w:ind w:left="0" w:right="-90"/>
              <w:jc w:val="center"/>
              <w:rPr>
                <w:rFonts w:ascii="Arial" w:hAnsi="Arial" w:cs="Arial"/>
                <w:sz w:val="18"/>
                <w:szCs w:val="18"/>
              </w:rPr>
            </w:pPr>
            <w:r w:rsidRPr="00CA6E28">
              <w:rPr>
                <w:rFonts w:ascii="Arial" w:hAnsi="Arial" w:cs="Arial"/>
                <w:sz w:val="18"/>
                <w:szCs w:val="18"/>
              </w:rPr>
              <w:t>684</w:t>
            </w:r>
            <w:r w:rsidR="003B452A" w:rsidRPr="00CA6E28">
              <w:rPr>
                <w:rFonts w:ascii="Arial" w:hAnsi="Arial" w:cs="Arial"/>
                <w:sz w:val="18"/>
                <w:szCs w:val="18"/>
              </w:rPr>
              <w:t>,</w:t>
            </w:r>
            <w:r w:rsidRPr="00CA6E28">
              <w:rPr>
                <w:rFonts w:ascii="Arial" w:hAnsi="Arial" w:cs="Arial"/>
                <w:sz w:val="18"/>
                <w:szCs w:val="18"/>
              </w:rPr>
              <w:t>2</w:t>
            </w:r>
          </w:p>
        </w:tc>
        <w:tc>
          <w:tcPr>
            <w:tcW w:w="1183" w:type="dxa"/>
            <w:vAlign w:val="center"/>
          </w:tcPr>
          <w:p w14:paraId="375695F4" w14:textId="5C6FC567" w:rsidR="00895717" w:rsidRPr="00CA6E28" w:rsidRDefault="00895717" w:rsidP="00895717">
            <w:pPr>
              <w:pStyle w:val="ColorfulList-Accent11"/>
              <w:tabs>
                <w:tab w:val="left" w:pos="0"/>
                <w:tab w:val="left" w:pos="284"/>
              </w:tabs>
              <w:ind w:left="0" w:right="-90"/>
              <w:jc w:val="center"/>
              <w:rPr>
                <w:rFonts w:ascii="Arial" w:hAnsi="Arial" w:cs="Arial"/>
                <w:sz w:val="18"/>
                <w:szCs w:val="18"/>
              </w:rPr>
            </w:pPr>
            <w:r w:rsidRPr="00CA6E28">
              <w:rPr>
                <w:rFonts w:ascii="Arial" w:hAnsi="Arial" w:cs="Arial"/>
                <w:sz w:val="18"/>
                <w:szCs w:val="18"/>
              </w:rPr>
              <w:t>+0</w:t>
            </w:r>
            <w:r w:rsidR="003B452A" w:rsidRPr="00CA6E28">
              <w:rPr>
                <w:rFonts w:ascii="Arial" w:hAnsi="Arial" w:cs="Arial"/>
                <w:sz w:val="18"/>
                <w:szCs w:val="18"/>
              </w:rPr>
              <w:t>,</w:t>
            </w:r>
            <w:r w:rsidRPr="00CA6E28">
              <w:rPr>
                <w:rFonts w:ascii="Arial" w:hAnsi="Arial" w:cs="Arial"/>
                <w:sz w:val="18"/>
                <w:szCs w:val="18"/>
              </w:rPr>
              <w:t>5%</w:t>
            </w:r>
          </w:p>
        </w:tc>
      </w:tr>
      <w:tr w:rsidR="00895717" w:rsidRPr="00CA6E28" w14:paraId="32EDEF2E" w14:textId="77777777" w:rsidTr="00172C17">
        <w:trPr>
          <w:trHeight w:val="252"/>
        </w:trPr>
        <w:tc>
          <w:tcPr>
            <w:tcW w:w="3495" w:type="dxa"/>
            <w:tcBorders>
              <w:right w:val="single" w:sz="2" w:space="0" w:color="808080" w:themeColor="background1" w:themeShade="80"/>
            </w:tcBorders>
            <w:vAlign w:val="center"/>
          </w:tcPr>
          <w:p w14:paraId="1D3103B5" w14:textId="0A8D178B" w:rsidR="00895717" w:rsidRPr="00CA6E28" w:rsidRDefault="00895717" w:rsidP="00895717">
            <w:pPr>
              <w:pStyle w:val="ColorfulList-Accent11"/>
              <w:tabs>
                <w:tab w:val="left" w:pos="0"/>
                <w:tab w:val="left" w:pos="284"/>
              </w:tabs>
              <w:ind w:left="0" w:right="-90"/>
              <w:rPr>
                <w:rFonts w:ascii="Arial" w:hAnsi="Arial" w:cs="Arial"/>
                <w:sz w:val="18"/>
                <w:szCs w:val="18"/>
              </w:rPr>
            </w:pPr>
            <w:r w:rsidRPr="00CA6E28">
              <w:rPr>
                <w:rFonts w:ascii="Arial" w:hAnsi="Arial" w:cs="Arial"/>
                <w:sz w:val="18"/>
                <w:szCs w:val="18"/>
                <w:lang w:val="el-GR"/>
              </w:rPr>
              <w:t>Έσοδα χονδρικής</w:t>
            </w:r>
          </w:p>
        </w:tc>
        <w:tc>
          <w:tcPr>
            <w:tcW w:w="1072" w:type="dxa"/>
            <w:tcBorders>
              <w:left w:val="single" w:sz="2" w:space="0" w:color="808080" w:themeColor="background1" w:themeShade="80"/>
            </w:tcBorders>
            <w:vAlign w:val="center"/>
          </w:tcPr>
          <w:p w14:paraId="06E3A7B0" w14:textId="790A43DE" w:rsidR="00895717" w:rsidRPr="00CA6E28" w:rsidRDefault="00895717" w:rsidP="00895717">
            <w:pPr>
              <w:pStyle w:val="ColorfulList-Accent11"/>
              <w:tabs>
                <w:tab w:val="left" w:pos="0"/>
                <w:tab w:val="left" w:pos="284"/>
              </w:tabs>
              <w:ind w:left="0" w:right="-90"/>
              <w:jc w:val="center"/>
              <w:rPr>
                <w:rFonts w:ascii="Arial" w:hAnsi="Arial" w:cs="Arial"/>
                <w:color w:val="FF0000"/>
                <w:sz w:val="18"/>
                <w:szCs w:val="18"/>
              </w:rPr>
            </w:pPr>
            <w:r w:rsidRPr="00CA6E28">
              <w:rPr>
                <w:rFonts w:ascii="Arial" w:hAnsi="Arial" w:cs="Arial"/>
                <w:sz w:val="18"/>
                <w:szCs w:val="18"/>
              </w:rPr>
              <w:t>140</w:t>
            </w:r>
            <w:r w:rsidR="003B452A" w:rsidRPr="00CA6E28">
              <w:rPr>
                <w:rFonts w:ascii="Arial" w:hAnsi="Arial" w:cs="Arial"/>
                <w:sz w:val="18"/>
                <w:szCs w:val="18"/>
              </w:rPr>
              <w:t>,</w:t>
            </w:r>
            <w:r w:rsidRPr="00CA6E28">
              <w:rPr>
                <w:rFonts w:ascii="Arial" w:hAnsi="Arial" w:cs="Arial"/>
                <w:sz w:val="18"/>
                <w:szCs w:val="18"/>
              </w:rPr>
              <w:t>5</w:t>
            </w:r>
          </w:p>
        </w:tc>
        <w:tc>
          <w:tcPr>
            <w:tcW w:w="1103" w:type="dxa"/>
            <w:vAlign w:val="center"/>
          </w:tcPr>
          <w:p w14:paraId="66A4C262" w14:textId="19DA8364" w:rsidR="00895717" w:rsidRPr="00CA6E28" w:rsidRDefault="00895717" w:rsidP="00895717">
            <w:pPr>
              <w:pStyle w:val="ColorfulList-Accent11"/>
              <w:tabs>
                <w:tab w:val="left" w:pos="0"/>
                <w:tab w:val="left" w:pos="284"/>
              </w:tabs>
              <w:ind w:left="0" w:right="-90"/>
              <w:jc w:val="center"/>
              <w:rPr>
                <w:rFonts w:ascii="Arial" w:hAnsi="Arial" w:cs="Arial"/>
                <w:color w:val="FF0000"/>
                <w:sz w:val="18"/>
                <w:szCs w:val="18"/>
              </w:rPr>
            </w:pPr>
            <w:r w:rsidRPr="00CA6E28">
              <w:rPr>
                <w:rFonts w:ascii="Arial" w:hAnsi="Arial" w:cs="Arial"/>
                <w:sz w:val="18"/>
                <w:szCs w:val="18"/>
              </w:rPr>
              <w:t>134</w:t>
            </w:r>
            <w:r w:rsidR="003B452A" w:rsidRPr="00CA6E28">
              <w:rPr>
                <w:rFonts w:ascii="Arial" w:hAnsi="Arial" w:cs="Arial"/>
                <w:sz w:val="18"/>
                <w:szCs w:val="18"/>
              </w:rPr>
              <w:t>,</w:t>
            </w:r>
            <w:r w:rsidRPr="00CA6E28">
              <w:rPr>
                <w:rFonts w:ascii="Arial" w:hAnsi="Arial" w:cs="Arial"/>
                <w:sz w:val="18"/>
                <w:szCs w:val="18"/>
              </w:rPr>
              <w:t>8</w:t>
            </w:r>
          </w:p>
        </w:tc>
        <w:tc>
          <w:tcPr>
            <w:tcW w:w="1183" w:type="dxa"/>
            <w:tcBorders>
              <w:right w:val="single" w:sz="2" w:space="0" w:color="808080" w:themeColor="background1" w:themeShade="80"/>
            </w:tcBorders>
            <w:vAlign w:val="center"/>
          </w:tcPr>
          <w:p w14:paraId="59C21353" w14:textId="6AC1FBFD" w:rsidR="00895717" w:rsidRPr="00CA6E28" w:rsidRDefault="00895717" w:rsidP="00895717">
            <w:pPr>
              <w:pStyle w:val="ColorfulList-Accent11"/>
              <w:tabs>
                <w:tab w:val="left" w:pos="0"/>
                <w:tab w:val="left" w:pos="284"/>
              </w:tabs>
              <w:ind w:left="0" w:right="-90"/>
              <w:jc w:val="center"/>
              <w:rPr>
                <w:rFonts w:ascii="Arial" w:hAnsi="Arial" w:cs="Arial"/>
                <w:color w:val="FF0000"/>
                <w:sz w:val="18"/>
                <w:szCs w:val="18"/>
              </w:rPr>
            </w:pPr>
            <w:r w:rsidRPr="00CA6E28">
              <w:rPr>
                <w:rFonts w:ascii="Arial" w:hAnsi="Arial" w:cs="Arial"/>
                <w:sz w:val="18"/>
                <w:szCs w:val="18"/>
              </w:rPr>
              <w:t>+4</w:t>
            </w:r>
            <w:r w:rsidR="003B452A" w:rsidRPr="00CA6E28">
              <w:rPr>
                <w:rFonts w:ascii="Arial" w:hAnsi="Arial" w:cs="Arial"/>
                <w:sz w:val="18"/>
                <w:szCs w:val="18"/>
              </w:rPr>
              <w:t>,</w:t>
            </w:r>
            <w:r w:rsidRPr="00CA6E28">
              <w:rPr>
                <w:rFonts w:ascii="Arial" w:hAnsi="Arial" w:cs="Arial"/>
                <w:sz w:val="18"/>
                <w:szCs w:val="18"/>
              </w:rPr>
              <w:t>2%</w:t>
            </w:r>
          </w:p>
        </w:tc>
        <w:tc>
          <w:tcPr>
            <w:tcW w:w="1183" w:type="dxa"/>
            <w:tcBorders>
              <w:left w:val="single" w:sz="2" w:space="0" w:color="808080" w:themeColor="background1" w:themeShade="80"/>
            </w:tcBorders>
            <w:vAlign w:val="center"/>
          </w:tcPr>
          <w:p w14:paraId="056C3C4F" w14:textId="6EEF4634" w:rsidR="00895717" w:rsidRPr="00CA6E28" w:rsidRDefault="00895717" w:rsidP="00895717">
            <w:pPr>
              <w:pStyle w:val="ColorfulList-Accent11"/>
              <w:tabs>
                <w:tab w:val="left" w:pos="0"/>
                <w:tab w:val="left" w:pos="284"/>
              </w:tabs>
              <w:ind w:left="0" w:right="-90"/>
              <w:jc w:val="center"/>
              <w:rPr>
                <w:rFonts w:ascii="Arial" w:hAnsi="Arial" w:cs="Arial"/>
                <w:sz w:val="18"/>
                <w:szCs w:val="18"/>
              </w:rPr>
            </w:pPr>
            <w:r w:rsidRPr="00CA6E28">
              <w:rPr>
                <w:rFonts w:ascii="Arial" w:hAnsi="Arial" w:cs="Arial"/>
                <w:sz w:val="18"/>
                <w:szCs w:val="18"/>
              </w:rPr>
              <w:t>441</w:t>
            </w:r>
            <w:r w:rsidR="003B452A" w:rsidRPr="00CA6E28">
              <w:rPr>
                <w:rFonts w:ascii="Arial" w:hAnsi="Arial" w:cs="Arial"/>
                <w:sz w:val="18"/>
                <w:szCs w:val="18"/>
              </w:rPr>
              <w:t>,</w:t>
            </w:r>
            <w:r w:rsidRPr="00CA6E28">
              <w:rPr>
                <w:rFonts w:ascii="Arial" w:hAnsi="Arial" w:cs="Arial"/>
                <w:sz w:val="18"/>
                <w:szCs w:val="18"/>
              </w:rPr>
              <w:t>2</w:t>
            </w:r>
          </w:p>
        </w:tc>
        <w:tc>
          <w:tcPr>
            <w:tcW w:w="1183" w:type="dxa"/>
            <w:vAlign w:val="center"/>
          </w:tcPr>
          <w:p w14:paraId="24525E6B" w14:textId="6C651F8A" w:rsidR="00895717" w:rsidRPr="00CA6E28" w:rsidRDefault="00895717" w:rsidP="00895717">
            <w:pPr>
              <w:pStyle w:val="ColorfulList-Accent11"/>
              <w:tabs>
                <w:tab w:val="left" w:pos="0"/>
                <w:tab w:val="left" w:pos="284"/>
              </w:tabs>
              <w:ind w:left="0" w:right="-90"/>
              <w:jc w:val="center"/>
              <w:rPr>
                <w:rFonts w:ascii="Arial" w:hAnsi="Arial" w:cs="Arial"/>
                <w:sz w:val="18"/>
                <w:szCs w:val="18"/>
              </w:rPr>
            </w:pPr>
            <w:r w:rsidRPr="00CA6E28">
              <w:rPr>
                <w:rFonts w:ascii="Arial" w:hAnsi="Arial" w:cs="Arial"/>
                <w:sz w:val="18"/>
                <w:szCs w:val="18"/>
              </w:rPr>
              <w:t>448</w:t>
            </w:r>
            <w:r w:rsidR="003B452A" w:rsidRPr="00CA6E28">
              <w:rPr>
                <w:rFonts w:ascii="Arial" w:hAnsi="Arial" w:cs="Arial"/>
                <w:sz w:val="18"/>
                <w:szCs w:val="18"/>
              </w:rPr>
              <w:t>,</w:t>
            </w:r>
            <w:r w:rsidRPr="00CA6E28">
              <w:rPr>
                <w:rFonts w:ascii="Arial" w:hAnsi="Arial" w:cs="Arial"/>
                <w:sz w:val="18"/>
                <w:szCs w:val="18"/>
              </w:rPr>
              <w:t>2</w:t>
            </w:r>
          </w:p>
        </w:tc>
        <w:tc>
          <w:tcPr>
            <w:tcW w:w="1183" w:type="dxa"/>
            <w:vAlign w:val="center"/>
          </w:tcPr>
          <w:p w14:paraId="06FCFFCC" w14:textId="23661EDA" w:rsidR="00895717" w:rsidRPr="00CA6E28" w:rsidRDefault="00895717" w:rsidP="00895717">
            <w:pPr>
              <w:pStyle w:val="ColorfulList-Accent11"/>
              <w:tabs>
                <w:tab w:val="left" w:pos="0"/>
                <w:tab w:val="left" w:pos="284"/>
              </w:tabs>
              <w:ind w:left="0" w:right="-90"/>
              <w:jc w:val="center"/>
              <w:rPr>
                <w:rFonts w:ascii="Arial" w:hAnsi="Arial" w:cs="Arial"/>
                <w:sz w:val="18"/>
                <w:szCs w:val="18"/>
              </w:rPr>
            </w:pPr>
            <w:r w:rsidRPr="00CA6E28">
              <w:rPr>
                <w:rFonts w:ascii="Arial" w:hAnsi="Arial" w:cs="Arial"/>
                <w:sz w:val="18"/>
                <w:szCs w:val="18"/>
              </w:rPr>
              <w:t>-1</w:t>
            </w:r>
            <w:r w:rsidR="003B452A" w:rsidRPr="00CA6E28">
              <w:rPr>
                <w:rFonts w:ascii="Arial" w:hAnsi="Arial" w:cs="Arial"/>
                <w:sz w:val="18"/>
                <w:szCs w:val="18"/>
              </w:rPr>
              <w:t>,</w:t>
            </w:r>
            <w:r w:rsidRPr="00CA6E28">
              <w:rPr>
                <w:rFonts w:ascii="Arial" w:hAnsi="Arial" w:cs="Arial"/>
                <w:sz w:val="18"/>
                <w:szCs w:val="18"/>
              </w:rPr>
              <w:t>6%</w:t>
            </w:r>
          </w:p>
        </w:tc>
      </w:tr>
      <w:tr w:rsidR="00895717" w:rsidRPr="00CA6E28" w14:paraId="6063DBE0" w14:textId="77777777" w:rsidTr="00172C17">
        <w:trPr>
          <w:trHeight w:val="76"/>
        </w:trPr>
        <w:tc>
          <w:tcPr>
            <w:tcW w:w="3495" w:type="dxa"/>
            <w:tcBorders>
              <w:bottom w:val="single" w:sz="2" w:space="0" w:color="808080" w:themeColor="background1" w:themeShade="80"/>
              <w:right w:val="single" w:sz="2" w:space="0" w:color="808080" w:themeColor="background1" w:themeShade="80"/>
            </w:tcBorders>
            <w:vAlign w:val="center"/>
          </w:tcPr>
          <w:p w14:paraId="1E8CCAC6" w14:textId="61CCD6D5" w:rsidR="00895717" w:rsidRPr="00CA6E28" w:rsidRDefault="00895717" w:rsidP="00895717">
            <w:pPr>
              <w:pStyle w:val="ColorfulList-Accent11"/>
              <w:tabs>
                <w:tab w:val="left" w:pos="0"/>
                <w:tab w:val="left" w:pos="284"/>
              </w:tabs>
              <w:ind w:left="0" w:right="-90"/>
              <w:rPr>
                <w:rFonts w:ascii="Arial" w:hAnsi="Arial" w:cs="Arial"/>
                <w:sz w:val="18"/>
                <w:szCs w:val="18"/>
              </w:rPr>
            </w:pPr>
            <w:r w:rsidRPr="00CA6E28">
              <w:rPr>
                <w:rFonts w:ascii="Arial" w:hAnsi="Arial" w:cs="Arial"/>
                <w:sz w:val="18"/>
                <w:szCs w:val="18"/>
                <w:lang w:val="el-GR"/>
              </w:rPr>
              <w:t>Λοιπά έσοδα</w:t>
            </w:r>
            <w:r w:rsidRPr="00CA6E28">
              <w:rPr>
                <w:rFonts w:ascii="Arial" w:hAnsi="Arial" w:cs="Arial"/>
                <w:sz w:val="18"/>
                <w:szCs w:val="18"/>
              </w:rPr>
              <w:t xml:space="preserve"> </w:t>
            </w:r>
          </w:p>
        </w:tc>
        <w:tc>
          <w:tcPr>
            <w:tcW w:w="1072" w:type="dxa"/>
            <w:tcBorders>
              <w:left w:val="single" w:sz="2" w:space="0" w:color="808080" w:themeColor="background1" w:themeShade="80"/>
              <w:bottom w:val="single" w:sz="2" w:space="0" w:color="808080" w:themeColor="background1" w:themeShade="80"/>
            </w:tcBorders>
            <w:vAlign w:val="center"/>
          </w:tcPr>
          <w:p w14:paraId="55754F06" w14:textId="7E77EBA3" w:rsidR="00895717" w:rsidRPr="00CA6E28" w:rsidRDefault="00895717" w:rsidP="00895717">
            <w:pPr>
              <w:pStyle w:val="ColorfulList-Accent11"/>
              <w:tabs>
                <w:tab w:val="left" w:pos="0"/>
                <w:tab w:val="left" w:pos="284"/>
              </w:tabs>
              <w:ind w:left="0" w:right="-90"/>
              <w:jc w:val="center"/>
              <w:rPr>
                <w:rFonts w:ascii="Arial" w:hAnsi="Arial" w:cs="Arial"/>
                <w:color w:val="FF0000"/>
                <w:sz w:val="18"/>
                <w:szCs w:val="18"/>
              </w:rPr>
            </w:pPr>
            <w:r w:rsidRPr="00CA6E28">
              <w:rPr>
                <w:rFonts w:ascii="Arial" w:hAnsi="Arial" w:cs="Arial"/>
                <w:sz w:val="18"/>
                <w:szCs w:val="18"/>
              </w:rPr>
              <w:t>133</w:t>
            </w:r>
            <w:r w:rsidR="003B452A" w:rsidRPr="00CA6E28">
              <w:rPr>
                <w:rFonts w:ascii="Arial" w:hAnsi="Arial" w:cs="Arial"/>
                <w:sz w:val="18"/>
                <w:szCs w:val="18"/>
              </w:rPr>
              <w:t>,</w:t>
            </w:r>
            <w:r w:rsidRPr="00CA6E28">
              <w:rPr>
                <w:rFonts w:ascii="Arial" w:hAnsi="Arial" w:cs="Arial"/>
                <w:sz w:val="18"/>
                <w:szCs w:val="18"/>
              </w:rPr>
              <w:t>3</w:t>
            </w:r>
          </w:p>
        </w:tc>
        <w:tc>
          <w:tcPr>
            <w:tcW w:w="1103" w:type="dxa"/>
            <w:tcBorders>
              <w:bottom w:val="single" w:sz="2" w:space="0" w:color="808080" w:themeColor="background1" w:themeShade="80"/>
            </w:tcBorders>
            <w:vAlign w:val="center"/>
          </w:tcPr>
          <w:p w14:paraId="10658874" w14:textId="5997CBD1" w:rsidR="00895717" w:rsidRPr="00CA6E28" w:rsidRDefault="00895717" w:rsidP="00895717">
            <w:pPr>
              <w:pStyle w:val="ColorfulList-Accent11"/>
              <w:tabs>
                <w:tab w:val="left" w:pos="0"/>
                <w:tab w:val="left" w:pos="284"/>
              </w:tabs>
              <w:ind w:left="0" w:right="-90"/>
              <w:jc w:val="center"/>
              <w:rPr>
                <w:rFonts w:ascii="Arial" w:hAnsi="Arial" w:cs="Arial"/>
                <w:color w:val="FF0000"/>
                <w:sz w:val="18"/>
                <w:szCs w:val="18"/>
              </w:rPr>
            </w:pPr>
            <w:r w:rsidRPr="00CA6E28">
              <w:rPr>
                <w:rFonts w:ascii="Arial" w:hAnsi="Arial" w:cs="Arial"/>
                <w:sz w:val="18"/>
                <w:szCs w:val="18"/>
              </w:rPr>
              <w:t>105</w:t>
            </w:r>
            <w:r w:rsidR="003B452A" w:rsidRPr="00CA6E28">
              <w:rPr>
                <w:rFonts w:ascii="Arial" w:hAnsi="Arial" w:cs="Arial"/>
                <w:sz w:val="18"/>
                <w:szCs w:val="18"/>
              </w:rPr>
              <w:t>,</w:t>
            </w:r>
            <w:r w:rsidRPr="00CA6E28">
              <w:rPr>
                <w:rFonts w:ascii="Arial" w:hAnsi="Arial" w:cs="Arial"/>
                <w:sz w:val="18"/>
                <w:szCs w:val="18"/>
              </w:rPr>
              <w:t>6</w:t>
            </w:r>
          </w:p>
        </w:tc>
        <w:tc>
          <w:tcPr>
            <w:tcW w:w="1183" w:type="dxa"/>
            <w:tcBorders>
              <w:bottom w:val="single" w:sz="2" w:space="0" w:color="808080" w:themeColor="background1" w:themeShade="80"/>
              <w:right w:val="single" w:sz="2" w:space="0" w:color="808080" w:themeColor="background1" w:themeShade="80"/>
            </w:tcBorders>
            <w:vAlign w:val="center"/>
          </w:tcPr>
          <w:p w14:paraId="22307381" w14:textId="0334A90A" w:rsidR="00895717" w:rsidRPr="00CA6E28" w:rsidRDefault="00895717" w:rsidP="00895717">
            <w:pPr>
              <w:pStyle w:val="ColorfulList-Accent11"/>
              <w:tabs>
                <w:tab w:val="left" w:pos="0"/>
                <w:tab w:val="left" w:pos="284"/>
              </w:tabs>
              <w:ind w:left="0" w:right="-90"/>
              <w:jc w:val="center"/>
              <w:rPr>
                <w:rFonts w:ascii="Arial" w:hAnsi="Arial" w:cs="Arial"/>
                <w:color w:val="FF0000"/>
                <w:sz w:val="18"/>
                <w:szCs w:val="18"/>
              </w:rPr>
            </w:pPr>
            <w:r w:rsidRPr="00CA6E28">
              <w:rPr>
                <w:rFonts w:ascii="Arial" w:hAnsi="Arial" w:cs="Arial"/>
                <w:sz w:val="18"/>
                <w:szCs w:val="18"/>
              </w:rPr>
              <w:t>+26</w:t>
            </w:r>
            <w:r w:rsidR="003B452A" w:rsidRPr="00CA6E28">
              <w:rPr>
                <w:rFonts w:ascii="Arial" w:hAnsi="Arial" w:cs="Arial"/>
                <w:sz w:val="18"/>
                <w:szCs w:val="18"/>
              </w:rPr>
              <w:t>,</w:t>
            </w:r>
            <w:r w:rsidRPr="00CA6E28">
              <w:rPr>
                <w:rFonts w:ascii="Arial" w:hAnsi="Arial" w:cs="Arial"/>
                <w:sz w:val="18"/>
                <w:szCs w:val="18"/>
              </w:rPr>
              <w:t>2%</w:t>
            </w:r>
          </w:p>
        </w:tc>
        <w:tc>
          <w:tcPr>
            <w:tcW w:w="1183" w:type="dxa"/>
            <w:tcBorders>
              <w:left w:val="single" w:sz="2" w:space="0" w:color="808080" w:themeColor="background1" w:themeShade="80"/>
              <w:bottom w:val="single" w:sz="2" w:space="0" w:color="808080" w:themeColor="background1" w:themeShade="80"/>
            </w:tcBorders>
            <w:vAlign w:val="center"/>
          </w:tcPr>
          <w:p w14:paraId="37CBD988" w14:textId="2F72F7A7" w:rsidR="00895717" w:rsidRPr="00CA6E28" w:rsidRDefault="00895717" w:rsidP="00895717">
            <w:pPr>
              <w:pStyle w:val="ColorfulList-Accent11"/>
              <w:tabs>
                <w:tab w:val="left" w:pos="0"/>
                <w:tab w:val="left" w:pos="284"/>
              </w:tabs>
              <w:ind w:left="0" w:right="-90"/>
              <w:jc w:val="center"/>
              <w:rPr>
                <w:rFonts w:ascii="Arial" w:hAnsi="Arial" w:cs="Arial"/>
                <w:sz w:val="18"/>
                <w:szCs w:val="18"/>
              </w:rPr>
            </w:pPr>
            <w:r w:rsidRPr="00CA6E28">
              <w:rPr>
                <w:rFonts w:ascii="Arial" w:hAnsi="Arial" w:cs="Arial"/>
                <w:sz w:val="18"/>
                <w:szCs w:val="18"/>
              </w:rPr>
              <w:t>387</w:t>
            </w:r>
            <w:r w:rsidR="003B452A" w:rsidRPr="00CA6E28">
              <w:rPr>
                <w:rFonts w:ascii="Arial" w:hAnsi="Arial" w:cs="Arial"/>
                <w:sz w:val="18"/>
                <w:szCs w:val="18"/>
              </w:rPr>
              <w:t>,</w:t>
            </w:r>
            <w:r w:rsidRPr="00CA6E28">
              <w:rPr>
                <w:rFonts w:ascii="Arial" w:hAnsi="Arial" w:cs="Arial"/>
                <w:sz w:val="18"/>
                <w:szCs w:val="18"/>
              </w:rPr>
              <w:t>0</w:t>
            </w:r>
          </w:p>
        </w:tc>
        <w:tc>
          <w:tcPr>
            <w:tcW w:w="1183" w:type="dxa"/>
            <w:tcBorders>
              <w:bottom w:val="single" w:sz="2" w:space="0" w:color="808080" w:themeColor="background1" w:themeShade="80"/>
            </w:tcBorders>
            <w:vAlign w:val="center"/>
          </w:tcPr>
          <w:p w14:paraId="2264FCB1" w14:textId="68939CA1" w:rsidR="00895717" w:rsidRPr="00CA6E28" w:rsidRDefault="00895717" w:rsidP="00895717">
            <w:pPr>
              <w:pStyle w:val="ColorfulList-Accent11"/>
              <w:tabs>
                <w:tab w:val="left" w:pos="0"/>
                <w:tab w:val="left" w:pos="284"/>
              </w:tabs>
              <w:ind w:left="0" w:right="-90"/>
              <w:jc w:val="center"/>
              <w:rPr>
                <w:rFonts w:ascii="Arial" w:hAnsi="Arial" w:cs="Arial"/>
                <w:sz w:val="18"/>
                <w:szCs w:val="18"/>
              </w:rPr>
            </w:pPr>
            <w:r w:rsidRPr="00CA6E28">
              <w:rPr>
                <w:rFonts w:ascii="Arial" w:hAnsi="Arial" w:cs="Arial"/>
                <w:sz w:val="18"/>
                <w:szCs w:val="18"/>
              </w:rPr>
              <w:t>331</w:t>
            </w:r>
            <w:r w:rsidR="003B452A" w:rsidRPr="00CA6E28">
              <w:rPr>
                <w:rFonts w:ascii="Arial" w:hAnsi="Arial" w:cs="Arial"/>
                <w:sz w:val="18"/>
                <w:szCs w:val="18"/>
              </w:rPr>
              <w:t>,</w:t>
            </w:r>
            <w:r w:rsidRPr="00CA6E28">
              <w:rPr>
                <w:rFonts w:ascii="Arial" w:hAnsi="Arial" w:cs="Arial"/>
                <w:sz w:val="18"/>
                <w:szCs w:val="18"/>
              </w:rPr>
              <w:t>8</w:t>
            </w:r>
          </w:p>
        </w:tc>
        <w:tc>
          <w:tcPr>
            <w:tcW w:w="1183" w:type="dxa"/>
            <w:tcBorders>
              <w:bottom w:val="single" w:sz="2" w:space="0" w:color="808080" w:themeColor="background1" w:themeShade="80"/>
            </w:tcBorders>
            <w:vAlign w:val="center"/>
          </w:tcPr>
          <w:p w14:paraId="173ED451" w14:textId="07C23EF5" w:rsidR="00895717" w:rsidRPr="00CA6E28" w:rsidRDefault="00895717" w:rsidP="00895717">
            <w:pPr>
              <w:pStyle w:val="ColorfulList-Accent11"/>
              <w:tabs>
                <w:tab w:val="left" w:pos="0"/>
                <w:tab w:val="left" w:pos="284"/>
              </w:tabs>
              <w:ind w:left="0" w:right="-90"/>
              <w:jc w:val="center"/>
              <w:rPr>
                <w:rFonts w:ascii="Arial" w:hAnsi="Arial" w:cs="Arial"/>
                <w:sz w:val="18"/>
                <w:szCs w:val="18"/>
              </w:rPr>
            </w:pPr>
            <w:r w:rsidRPr="00CA6E28">
              <w:rPr>
                <w:rFonts w:ascii="Arial" w:hAnsi="Arial" w:cs="Arial"/>
                <w:sz w:val="18"/>
                <w:szCs w:val="18"/>
              </w:rPr>
              <w:t>+16</w:t>
            </w:r>
            <w:r w:rsidR="003B452A" w:rsidRPr="00CA6E28">
              <w:rPr>
                <w:rFonts w:ascii="Arial" w:hAnsi="Arial" w:cs="Arial"/>
                <w:sz w:val="18"/>
                <w:szCs w:val="18"/>
              </w:rPr>
              <w:t>,</w:t>
            </w:r>
            <w:r w:rsidRPr="00CA6E28">
              <w:rPr>
                <w:rFonts w:ascii="Arial" w:hAnsi="Arial" w:cs="Arial"/>
                <w:sz w:val="18"/>
                <w:szCs w:val="18"/>
              </w:rPr>
              <w:t>6%</w:t>
            </w:r>
          </w:p>
        </w:tc>
      </w:tr>
      <w:tr w:rsidR="00895717" w:rsidRPr="00CA6E28" w14:paraId="2E5D88E3" w14:textId="77777777" w:rsidTr="00172C17">
        <w:trPr>
          <w:trHeight w:val="252"/>
        </w:trPr>
        <w:tc>
          <w:tcPr>
            <w:tcW w:w="3495" w:type="dxa"/>
            <w:tcBorders>
              <w:top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270E2F3E" w14:textId="0A5A9115" w:rsidR="00895717" w:rsidRPr="00CA6E28" w:rsidRDefault="00895717" w:rsidP="00895717">
            <w:pPr>
              <w:pStyle w:val="ColorfulList-Accent11"/>
              <w:tabs>
                <w:tab w:val="left" w:pos="0"/>
                <w:tab w:val="left" w:pos="284"/>
              </w:tabs>
              <w:ind w:left="0" w:right="-90"/>
              <w:rPr>
                <w:rFonts w:ascii="Arial" w:hAnsi="Arial" w:cs="Arial"/>
                <w:b/>
                <w:sz w:val="18"/>
                <w:szCs w:val="18"/>
              </w:rPr>
            </w:pPr>
            <w:r w:rsidRPr="00CA6E28">
              <w:rPr>
                <w:rFonts w:ascii="Arial" w:hAnsi="Arial" w:cs="Arial"/>
                <w:b/>
                <w:sz w:val="18"/>
                <w:szCs w:val="18"/>
                <w:lang w:val="el-GR"/>
              </w:rPr>
              <w:t>Σύνολο εσόδων σταθερής τηλεφωνίας</w:t>
            </w:r>
          </w:p>
        </w:tc>
        <w:tc>
          <w:tcPr>
            <w:tcW w:w="1072"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2BC457D3" w14:textId="01ECB9F6" w:rsidR="00895717" w:rsidRPr="00CA6E28" w:rsidRDefault="00895717" w:rsidP="00895717">
            <w:pPr>
              <w:pStyle w:val="ColorfulList-Accent11"/>
              <w:tabs>
                <w:tab w:val="left" w:pos="0"/>
                <w:tab w:val="left" w:pos="284"/>
              </w:tabs>
              <w:ind w:left="0" w:right="-90"/>
              <w:jc w:val="center"/>
              <w:rPr>
                <w:rFonts w:ascii="Arial" w:hAnsi="Arial" w:cs="Arial"/>
                <w:b/>
                <w:color w:val="FF0000"/>
                <w:sz w:val="18"/>
                <w:szCs w:val="18"/>
              </w:rPr>
            </w:pPr>
            <w:r w:rsidRPr="00CA6E28">
              <w:rPr>
                <w:rFonts w:ascii="Arial" w:hAnsi="Arial" w:cs="Arial"/>
                <w:b/>
                <w:bCs/>
                <w:sz w:val="18"/>
                <w:szCs w:val="18"/>
              </w:rPr>
              <w:t>504</w:t>
            </w:r>
            <w:r w:rsidR="003B452A" w:rsidRPr="00CA6E28">
              <w:rPr>
                <w:rFonts w:ascii="Arial" w:hAnsi="Arial" w:cs="Arial"/>
                <w:b/>
                <w:bCs/>
                <w:sz w:val="18"/>
                <w:szCs w:val="18"/>
              </w:rPr>
              <w:t>,</w:t>
            </w:r>
            <w:r w:rsidRPr="00CA6E28">
              <w:rPr>
                <w:rFonts w:ascii="Arial" w:hAnsi="Arial" w:cs="Arial"/>
                <w:b/>
                <w:bCs/>
                <w:sz w:val="18"/>
                <w:szCs w:val="18"/>
              </w:rPr>
              <w:t>3</w:t>
            </w:r>
          </w:p>
        </w:tc>
        <w:tc>
          <w:tcPr>
            <w:tcW w:w="1103" w:type="dxa"/>
            <w:tcBorders>
              <w:top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266A0CE6" w14:textId="71A6D44D" w:rsidR="00895717" w:rsidRPr="00CA6E28" w:rsidRDefault="00895717" w:rsidP="00895717">
            <w:pPr>
              <w:pStyle w:val="ColorfulList-Accent11"/>
              <w:tabs>
                <w:tab w:val="left" w:pos="0"/>
                <w:tab w:val="left" w:pos="284"/>
              </w:tabs>
              <w:ind w:left="0" w:right="-90"/>
              <w:jc w:val="center"/>
              <w:rPr>
                <w:rFonts w:ascii="Arial" w:hAnsi="Arial" w:cs="Arial"/>
                <w:b/>
                <w:color w:val="FF0000"/>
                <w:sz w:val="18"/>
                <w:szCs w:val="18"/>
              </w:rPr>
            </w:pPr>
            <w:r w:rsidRPr="00CA6E28">
              <w:rPr>
                <w:rFonts w:ascii="Arial" w:hAnsi="Arial" w:cs="Arial"/>
                <w:b/>
                <w:bCs/>
                <w:sz w:val="18"/>
                <w:szCs w:val="18"/>
              </w:rPr>
              <w:t>468</w:t>
            </w:r>
            <w:r w:rsidR="003B452A" w:rsidRPr="00CA6E28">
              <w:rPr>
                <w:rFonts w:ascii="Arial" w:hAnsi="Arial" w:cs="Arial"/>
                <w:b/>
                <w:bCs/>
                <w:sz w:val="18"/>
                <w:szCs w:val="18"/>
              </w:rPr>
              <w:t>,</w:t>
            </w:r>
            <w:r w:rsidRPr="00CA6E28">
              <w:rPr>
                <w:rFonts w:ascii="Arial" w:hAnsi="Arial" w:cs="Arial"/>
                <w:b/>
                <w:bCs/>
                <w:sz w:val="18"/>
                <w:szCs w:val="18"/>
              </w:rPr>
              <w:t>0</w:t>
            </w:r>
          </w:p>
        </w:tc>
        <w:tc>
          <w:tcPr>
            <w:tcW w:w="1183" w:type="dxa"/>
            <w:tcBorders>
              <w:top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4D7DA5D3" w14:textId="17F18172" w:rsidR="00895717" w:rsidRPr="00CA6E28" w:rsidRDefault="00895717" w:rsidP="00895717">
            <w:pPr>
              <w:pStyle w:val="ColorfulList-Accent11"/>
              <w:tabs>
                <w:tab w:val="left" w:pos="0"/>
                <w:tab w:val="left" w:pos="284"/>
              </w:tabs>
              <w:ind w:left="0" w:right="-90"/>
              <w:jc w:val="center"/>
              <w:rPr>
                <w:rFonts w:ascii="Arial" w:hAnsi="Arial" w:cs="Arial"/>
                <w:b/>
                <w:color w:val="FF0000"/>
                <w:sz w:val="18"/>
                <w:szCs w:val="18"/>
              </w:rPr>
            </w:pPr>
            <w:r w:rsidRPr="00CA6E28">
              <w:rPr>
                <w:rFonts w:ascii="Arial" w:hAnsi="Arial" w:cs="Arial"/>
                <w:b/>
                <w:bCs/>
                <w:sz w:val="18"/>
                <w:szCs w:val="18"/>
              </w:rPr>
              <w:t>+7</w:t>
            </w:r>
            <w:r w:rsidR="003B452A" w:rsidRPr="00CA6E28">
              <w:rPr>
                <w:rFonts w:ascii="Arial" w:hAnsi="Arial" w:cs="Arial"/>
                <w:b/>
                <w:bCs/>
                <w:sz w:val="18"/>
                <w:szCs w:val="18"/>
              </w:rPr>
              <w:t>,</w:t>
            </w:r>
            <w:r w:rsidRPr="00CA6E28">
              <w:rPr>
                <w:rFonts w:ascii="Arial" w:hAnsi="Arial" w:cs="Arial"/>
                <w:b/>
                <w:bCs/>
                <w:sz w:val="18"/>
                <w:szCs w:val="18"/>
              </w:rPr>
              <w:t>8%</w:t>
            </w:r>
          </w:p>
        </w:tc>
        <w:tc>
          <w:tcPr>
            <w:tcW w:w="1183"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684F7A6C" w14:textId="282B882F" w:rsidR="00895717" w:rsidRPr="00CA6E28" w:rsidRDefault="00895717" w:rsidP="00895717">
            <w:pPr>
              <w:pStyle w:val="ColorfulList-Accent11"/>
              <w:tabs>
                <w:tab w:val="left" w:pos="0"/>
                <w:tab w:val="left" w:pos="284"/>
              </w:tabs>
              <w:ind w:left="0" w:right="-90"/>
              <w:jc w:val="center"/>
              <w:rPr>
                <w:rFonts w:ascii="Arial" w:hAnsi="Arial" w:cs="Arial"/>
                <w:b/>
                <w:bCs/>
                <w:sz w:val="18"/>
                <w:szCs w:val="18"/>
              </w:rPr>
            </w:pPr>
            <w:r w:rsidRPr="00CA6E28">
              <w:rPr>
                <w:rFonts w:ascii="Arial" w:hAnsi="Arial" w:cs="Arial"/>
                <w:b/>
                <w:bCs/>
                <w:sz w:val="18"/>
                <w:szCs w:val="18"/>
              </w:rPr>
              <w:t>1</w:t>
            </w:r>
            <w:r w:rsidR="003B452A" w:rsidRPr="00CA6E28">
              <w:rPr>
                <w:rFonts w:ascii="Arial" w:hAnsi="Arial" w:cs="Arial"/>
                <w:b/>
                <w:bCs/>
                <w:sz w:val="18"/>
                <w:szCs w:val="18"/>
              </w:rPr>
              <w:t>.</w:t>
            </w:r>
            <w:r w:rsidRPr="00CA6E28">
              <w:rPr>
                <w:rFonts w:ascii="Arial" w:hAnsi="Arial" w:cs="Arial"/>
                <w:b/>
                <w:bCs/>
                <w:sz w:val="18"/>
                <w:szCs w:val="18"/>
              </w:rPr>
              <w:t>516</w:t>
            </w:r>
            <w:r w:rsidR="003B452A" w:rsidRPr="00CA6E28">
              <w:rPr>
                <w:rFonts w:ascii="Arial" w:hAnsi="Arial" w:cs="Arial"/>
                <w:b/>
                <w:bCs/>
                <w:sz w:val="18"/>
                <w:szCs w:val="18"/>
              </w:rPr>
              <w:t>,</w:t>
            </w:r>
            <w:r w:rsidRPr="00CA6E28">
              <w:rPr>
                <w:rFonts w:ascii="Arial" w:hAnsi="Arial" w:cs="Arial"/>
                <w:b/>
                <w:bCs/>
                <w:sz w:val="18"/>
                <w:szCs w:val="18"/>
              </w:rPr>
              <w:t>1</w:t>
            </w:r>
          </w:p>
        </w:tc>
        <w:tc>
          <w:tcPr>
            <w:tcW w:w="1183" w:type="dxa"/>
            <w:tcBorders>
              <w:top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4C187B38" w14:textId="2914475F" w:rsidR="00895717" w:rsidRPr="00CA6E28" w:rsidRDefault="00895717" w:rsidP="00895717">
            <w:pPr>
              <w:pStyle w:val="ColorfulList-Accent11"/>
              <w:tabs>
                <w:tab w:val="left" w:pos="0"/>
                <w:tab w:val="left" w:pos="284"/>
              </w:tabs>
              <w:ind w:left="0" w:right="-90"/>
              <w:jc w:val="center"/>
              <w:rPr>
                <w:rFonts w:ascii="Arial" w:hAnsi="Arial" w:cs="Arial"/>
                <w:b/>
                <w:bCs/>
                <w:sz w:val="18"/>
                <w:szCs w:val="18"/>
              </w:rPr>
            </w:pPr>
            <w:r w:rsidRPr="00CA6E28">
              <w:rPr>
                <w:rFonts w:ascii="Arial" w:hAnsi="Arial" w:cs="Arial"/>
                <w:b/>
                <w:bCs/>
                <w:sz w:val="18"/>
                <w:szCs w:val="18"/>
              </w:rPr>
              <w:t>1</w:t>
            </w:r>
            <w:r w:rsidR="003B452A" w:rsidRPr="00CA6E28">
              <w:rPr>
                <w:rFonts w:ascii="Arial" w:hAnsi="Arial" w:cs="Arial"/>
                <w:b/>
                <w:bCs/>
                <w:sz w:val="18"/>
                <w:szCs w:val="18"/>
              </w:rPr>
              <w:t>.</w:t>
            </w:r>
            <w:r w:rsidRPr="00CA6E28">
              <w:rPr>
                <w:rFonts w:ascii="Arial" w:hAnsi="Arial" w:cs="Arial"/>
                <w:b/>
                <w:bCs/>
                <w:sz w:val="18"/>
                <w:szCs w:val="18"/>
              </w:rPr>
              <w:t>464</w:t>
            </w:r>
            <w:r w:rsidR="003B452A" w:rsidRPr="00CA6E28">
              <w:rPr>
                <w:rFonts w:ascii="Arial" w:hAnsi="Arial" w:cs="Arial"/>
                <w:b/>
                <w:bCs/>
                <w:sz w:val="18"/>
                <w:szCs w:val="18"/>
              </w:rPr>
              <w:t>,</w:t>
            </w:r>
            <w:r w:rsidRPr="00CA6E28">
              <w:rPr>
                <w:rFonts w:ascii="Arial" w:hAnsi="Arial" w:cs="Arial"/>
                <w:b/>
                <w:bCs/>
                <w:sz w:val="18"/>
                <w:szCs w:val="18"/>
              </w:rPr>
              <w:t>2</w:t>
            </w:r>
          </w:p>
        </w:tc>
        <w:tc>
          <w:tcPr>
            <w:tcW w:w="1183" w:type="dxa"/>
            <w:tcBorders>
              <w:top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623BE217" w14:textId="243DE0E7" w:rsidR="00895717" w:rsidRPr="00CA6E28" w:rsidRDefault="00895717" w:rsidP="00895717">
            <w:pPr>
              <w:pStyle w:val="ColorfulList-Accent11"/>
              <w:tabs>
                <w:tab w:val="left" w:pos="0"/>
                <w:tab w:val="left" w:pos="284"/>
              </w:tabs>
              <w:ind w:left="0" w:right="-90"/>
              <w:jc w:val="center"/>
              <w:rPr>
                <w:rFonts w:ascii="Arial" w:hAnsi="Arial" w:cs="Arial"/>
                <w:b/>
                <w:bCs/>
                <w:sz w:val="18"/>
                <w:szCs w:val="18"/>
              </w:rPr>
            </w:pPr>
            <w:r w:rsidRPr="00CA6E28">
              <w:rPr>
                <w:rFonts w:ascii="Arial" w:hAnsi="Arial" w:cs="Arial"/>
                <w:b/>
                <w:bCs/>
                <w:sz w:val="18"/>
                <w:szCs w:val="18"/>
              </w:rPr>
              <w:t>+3</w:t>
            </w:r>
            <w:r w:rsidR="003B452A" w:rsidRPr="00CA6E28">
              <w:rPr>
                <w:rFonts w:ascii="Arial" w:hAnsi="Arial" w:cs="Arial"/>
                <w:b/>
                <w:bCs/>
                <w:sz w:val="18"/>
                <w:szCs w:val="18"/>
              </w:rPr>
              <w:t>,</w:t>
            </w:r>
            <w:r w:rsidRPr="00CA6E28">
              <w:rPr>
                <w:rFonts w:ascii="Arial" w:hAnsi="Arial" w:cs="Arial"/>
                <w:b/>
                <w:bCs/>
                <w:sz w:val="18"/>
                <w:szCs w:val="18"/>
              </w:rPr>
              <w:t>5%</w:t>
            </w:r>
          </w:p>
        </w:tc>
      </w:tr>
      <w:tr w:rsidR="00895717" w:rsidRPr="00CA6E28" w14:paraId="0A67D645" w14:textId="77777777" w:rsidTr="00172C17">
        <w:trPr>
          <w:trHeight w:val="252"/>
        </w:trPr>
        <w:tc>
          <w:tcPr>
            <w:tcW w:w="3495" w:type="dxa"/>
            <w:tcBorders>
              <w:top w:val="single" w:sz="2" w:space="0" w:color="808080" w:themeColor="background1" w:themeShade="80"/>
              <w:right w:val="single" w:sz="2" w:space="0" w:color="808080" w:themeColor="background1" w:themeShade="80"/>
            </w:tcBorders>
            <w:vAlign w:val="center"/>
          </w:tcPr>
          <w:p w14:paraId="7EBFBA73" w14:textId="4F7C9517" w:rsidR="00895717" w:rsidRPr="00CA6E28" w:rsidRDefault="00895717" w:rsidP="00895717">
            <w:pPr>
              <w:pStyle w:val="ColorfulList-Accent11"/>
              <w:tabs>
                <w:tab w:val="left" w:pos="0"/>
                <w:tab w:val="left" w:pos="284"/>
              </w:tabs>
              <w:ind w:left="0" w:right="-90"/>
              <w:rPr>
                <w:rFonts w:ascii="Arial" w:hAnsi="Arial" w:cs="Arial"/>
                <w:b/>
                <w:sz w:val="18"/>
                <w:szCs w:val="18"/>
              </w:rPr>
            </w:pPr>
            <w:r w:rsidRPr="00CA6E28">
              <w:rPr>
                <w:rFonts w:ascii="Arial" w:hAnsi="Arial" w:cs="Arial"/>
                <w:b/>
                <w:sz w:val="18"/>
                <w:szCs w:val="18"/>
                <w:lang w:val="el-GR"/>
              </w:rPr>
              <w:t>Κινητή Τηλεφωνία</w:t>
            </w:r>
            <w:r w:rsidRPr="00CA6E28">
              <w:rPr>
                <w:rFonts w:ascii="Arial" w:hAnsi="Arial" w:cs="Arial"/>
                <w:b/>
                <w:sz w:val="18"/>
                <w:szCs w:val="18"/>
              </w:rPr>
              <w:t>:</w:t>
            </w:r>
          </w:p>
        </w:tc>
        <w:tc>
          <w:tcPr>
            <w:tcW w:w="1072" w:type="dxa"/>
            <w:tcBorders>
              <w:top w:val="single" w:sz="2" w:space="0" w:color="808080" w:themeColor="background1" w:themeShade="80"/>
              <w:left w:val="single" w:sz="2" w:space="0" w:color="808080" w:themeColor="background1" w:themeShade="80"/>
            </w:tcBorders>
            <w:vAlign w:val="center"/>
          </w:tcPr>
          <w:p w14:paraId="5C443782" w14:textId="77777777" w:rsidR="00895717" w:rsidRPr="00CA6E28" w:rsidRDefault="00895717" w:rsidP="00895717">
            <w:pPr>
              <w:pStyle w:val="ColorfulList-Accent11"/>
              <w:tabs>
                <w:tab w:val="left" w:pos="0"/>
                <w:tab w:val="left" w:pos="284"/>
              </w:tabs>
              <w:ind w:left="0" w:right="-90"/>
              <w:jc w:val="center"/>
              <w:rPr>
                <w:rFonts w:ascii="Arial" w:hAnsi="Arial" w:cs="Arial"/>
                <w:i/>
                <w:color w:val="FF0000"/>
                <w:sz w:val="18"/>
                <w:szCs w:val="18"/>
              </w:rPr>
            </w:pPr>
          </w:p>
        </w:tc>
        <w:tc>
          <w:tcPr>
            <w:tcW w:w="1103" w:type="dxa"/>
            <w:tcBorders>
              <w:top w:val="single" w:sz="2" w:space="0" w:color="808080" w:themeColor="background1" w:themeShade="80"/>
            </w:tcBorders>
            <w:vAlign w:val="center"/>
          </w:tcPr>
          <w:p w14:paraId="40125875" w14:textId="77777777" w:rsidR="00895717" w:rsidRPr="00CA6E28" w:rsidRDefault="00895717" w:rsidP="00895717">
            <w:pPr>
              <w:pStyle w:val="ColorfulList-Accent11"/>
              <w:tabs>
                <w:tab w:val="left" w:pos="0"/>
                <w:tab w:val="left" w:pos="284"/>
              </w:tabs>
              <w:ind w:left="0" w:right="-90"/>
              <w:jc w:val="center"/>
              <w:rPr>
                <w:rFonts w:ascii="Arial" w:hAnsi="Arial" w:cs="Arial"/>
                <w:i/>
                <w:color w:val="FF0000"/>
                <w:sz w:val="18"/>
                <w:szCs w:val="18"/>
              </w:rPr>
            </w:pPr>
          </w:p>
        </w:tc>
        <w:tc>
          <w:tcPr>
            <w:tcW w:w="1183" w:type="dxa"/>
            <w:tcBorders>
              <w:top w:val="single" w:sz="2" w:space="0" w:color="808080" w:themeColor="background1" w:themeShade="80"/>
              <w:right w:val="single" w:sz="2" w:space="0" w:color="808080" w:themeColor="background1" w:themeShade="80"/>
            </w:tcBorders>
            <w:vAlign w:val="center"/>
          </w:tcPr>
          <w:p w14:paraId="1AD85F5E" w14:textId="77777777" w:rsidR="00895717" w:rsidRPr="00CA6E28" w:rsidRDefault="00895717" w:rsidP="00895717">
            <w:pPr>
              <w:pStyle w:val="ColorfulList-Accent11"/>
              <w:tabs>
                <w:tab w:val="left" w:pos="0"/>
                <w:tab w:val="left" w:pos="284"/>
              </w:tabs>
              <w:ind w:left="0" w:right="-90"/>
              <w:jc w:val="center"/>
              <w:rPr>
                <w:rFonts w:ascii="Arial" w:hAnsi="Arial" w:cs="Arial"/>
                <w:i/>
                <w:color w:val="FF0000"/>
                <w:sz w:val="18"/>
                <w:szCs w:val="18"/>
              </w:rPr>
            </w:pPr>
          </w:p>
        </w:tc>
        <w:tc>
          <w:tcPr>
            <w:tcW w:w="1183" w:type="dxa"/>
            <w:tcBorders>
              <w:top w:val="single" w:sz="2" w:space="0" w:color="808080" w:themeColor="background1" w:themeShade="80"/>
              <w:left w:val="single" w:sz="2" w:space="0" w:color="808080" w:themeColor="background1" w:themeShade="80"/>
            </w:tcBorders>
            <w:vAlign w:val="center"/>
          </w:tcPr>
          <w:p w14:paraId="79CF4AF9" w14:textId="0A02C841" w:rsidR="00895717" w:rsidRPr="00CA6E28" w:rsidRDefault="00895717" w:rsidP="00895717">
            <w:pPr>
              <w:pStyle w:val="ColorfulList-Accent11"/>
              <w:tabs>
                <w:tab w:val="left" w:pos="0"/>
                <w:tab w:val="left" w:pos="284"/>
              </w:tabs>
              <w:ind w:left="0" w:right="-90"/>
              <w:jc w:val="center"/>
              <w:rPr>
                <w:rFonts w:ascii="Arial" w:hAnsi="Arial" w:cs="Arial"/>
                <w:i/>
                <w:color w:val="FF0000"/>
                <w:sz w:val="18"/>
                <w:szCs w:val="18"/>
              </w:rPr>
            </w:pPr>
          </w:p>
        </w:tc>
        <w:tc>
          <w:tcPr>
            <w:tcW w:w="1183" w:type="dxa"/>
            <w:tcBorders>
              <w:top w:val="single" w:sz="2" w:space="0" w:color="808080" w:themeColor="background1" w:themeShade="80"/>
            </w:tcBorders>
            <w:vAlign w:val="center"/>
          </w:tcPr>
          <w:p w14:paraId="207C2AA5" w14:textId="27C916B1" w:rsidR="00895717" w:rsidRPr="00CA6E28" w:rsidRDefault="00895717" w:rsidP="00895717">
            <w:pPr>
              <w:pStyle w:val="ColorfulList-Accent11"/>
              <w:tabs>
                <w:tab w:val="left" w:pos="0"/>
                <w:tab w:val="left" w:pos="284"/>
              </w:tabs>
              <w:ind w:left="0" w:right="-90"/>
              <w:jc w:val="center"/>
              <w:rPr>
                <w:rFonts w:ascii="Arial" w:hAnsi="Arial" w:cs="Arial"/>
                <w:i/>
                <w:color w:val="FF0000"/>
                <w:sz w:val="18"/>
                <w:szCs w:val="18"/>
              </w:rPr>
            </w:pPr>
          </w:p>
        </w:tc>
        <w:tc>
          <w:tcPr>
            <w:tcW w:w="1183" w:type="dxa"/>
            <w:tcBorders>
              <w:top w:val="single" w:sz="2" w:space="0" w:color="808080" w:themeColor="background1" w:themeShade="80"/>
            </w:tcBorders>
            <w:vAlign w:val="center"/>
          </w:tcPr>
          <w:p w14:paraId="567CBCE7" w14:textId="68785D2A" w:rsidR="00895717" w:rsidRPr="00CA6E28" w:rsidRDefault="00895717" w:rsidP="00895717">
            <w:pPr>
              <w:pStyle w:val="ColorfulList-Accent11"/>
              <w:tabs>
                <w:tab w:val="left" w:pos="0"/>
                <w:tab w:val="left" w:pos="284"/>
              </w:tabs>
              <w:ind w:left="0" w:right="-90"/>
              <w:jc w:val="center"/>
              <w:rPr>
                <w:rFonts w:ascii="Arial" w:hAnsi="Arial" w:cs="Arial"/>
                <w:i/>
                <w:color w:val="FF0000"/>
                <w:sz w:val="18"/>
                <w:szCs w:val="18"/>
              </w:rPr>
            </w:pPr>
          </w:p>
        </w:tc>
      </w:tr>
      <w:tr w:rsidR="00895717" w:rsidRPr="00CA6E28" w14:paraId="148C4980" w14:textId="77777777" w:rsidTr="00172C17">
        <w:trPr>
          <w:trHeight w:val="252"/>
        </w:trPr>
        <w:tc>
          <w:tcPr>
            <w:tcW w:w="3495" w:type="dxa"/>
            <w:tcBorders>
              <w:right w:val="single" w:sz="2" w:space="0" w:color="808080" w:themeColor="background1" w:themeShade="80"/>
            </w:tcBorders>
            <w:vAlign w:val="center"/>
          </w:tcPr>
          <w:p w14:paraId="73E00AB1" w14:textId="7970719D" w:rsidR="00895717" w:rsidRPr="00CA6E28" w:rsidRDefault="00895717" w:rsidP="00895717">
            <w:pPr>
              <w:pStyle w:val="ColorfulList-Accent11"/>
              <w:tabs>
                <w:tab w:val="left" w:pos="0"/>
                <w:tab w:val="left" w:pos="284"/>
              </w:tabs>
              <w:ind w:left="0" w:right="-90"/>
              <w:rPr>
                <w:rFonts w:ascii="Arial" w:hAnsi="Arial" w:cs="Arial"/>
                <w:sz w:val="18"/>
                <w:szCs w:val="18"/>
              </w:rPr>
            </w:pPr>
            <w:r w:rsidRPr="00CA6E28">
              <w:rPr>
                <w:rFonts w:ascii="Arial" w:hAnsi="Arial" w:cs="Arial"/>
                <w:sz w:val="18"/>
                <w:szCs w:val="18"/>
                <w:lang w:val="el-GR"/>
              </w:rPr>
              <w:t>Έσοδα υπηρεσιών</w:t>
            </w:r>
          </w:p>
        </w:tc>
        <w:tc>
          <w:tcPr>
            <w:tcW w:w="1072" w:type="dxa"/>
            <w:tcBorders>
              <w:left w:val="single" w:sz="2" w:space="0" w:color="808080" w:themeColor="background1" w:themeShade="80"/>
            </w:tcBorders>
            <w:vAlign w:val="center"/>
          </w:tcPr>
          <w:p w14:paraId="5A81A530" w14:textId="6C9AFE6E" w:rsidR="00895717" w:rsidRPr="00CA6E28" w:rsidRDefault="00895717" w:rsidP="00895717">
            <w:pPr>
              <w:pStyle w:val="ColorfulList-Accent11"/>
              <w:tabs>
                <w:tab w:val="left" w:pos="0"/>
                <w:tab w:val="left" w:pos="284"/>
              </w:tabs>
              <w:ind w:left="0" w:right="-90"/>
              <w:jc w:val="center"/>
              <w:rPr>
                <w:rFonts w:ascii="Arial" w:hAnsi="Arial" w:cs="Arial"/>
                <w:color w:val="FF0000"/>
                <w:sz w:val="18"/>
                <w:szCs w:val="18"/>
              </w:rPr>
            </w:pPr>
            <w:r w:rsidRPr="00CA6E28">
              <w:rPr>
                <w:rFonts w:ascii="Arial" w:hAnsi="Arial" w:cs="Arial"/>
                <w:sz w:val="18"/>
                <w:szCs w:val="18"/>
              </w:rPr>
              <w:t>291</w:t>
            </w:r>
            <w:r w:rsidR="003B452A" w:rsidRPr="00CA6E28">
              <w:rPr>
                <w:rFonts w:ascii="Arial" w:hAnsi="Arial" w:cs="Arial"/>
                <w:sz w:val="18"/>
                <w:szCs w:val="18"/>
              </w:rPr>
              <w:t>,</w:t>
            </w:r>
            <w:r w:rsidRPr="00CA6E28">
              <w:rPr>
                <w:rFonts w:ascii="Arial" w:hAnsi="Arial" w:cs="Arial"/>
                <w:sz w:val="18"/>
                <w:szCs w:val="18"/>
              </w:rPr>
              <w:t>8</w:t>
            </w:r>
          </w:p>
        </w:tc>
        <w:tc>
          <w:tcPr>
            <w:tcW w:w="1103" w:type="dxa"/>
            <w:vAlign w:val="center"/>
          </w:tcPr>
          <w:p w14:paraId="3AAB0079" w14:textId="111FAA90" w:rsidR="00895717" w:rsidRPr="00CA6E28" w:rsidRDefault="00895717" w:rsidP="00895717">
            <w:pPr>
              <w:pStyle w:val="ColorfulList-Accent11"/>
              <w:tabs>
                <w:tab w:val="left" w:pos="0"/>
                <w:tab w:val="left" w:pos="284"/>
              </w:tabs>
              <w:ind w:left="0" w:right="-90"/>
              <w:jc w:val="center"/>
              <w:rPr>
                <w:rFonts w:ascii="Arial" w:hAnsi="Arial" w:cs="Arial"/>
                <w:color w:val="FF0000"/>
                <w:sz w:val="18"/>
                <w:szCs w:val="18"/>
              </w:rPr>
            </w:pPr>
            <w:r w:rsidRPr="00CA6E28">
              <w:rPr>
                <w:rFonts w:ascii="Arial" w:hAnsi="Arial" w:cs="Arial"/>
                <w:sz w:val="18"/>
                <w:szCs w:val="18"/>
              </w:rPr>
              <w:t>284</w:t>
            </w:r>
            <w:r w:rsidR="003B452A" w:rsidRPr="00CA6E28">
              <w:rPr>
                <w:rFonts w:ascii="Arial" w:hAnsi="Arial" w:cs="Arial"/>
                <w:sz w:val="18"/>
                <w:szCs w:val="18"/>
              </w:rPr>
              <w:t>,</w:t>
            </w:r>
            <w:r w:rsidRPr="00CA6E28">
              <w:rPr>
                <w:rFonts w:ascii="Arial" w:hAnsi="Arial" w:cs="Arial"/>
                <w:sz w:val="18"/>
                <w:szCs w:val="18"/>
              </w:rPr>
              <w:t>2</w:t>
            </w:r>
          </w:p>
        </w:tc>
        <w:tc>
          <w:tcPr>
            <w:tcW w:w="1183" w:type="dxa"/>
            <w:tcBorders>
              <w:right w:val="single" w:sz="2" w:space="0" w:color="808080" w:themeColor="background1" w:themeShade="80"/>
            </w:tcBorders>
            <w:vAlign w:val="center"/>
          </w:tcPr>
          <w:p w14:paraId="4D3DFA39" w14:textId="1BA2BE73" w:rsidR="00895717" w:rsidRPr="00CA6E28" w:rsidRDefault="00895717" w:rsidP="00895717">
            <w:pPr>
              <w:pStyle w:val="ColorfulList-Accent11"/>
              <w:tabs>
                <w:tab w:val="left" w:pos="0"/>
                <w:tab w:val="left" w:pos="284"/>
              </w:tabs>
              <w:ind w:left="0" w:right="-90"/>
              <w:jc w:val="center"/>
              <w:rPr>
                <w:rFonts w:ascii="Arial" w:hAnsi="Arial" w:cs="Arial"/>
                <w:color w:val="FF0000"/>
                <w:sz w:val="18"/>
                <w:szCs w:val="18"/>
              </w:rPr>
            </w:pPr>
            <w:r w:rsidRPr="00CA6E28">
              <w:rPr>
                <w:rFonts w:ascii="Arial" w:hAnsi="Arial" w:cs="Arial"/>
                <w:sz w:val="18"/>
                <w:szCs w:val="18"/>
              </w:rPr>
              <w:t>+2</w:t>
            </w:r>
            <w:r w:rsidR="003B452A" w:rsidRPr="00CA6E28">
              <w:rPr>
                <w:rFonts w:ascii="Arial" w:hAnsi="Arial" w:cs="Arial"/>
                <w:sz w:val="18"/>
                <w:szCs w:val="18"/>
              </w:rPr>
              <w:t>,</w:t>
            </w:r>
            <w:r w:rsidRPr="00CA6E28">
              <w:rPr>
                <w:rFonts w:ascii="Arial" w:hAnsi="Arial" w:cs="Arial"/>
                <w:sz w:val="18"/>
                <w:szCs w:val="18"/>
              </w:rPr>
              <w:t>7%</w:t>
            </w:r>
          </w:p>
        </w:tc>
        <w:tc>
          <w:tcPr>
            <w:tcW w:w="1183" w:type="dxa"/>
            <w:tcBorders>
              <w:left w:val="single" w:sz="2" w:space="0" w:color="808080" w:themeColor="background1" w:themeShade="80"/>
            </w:tcBorders>
            <w:vAlign w:val="center"/>
          </w:tcPr>
          <w:p w14:paraId="5DB5357F" w14:textId="06DF1FAC" w:rsidR="00895717" w:rsidRPr="00CA6E28" w:rsidRDefault="00895717" w:rsidP="00895717">
            <w:pPr>
              <w:pStyle w:val="ColorfulList-Accent11"/>
              <w:tabs>
                <w:tab w:val="left" w:pos="0"/>
                <w:tab w:val="left" w:pos="284"/>
              </w:tabs>
              <w:ind w:left="0" w:right="-90"/>
              <w:jc w:val="center"/>
              <w:rPr>
                <w:rFonts w:ascii="Arial" w:hAnsi="Arial" w:cs="Arial"/>
                <w:sz w:val="18"/>
                <w:szCs w:val="18"/>
              </w:rPr>
            </w:pPr>
            <w:r w:rsidRPr="00CA6E28">
              <w:rPr>
                <w:rFonts w:ascii="Arial" w:hAnsi="Arial" w:cs="Arial"/>
                <w:sz w:val="18"/>
                <w:szCs w:val="18"/>
              </w:rPr>
              <w:t>803</w:t>
            </w:r>
            <w:r w:rsidR="003B452A" w:rsidRPr="00CA6E28">
              <w:rPr>
                <w:rFonts w:ascii="Arial" w:hAnsi="Arial" w:cs="Arial"/>
                <w:sz w:val="18"/>
                <w:szCs w:val="18"/>
              </w:rPr>
              <w:t>,</w:t>
            </w:r>
            <w:r w:rsidRPr="00CA6E28">
              <w:rPr>
                <w:rFonts w:ascii="Arial" w:hAnsi="Arial" w:cs="Arial"/>
                <w:sz w:val="18"/>
                <w:szCs w:val="18"/>
              </w:rPr>
              <w:t>7</w:t>
            </w:r>
          </w:p>
        </w:tc>
        <w:tc>
          <w:tcPr>
            <w:tcW w:w="1183" w:type="dxa"/>
            <w:vAlign w:val="center"/>
          </w:tcPr>
          <w:p w14:paraId="0BD22C58" w14:textId="38CEB64B" w:rsidR="00895717" w:rsidRPr="00CA6E28" w:rsidRDefault="00895717" w:rsidP="00895717">
            <w:pPr>
              <w:pStyle w:val="ColorfulList-Accent11"/>
              <w:tabs>
                <w:tab w:val="left" w:pos="0"/>
                <w:tab w:val="left" w:pos="284"/>
              </w:tabs>
              <w:ind w:left="0" w:right="-90"/>
              <w:jc w:val="center"/>
              <w:rPr>
                <w:rFonts w:ascii="Arial" w:hAnsi="Arial" w:cs="Arial"/>
                <w:sz w:val="18"/>
                <w:szCs w:val="18"/>
              </w:rPr>
            </w:pPr>
            <w:r w:rsidRPr="00CA6E28">
              <w:rPr>
                <w:rFonts w:ascii="Arial" w:hAnsi="Arial" w:cs="Arial"/>
                <w:sz w:val="18"/>
                <w:szCs w:val="18"/>
              </w:rPr>
              <w:t>784</w:t>
            </w:r>
            <w:r w:rsidR="003B452A" w:rsidRPr="00CA6E28">
              <w:rPr>
                <w:rFonts w:ascii="Arial" w:hAnsi="Arial" w:cs="Arial"/>
                <w:sz w:val="18"/>
                <w:szCs w:val="18"/>
              </w:rPr>
              <w:t>,</w:t>
            </w:r>
            <w:r w:rsidRPr="00CA6E28">
              <w:rPr>
                <w:rFonts w:ascii="Arial" w:hAnsi="Arial" w:cs="Arial"/>
                <w:sz w:val="18"/>
                <w:szCs w:val="18"/>
              </w:rPr>
              <w:t>9</w:t>
            </w:r>
          </w:p>
        </w:tc>
        <w:tc>
          <w:tcPr>
            <w:tcW w:w="1183" w:type="dxa"/>
            <w:vAlign w:val="center"/>
          </w:tcPr>
          <w:p w14:paraId="18FBF254" w14:textId="6DFCAD59" w:rsidR="00895717" w:rsidRPr="00CA6E28" w:rsidRDefault="00895717" w:rsidP="00895717">
            <w:pPr>
              <w:pStyle w:val="ColorfulList-Accent11"/>
              <w:tabs>
                <w:tab w:val="left" w:pos="0"/>
                <w:tab w:val="left" w:pos="284"/>
              </w:tabs>
              <w:ind w:left="0" w:right="-90"/>
              <w:jc w:val="center"/>
              <w:rPr>
                <w:rFonts w:ascii="Arial" w:hAnsi="Arial" w:cs="Arial"/>
                <w:sz w:val="18"/>
                <w:szCs w:val="18"/>
              </w:rPr>
            </w:pPr>
            <w:r w:rsidRPr="00CA6E28">
              <w:rPr>
                <w:rFonts w:ascii="Arial" w:hAnsi="Arial" w:cs="Arial"/>
                <w:sz w:val="18"/>
                <w:szCs w:val="18"/>
              </w:rPr>
              <w:t>+2</w:t>
            </w:r>
            <w:r w:rsidR="003B452A" w:rsidRPr="00CA6E28">
              <w:rPr>
                <w:rFonts w:ascii="Arial" w:hAnsi="Arial" w:cs="Arial"/>
                <w:sz w:val="18"/>
                <w:szCs w:val="18"/>
              </w:rPr>
              <w:t>,</w:t>
            </w:r>
            <w:r w:rsidRPr="00CA6E28">
              <w:rPr>
                <w:rFonts w:ascii="Arial" w:hAnsi="Arial" w:cs="Arial"/>
                <w:sz w:val="18"/>
                <w:szCs w:val="18"/>
              </w:rPr>
              <w:t>4%</w:t>
            </w:r>
          </w:p>
        </w:tc>
      </w:tr>
      <w:tr w:rsidR="00895717" w:rsidRPr="00CA6E28" w14:paraId="4B896738" w14:textId="77777777" w:rsidTr="00172C17">
        <w:trPr>
          <w:trHeight w:val="252"/>
        </w:trPr>
        <w:tc>
          <w:tcPr>
            <w:tcW w:w="3495" w:type="dxa"/>
            <w:tcBorders>
              <w:right w:val="single" w:sz="2" w:space="0" w:color="808080" w:themeColor="background1" w:themeShade="80"/>
            </w:tcBorders>
            <w:vAlign w:val="center"/>
          </w:tcPr>
          <w:p w14:paraId="473D7941" w14:textId="69C38134" w:rsidR="00895717" w:rsidRPr="00CA6E28" w:rsidRDefault="00895717" w:rsidP="00895717">
            <w:pPr>
              <w:pStyle w:val="ColorfulList-Accent11"/>
              <w:tabs>
                <w:tab w:val="left" w:pos="0"/>
                <w:tab w:val="left" w:pos="284"/>
              </w:tabs>
              <w:ind w:left="0" w:right="-90"/>
              <w:rPr>
                <w:rFonts w:ascii="Arial" w:hAnsi="Arial" w:cs="Arial"/>
                <w:sz w:val="18"/>
                <w:szCs w:val="18"/>
              </w:rPr>
            </w:pPr>
            <w:r w:rsidRPr="00CA6E28">
              <w:rPr>
                <w:rFonts w:ascii="Arial" w:hAnsi="Arial" w:cs="Arial"/>
                <w:sz w:val="18"/>
                <w:szCs w:val="18"/>
                <w:lang w:val="el-GR"/>
              </w:rPr>
              <w:t>Έσοδα πώλησης συσκευών</w:t>
            </w:r>
          </w:p>
        </w:tc>
        <w:tc>
          <w:tcPr>
            <w:tcW w:w="1072" w:type="dxa"/>
            <w:tcBorders>
              <w:left w:val="single" w:sz="2" w:space="0" w:color="808080" w:themeColor="background1" w:themeShade="80"/>
            </w:tcBorders>
            <w:vAlign w:val="center"/>
          </w:tcPr>
          <w:p w14:paraId="5BBE9BEC" w14:textId="6D34268C" w:rsidR="00895717" w:rsidRPr="00CA6E28" w:rsidRDefault="00895717" w:rsidP="00895717">
            <w:pPr>
              <w:pStyle w:val="ColorfulList-Accent11"/>
              <w:tabs>
                <w:tab w:val="left" w:pos="0"/>
                <w:tab w:val="left" w:pos="284"/>
              </w:tabs>
              <w:ind w:left="0" w:right="-90"/>
              <w:jc w:val="center"/>
              <w:rPr>
                <w:rFonts w:ascii="Arial" w:hAnsi="Arial" w:cs="Arial"/>
                <w:color w:val="FF0000"/>
                <w:sz w:val="18"/>
                <w:szCs w:val="18"/>
              </w:rPr>
            </w:pPr>
            <w:r w:rsidRPr="00CA6E28">
              <w:rPr>
                <w:rFonts w:ascii="Arial" w:hAnsi="Arial" w:cs="Arial"/>
                <w:sz w:val="18"/>
                <w:szCs w:val="18"/>
              </w:rPr>
              <w:t>48</w:t>
            </w:r>
            <w:r w:rsidR="003B452A" w:rsidRPr="00CA6E28">
              <w:rPr>
                <w:rFonts w:ascii="Arial" w:hAnsi="Arial" w:cs="Arial"/>
                <w:sz w:val="18"/>
                <w:szCs w:val="18"/>
              </w:rPr>
              <w:t>,</w:t>
            </w:r>
            <w:r w:rsidRPr="00CA6E28">
              <w:rPr>
                <w:rFonts w:ascii="Arial" w:hAnsi="Arial" w:cs="Arial"/>
                <w:sz w:val="18"/>
                <w:szCs w:val="18"/>
              </w:rPr>
              <w:t>4</w:t>
            </w:r>
          </w:p>
        </w:tc>
        <w:tc>
          <w:tcPr>
            <w:tcW w:w="1103" w:type="dxa"/>
            <w:vAlign w:val="center"/>
          </w:tcPr>
          <w:p w14:paraId="3A7099C1" w14:textId="04B7B7C2" w:rsidR="00895717" w:rsidRPr="00CA6E28" w:rsidRDefault="00895717" w:rsidP="00895717">
            <w:pPr>
              <w:pStyle w:val="ColorfulList-Accent11"/>
              <w:tabs>
                <w:tab w:val="left" w:pos="0"/>
                <w:tab w:val="left" w:pos="284"/>
              </w:tabs>
              <w:ind w:left="0" w:right="-90"/>
              <w:jc w:val="center"/>
              <w:rPr>
                <w:rFonts w:ascii="Arial" w:hAnsi="Arial" w:cs="Arial"/>
                <w:color w:val="FF0000"/>
                <w:sz w:val="18"/>
                <w:szCs w:val="18"/>
              </w:rPr>
            </w:pPr>
            <w:r w:rsidRPr="00CA6E28">
              <w:rPr>
                <w:rFonts w:ascii="Arial" w:hAnsi="Arial" w:cs="Arial"/>
                <w:sz w:val="18"/>
                <w:szCs w:val="18"/>
              </w:rPr>
              <w:t>57</w:t>
            </w:r>
            <w:r w:rsidR="003B452A" w:rsidRPr="00CA6E28">
              <w:rPr>
                <w:rFonts w:ascii="Arial" w:hAnsi="Arial" w:cs="Arial"/>
                <w:sz w:val="18"/>
                <w:szCs w:val="18"/>
              </w:rPr>
              <w:t>,</w:t>
            </w:r>
            <w:r w:rsidRPr="00CA6E28">
              <w:rPr>
                <w:rFonts w:ascii="Arial" w:hAnsi="Arial" w:cs="Arial"/>
                <w:sz w:val="18"/>
                <w:szCs w:val="18"/>
              </w:rPr>
              <w:t>1</w:t>
            </w:r>
          </w:p>
        </w:tc>
        <w:tc>
          <w:tcPr>
            <w:tcW w:w="1183" w:type="dxa"/>
            <w:tcBorders>
              <w:right w:val="single" w:sz="2" w:space="0" w:color="808080" w:themeColor="background1" w:themeShade="80"/>
            </w:tcBorders>
            <w:vAlign w:val="center"/>
          </w:tcPr>
          <w:p w14:paraId="0CC765F8" w14:textId="41FDF66A" w:rsidR="00895717" w:rsidRPr="00CA6E28" w:rsidRDefault="00895717" w:rsidP="00895717">
            <w:pPr>
              <w:pStyle w:val="ColorfulList-Accent11"/>
              <w:tabs>
                <w:tab w:val="left" w:pos="0"/>
                <w:tab w:val="left" w:pos="284"/>
              </w:tabs>
              <w:ind w:left="0" w:right="-90"/>
              <w:jc w:val="center"/>
              <w:rPr>
                <w:rFonts w:ascii="Arial" w:hAnsi="Arial" w:cs="Arial"/>
                <w:color w:val="FF0000"/>
                <w:sz w:val="18"/>
                <w:szCs w:val="18"/>
              </w:rPr>
            </w:pPr>
            <w:r w:rsidRPr="00CA6E28">
              <w:rPr>
                <w:rFonts w:ascii="Arial" w:hAnsi="Arial" w:cs="Arial"/>
                <w:sz w:val="18"/>
                <w:szCs w:val="18"/>
              </w:rPr>
              <w:t>-15</w:t>
            </w:r>
            <w:r w:rsidR="003B452A" w:rsidRPr="00CA6E28">
              <w:rPr>
                <w:rFonts w:ascii="Arial" w:hAnsi="Arial" w:cs="Arial"/>
                <w:sz w:val="18"/>
                <w:szCs w:val="18"/>
              </w:rPr>
              <w:t>,</w:t>
            </w:r>
            <w:r w:rsidRPr="00CA6E28">
              <w:rPr>
                <w:rFonts w:ascii="Arial" w:hAnsi="Arial" w:cs="Arial"/>
                <w:sz w:val="18"/>
                <w:szCs w:val="18"/>
              </w:rPr>
              <w:t>2%</w:t>
            </w:r>
          </w:p>
        </w:tc>
        <w:tc>
          <w:tcPr>
            <w:tcW w:w="1183" w:type="dxa"/>
            <w:tcBorders>
              <w:left w:val="single" w:sz="2" w:space="0" w:color="808080" w:themeColor="background1" w:themeShade="80"/>
            </w:tcBorders>
            <w:vAlign w:val="center"/>
          </w:tcPr>
          <w:p w14:paraId="589FA14D" w14:textId="17113A5D" w:rsidR="00895717" w:rsidRPr="00CA6E28" w:rsidRDefault="00895717" w:rsidP="00895717">
            <w:pPr>
              <w:pStyle w:val="ColorfulList-Accent11"/>
              <w:tabs>
                <w:tab w:val="left" w:pos="0"/>
                <w:tab w:val="left" w:pos="284"/>
              </w:tabs>
              <w:ind w:left="0" w:right="-90"/>
              <w:jc w:val="center"/>
              <w:rPr>
                <w:rFonts w:ascii="Arial" w:hAnsi="Arial" w:cs="Arial"/>
                <w:sz w:val="18"/>
                <w:szCs w:val="18"/>
              </w:rPr>
            </w:pPr>
            <w:r w:rsidRPr="00CA6E28">
              <w:rPr>
                <w:rFonts w:ascii="Arial" w:hAnsi="Arial" w:cs="Arial"/>
                <w:sz w:val="18"/>
                <w:szCs w:val="18"/>
              </w:rPr>
              <w:t>139</w:t>
            </w:r>
            <w:r w:rsidR="003B452A" w:rsidRPr="00CA6E28">
              <w:rPr>
                <w:rFonts w:ascii="Arial" w:hAnsi="Arial" w:cs="Arial"/>
                <w:sz w:val="18"/>
                <w:szCs w:val="18"/>
              </w:rPr>
              <w:t>,</w:t>
            </w:r>
            <w:r w:rsidRPr="00CA6E28">
              <w:rPr>
                <w:rFonts w:ascii="Arial" w:hAnsi="Arial" w:cs="Arial"/>
                <w:sz w:val="18"/>
                <w:szCs w:val="18"/>
              </w:rPr>
              <w:t>4</w:t>
            </w:r>
          </w:p>
        </w:tc>
        <w:tc>
          <w:tcPr>
            <w:tcW w:w="1183" w:type="dxa"/>
            <w:vAlign w:val="center"/>
          </w:tcPr>
          <w:p w14:paraId="7EFBE860" w14:textId="0AF8ADB2" w:rsidR="00895717" w:rsidRPr="00CA6E28" w:rsidRDefault="00895717" w:rsidP="00895717">
            <w:pPr>
              <w:pStyle w:val="ColorfulList-Accent11"/>
              <w:tabs>
                <w:tab w:val="left" w:pos="0"/>
                <w:tab w:val="left" w:pos="284"/>
              </w:tabs>
              <w:ind w:left="0" w:right="-90"/>
              <w:jc w:val="center"/>
              <w:rPr>
                <w:rFonts w:ascii="Arial" w:hAnsi="Arial" w:cs="Arial"/>
                <w:sz w:val="18"/>
                <w:szCs w:val="18"/>
              </w:rPr>
            </w:pPr>
            <w:r w:rsidRPr="00CA6E28">
              <w:rPr>
                <w:rFonts w:ascii="Arial" w:hAnsi="Arial" w:cs="Arial"/>
                <w:sz w:val="18"/>
                <w:szCs w:val="18"/>
              </w:rPr>
              <w:t>164</w:t>
            </w:r>
            <w:r w:rsidR="003B452A" w:rsidRPr="00CA6E28">
              <w:rPr>
                <w:rFonts w:ascii="Arial" w:hAnsi="Arial" w:cs="Arial"/>
                <w:sz w:val="18"/>
                <w:szCs w:val="18"/>
              </w:rPr>
              <w:t>,</w:t>
            </w:r>
            <w:r w:rsidRPr="00CA6E28">
              <w:rPr>
                <w:rFonts w:ascii="Arial" w:hAnsi="Arial" w:cs="Arial"/>
                <w:sz w:val="18"/>
                <w:szCs w:val="18"/>
              </w:rPr>
              <w:t>4</w:t>
            </w:r>
          </w:p>
        </w:tc>
        <w:tc>
          <w:tcPr>
            <w:tcW w:w="1183" w:type="dxa"/>
            <w:vAlign w:val="center"/>
          </w:tcPr>
          <w:p w14:paraId="210EB02D" w14:textId="32D209A1" w:rsidR="00895717" w:rsidRPr="00CA6E28" w:rsidRDefault="00895717" w:rsidP="00895717">
            <w:pPr>
              <w:pStyle w:val="ColorfulList-Accent11"/>
              <w:tabs>
                <w:tab w:val="left" w:pos="0"/>
                <w:tab w:val="left" w:pos="284"/>
              </w:tabs>
              <w:ind w:left="0" w:right="-90"/>
              <w:jc w:val="center"/>
              <w:rPr>
                <w:rFonts w:ascii="Arial" w:hAnsi="Arial" w:cs="Arial"/>
                <w:sz w:val="18"/>
                <w:szCs w:val="18"/>
              </w:rPr>
            </w:pPr>
            <w:r w:rsidRPr="00CA6E28">
              <w:rPr>
                <w:rFonts w:ascii="Arial" w:hAnsi="Arial" w:cs="Arial"/>
                <w:sz w:val="18"/>
                <w:szCs w:val="18"/>
              </w:rPr>
              <w:t>-15</w:t>
            </w:r>
            <w:r w:rsidR="003B452A" w:rsidRPr="00CA6E28">
              <w:rPr>
                <w:rFonts w:ascii="Arial" w:hAnsi="Arial" w:cs="Arial"/>
                <w:sz w:val="18"/>
                <w:szCs w:val="18"/>
              </w:rPr>
              <w:t>,</w:t>
            </w:r>
            <w:r w:rsidRPr="00CA6E28">
              <w:rPr>
                <w:rFonts w:ascii="Arial" w:hAnsi="Arial" w:cs="Arial"/>
                <w:sz w:val="18"/>
                <w:szCs w:val="18"/>
              </w:rPr>
              <w:t>2%</w:t>
            </w:r>
          </w:p>
        </w:tc>
      </w:tr>
      <w:tr w:rsidR="00895717" w:rsidRPr="00CA6E28" w14:paraId="0BDD367A" w14:textId="77777777" w:rsidTr="00172C17">
        <w:trPr>
          <w:trHeight w:val="135"/>
        </w:trPr>
        <w:tc>
          <w:tcPr>
            <w:tcW w:w="3495" w:type="dxa"/>
            <w:tcBorders>
              <w:bottom w:val="single" w:sz="2" w:space="0" w:color="808080" w:themeColor="background1" w:themeShade="80"/>
              <w:right w:val="single" w:sz="2" w:space="0" w:color="808080" w:themeColor="background1" w:themeShade="80"/>
            </w:tcBorders>
            <w:vAlign w:val="center"/>
          </w:tcPr>
          <w:p w14:paraId="752A94F6" w14:textId="0C409AC2" w:rsidR="00895717" w:rsidRPr="00CA6E28" w:rsidRDefault="00895717" w:rsidP="00895717">
            <w:pPr>
              <w:pStyle w:val="ColorfulList-Accent11"/>
              <w:tabs>
                <w:tab w:val="left" w:pos="0"/>
                <w:tab w:val="left" w:pos="284"/>
              </w:tabs>
              <w:ind w:left="0" w:right="-90"/>
              <w:rPr>
                <w:rFonts w:ascii="Arial" w:hAnsi="Arial" w:cs="Arial"/>
                <w:sz w:val="18"/>
                <w:szCs w:val="18"/>
              </w:rPr>
            </w:pPr>
            <w:r w:rsidRPr="00CA6E28">
              <w:rPr>
                <w:rFonts w:ascii="Arial" w:hAnsi="Arial" w:cs="Arial"/>
                <w:sz w:val="18"/>
                <w:szCs w:val="18"/>
                <w:lang w:val="el-GR"/>
              </w:rPr>
              <w:t>Λοιπά έσοδα</w:t>
            </w:r>
          </w:p>
        </w:tc>
        <w:tc>
          <w:tcPr>
            <w:tcW w:w="1072" w:type="dxa"/>
            <w:tcBorders>
              <w:left w:val="single" w:sz="2" w:space="0" w:color="808080" w:themeColor="background1" w:themeShade="80"/>
              <w:bottom w:val="single" w:sz="2" w:space="0" w:color="808080" w:themeColor="background1" w:themeShade="80"/>
            </w:tcBorders>
            <w:vAlign w:val="center"/>
          </w:tcPr>
          <w:p w14:paraId="3125EAAC" w14:textId="012C4A14" w:rsidR="00895717" w:rsidRPr="00CA6E28" w:rsidRDefault="00895717" w:rsidP="00895717">
            <w:pPr>
              <w:pStyle w:val="ColorfulList-Accent11"/>
              <w:tabs>
                <w:tab w:val="left" w:pos="0"/>
                <w:tab w:val="left" w:pos="284"/>
              </w:tabs>
              <w:ind w:left="0" w:right="-90"/>
              <w:jc w:val="center"/>
              <w:rPr>
                <w:rFonts w:ascii="Arial" w:hAnsi="Arial" w:cs="Arial"/>
                <w:color w:val="FF0000"/>
                <w:sz w:val="18"/>
                <w:szCs w:val="18"/>
              </w:rPr>
            </w:pPr>
            <w:r w:rsidRPr="00CA6E28">
              <w:rPr>
                <w:rFonts w:ascii="Arial" w:hAnsi="Arial" w:cs="Arial"/>
                <w:sz w:val="18"/>
                <w:szCs w:val="18"/>
              </w:rPr>
              <w:t>0</w:t>
            </w:r>
            <w:r w:rsidR="003B452A" w:rsidRPr="00CA6E28">
              <w:rPr>
                <w:rFonts w:ascii="Arial" w:hAnsi="Arial" w:cs="Arial"/>
                <w:sz w:val="18"/>
                <w:szCs w:val="18"/>
              </w:rPr>
              <w:t>,</w:t>
            </w:r>
            <w:r w:rsidRPr="00CA6E28">
              <w:rPr>
                <w:rFonts w:ascii="Arial" w:hAnsi="Arial" w:cs="Arial"/>
                <w:sz w:val="18"/>
                <w:szCs w:val="18"/>
              </w:rPr>
              <w:t>8</w:t>
            </w:r>
          </w:p>
        </w:tc>
        <w:tc>
          <w:tcPr>
            <w:tcW w:w="1103" w:type="dxa"/>
            <w:tcBorders>
              <w:bottom w:val="single" w:sz="2" w:space="0" w:color="808080" w:themeColor="background1" w:themeShade="80"/>
            </w:tcBorders>
            <w:vAlign w:val="center"/>
          </w:tcPr>
          <w:p w14:paraId="16A88B66" w14:textId="1B228E86" w:rsidR="00895717" w:rsidRPr="00CA6E28" w:rsidRDefault="00895717" w:rsidP="00895717">
            <w:pPr>
              <w:pStyle w:val="ColorfulList-Accent11"/>
              <w:tabs>
                <w:tab w:val="left" w:pos="0"/>
                <w:tab w:val="left" w:pos="284"/>
              </w:tabs>
              <w:ind w:left="0" w:right="-90"/>
              <w:jc w:val="center"/>
              <w:rPr>
                <w:rFonts w:ascii="Arial" w:hAnsi="Arial" w:cs="Arial"/>
                <w:color w:val="FF0000"/>
                <w:sz w:val="18"/>
                <w:szCs w:val="18"/>
              </w:rPr>
            </w:pPr>
            <w:r w:rsidRPr="00CA6E28">
              <w:rPr>
                <w:rFonts w:ascii="Arial" w:hAnsi="Arial" w:cs="Arial"/>
                <w:sz w:val="18"/>
                <w:szCs w:val="18"/>
              </w:rPr>
              <w:t>0</w:t>
            </w:r>
            <w:r w:rsidR="003B452A" w:rsidRPr="00CA6E28">
              <w:rPr>
                <w:rFonts w:ascii="Arial" w:hAnsi="Arial" w:cs="Arial"/>
                <w:sz w:val="18"/>
                <w:szCs w:val="18"/>
              </w:rPr>
              <w:t>,</w:t>
            </w:r>
            <w:r w:rsidRPr="00CA6E28">
              <w:rPr>
                <w:rFonts w:ascii="Arial" w:hAnsi="Arial" w:cs="Arial"/>
                <w:sz w:val="18"/>
                <w:szCs w:val="18"/>
              </w:rPr>
              <w:t>9</w:t>
            </w:r>
          </w:p>
        </w:tc>
        <w:tc>
          <w:tcPr>
            <w:tcW w:w="1183" w:type="dxa"/>
            <w:tcBorders>
              <w:bottom w:val="single" w:sz="2" w:space="0" w:color="808080" w:themeColor="background1" w:themeShade="80"/>
              <w:right w:val="single" w:sz="2" w:space="0" w:color="808080" w:themeColor="background1" w:themeShade="80"/>
            </w:tcBorders>
            <w:vAlign w:val="center"/>
          </w:tcPr>
          <w:p w14:paraId="5AF88366" w14:textId="6ABCCB81" w:rsidR="00895717" w:rsidRPr="00CA6E28" w:rsidRDefault="00895717" w:rsidP="00895717">
            <w:pPr>
              <w:pStyle w:val="ColorfulList-Accent11"/>
              <w:tabs>
                <w:tab w:val="left" w:pos="0"/>
                <w:tab w:val="left" w:pos="284"/>
              </w:tabs>
              <w:ind w:left="0" w:right="-90"/>
              <w:jc w:val="center"/>
              <w:rPr>
                <w:rFonts w:ascii="Arial" w:hAnsi="Arial" w:cs="Arial"/>
                <w:color w:val="FF0000"/>
                <w:sz w:val="18"/>
                <w:szCs w:val="18"/>
              </w:rPr>
            </w:pPr>
            <w:r w:rsidRPr="00CA6E28">
              <w:rPr>
                <w:rFonts w:ascii="Arial" w:hAnsi="Arial" w:cs="Arial"/>
                <w:sz w:val="18"/>
                <w:szCs w:val="18"/>
              </w:rPr>
              <w:t>-11</w:t>
            </w:r>
            <w:r w:rsidR="003B452A" w:rsidRPr="00CA6E28">
              <w:rPr>
                <w:rFonts w:ascii="Arial" w:hAnsi="Arial" w:cs="Arial"/>
                <w:sz w:val="18"/>
                <w:szCs w:val="18"/>
              </w:rPr>
              <w:t>,</w:t>
            </w:r>
            <w:r w:rsidRPr="00CA6E28">
              <w:rPr>
                <w:rFonts w:ascii="Arial" w:hAnsi="Arial" w:cs="Arial"/>
                <w:sz w:val="18"/>
                <w:szCs w:val="18"/>
              </w:rPr>
              <w:t>1%</w:t>
            </w:r>
          </w:p>
        </w:tc>
        <w:tc>
          <w:tcPr>
            <w:tcW w:w="1183" w:type="dxa"/>
            <w:tcBorders>
              <w:left w:val="single" w:sz="2" w:space="0" w:color="808080" w:themeColor="background1" w:themeShade="80"/>
              <w:bottom w:val="single" w:sz="2" w:space="0" w:color="808080" w:themeColor="background1" w:themeShade="80"/>
            </w:tcBorders>
            <w:vAlign w:val="center"/>
          </w:tcPr>
          <w:p w14:paraId="0AD5B481" w14:textId="17C2796F" w:rsidR="00895717" w:rsidRPr="00CA6E28" w:rsidRDefault="00895717" w:rsidP="00895717">
            <w:pPr>
              <w:pStyle w:val="ColorfulList-Accent11"/>
              <w:tabs>
                <w:tab w:val="left" w:pos="0"/>
                <w:tab w:val="left" w:pos="284"/>
              </w:tabs>
              <w:ind w:left="0" w:right="-90"/>
              <w:jc w:val="center"/>
              <w:rPr>
                <w:rFonts w:ascii="Arial" w:hAnsi="Arial" w:cs="Arial"/>
                <w:sz w:val="18"/>
                <w:szCs w:val="18"/>
              </w:rPr>
            </w:pPr>
            <w:r w:rsidRPr="00CA6E28">
              <w:rPr>
                <w:rFonts w:ascii="Arial" w:hAnsi="Arial" w:cs="Arial"/>
                <w:sz w:val="18"/>
                <w:szCs w:val="18"/>
              </w:rPr>
              <w:t>2</w:t>
            </w:r>
            <w:r w:rsidR="003B452A" w:rsidRPr="00CA6E28">
              <w:rPr>
                <w:rFonts w:ascii="Arial" w:hAnsi="Arial" w:cs="Arial"/>
                <w:sz w:val="18"/>
                <w:szCs w:val="18"/>
              </w:rPr>
              <w:t>,</w:t>
            </w:r>
            <w:r w:rsidRPr="00CA6E28">
              <w:rPr>
                <w:rFonts w:ascii="Arial" w:hAnsi="Arial" w:cs="Arial"/>
                <w:sz w:val="18"/>
                <w:szCs w:val="18"/>
              </w:rPr>
              <w:t>3</w:t>
            </w:r>
          </w:p>
        </w:tc>
        <w:tc>
          <w:tcPr>
            <w:tcW w:w="1183" w:type="dxa"/>
            <w:tcBorders>
              <w:bottom w:val="single" w:sz="2" w:space="0" w:color="808080" w:themeColor="background1" w:themeShade="80"/>
            </w:tcBorders>
            <w:vAlign w:val="center"/>
          </w:tcPr>
          <w:p w14:paraId="437A612D" w14:textId="1AB952A2" w:rsidR="00895717" w:rsidRPr="00CA6E28" w:rsidRDefault="00895717" w:rsidP="00895717">
            <w:pPr>
              <w:pStyle w:val="ColorfulList-Accent11"/>
              <w:tabs>
                <w:tab w:val="left" w:pos="0"/>
                <w:tab w:val="left" w:pos="284"/>
              </w:tabs>
              <w:ind w:left="0" w:right="-90"/>
              <w:jc w:val="center"/>
              <w:rPr>
                <w:rFonts w:ascii="Arial" w:hAnsi="Arial" w:cs="Arial"/>
                <w:sz w:val="18"/>
                <w:szCs w:val="18"/>
              </w:rPr>
            </w:pPr>
            <w:r w:rsidRPr="00CA6E28">
              <w:rPr>
                <w:rFonts w:ascii="Arial" w:hAnsi="Arial" w:cs="Arial"/>
                <w:sz w:val="18"/>
                <w:szCs w:val="18"/>
              </w:rPr>
              <w:t>2</w:t>
            </w:r>
            <w:r w:rsidR="003B452A" w:rsidRPr="00CA6E28">
              <w:rPr>
                <w:rFonts w:ascii="Arial" w:hAnsi="Arial" w:cs="Arial"/>
                <w:sz w:val="18"/>
                <w:szCs w:val="18"/>
              </w:rPr>
              <w:t>,</w:t>
            </w:r>
            <w:r w:rsidRPr="00CA6E28">
              <w:rPr>
                <w:rFonts w:ascii="Arial" w:hAnsi="Arial" w:cs="Arial"/>
                <w:sz w:val="18"/>
                <w:szCs w:val="18"/>
              </w:rPr>
              <w:t>3</w:t>
            </w:r>
          </w:p>
        </w:tc>
        <w:tc>
          <w:tcPr>
            <w:tcW w:w="1183" w:type="dxa"/>
            <w:tcBorders>
              <w:bottom w:val="single" w:sz="2" w:space="0" w:color="808080" w:themeColor="background1" w:themeShade="80"/>
            </w:tcBorders>
            <w:vAlign w:val="center"/>
          </w:tcPr>
          <w:p w14:paraId="48EECA8C" w14:textId="03CE59E5" w:rsidR="00895717" w:rsidRPr="00CA6E28" w:rsidRDefault="00EE77F0" w:rsidP="00895717">
            <w:pPr>
              <w:pStyle w:val="ColorfulList-Accent11"/>
              <w:tabs>
                <w:tab w:val="left" w:pos="0"/>
                <w:tab w:val="left" w:pos="284"/>
              </w:tabs>
              <w:ind w:left="0" w:right="-90"/>
              <w:jc w:val="center"/>
              <w:rPr>
                <w:rFonts w:ascii="Arial" w:hAnsi="Arial" w:cs="Arial"/>
                <w:sz w:val="18"/>
                <w:szCs w:val="18"/>
              </w:rPr>
            </w:pPr>
            <w:r>
              <w:rPr>
                <w:rFonts w:ascii="Arial" w:hAnsi="Arial" w:cs="Arial"/>
                <w:sz w:val="18"/>
                <w:szCs w:val="18"/>
              </w:rPr>
              <w:t>-</w:t>
            </w:r>
          </w:p>
        </w:tc>
      </w:tr>
      <w:tr w:rsidR="00895717" w:rsidRPr="00CA6E28" w14:paraId="791658F9" w14:textId="77777777" w:rsidTr="00172C17">
        <w:trPr>
          <w:trHeight w:val="252"/>
        </w:trPr>
        <w:tc>
          <w:tcPr>
            <w:tcW w:w="3495" w:type="dxa"/>
            <w:tcBorders>
              <w:top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276CD8AE" w14:textId="257DC96A" w:rsidR="00895717" w:rsidRPr="00CA6E28" w:rsidRDefault="00895717" w:rsidP="00895717">
            <w:pPr>
              <w:pStyle w:val="ColorfulList-Accent11"/>
              <w:tabs>
                <w:tab w:val="left" w:pos="0"/>
                <w:tab w:val="left" w:pos="284"/>
              </w:tabs>
              <w:ind w:left="0" w:right="-90"/>
              <w:rPr>
                <w:rFonts w:ascii="Arial" w:hAnsi="Arial" w:cs="Arial"/>
                <w:b/>
                <w:sz w:val="18"/>
                <w:szCs w:val="18"/>
              </w:rPr>
            </w:pPr>
            <w:r w:rsidRPr="00CA6E28">
              <w:rPr>
                <w:rFonts w:ascii="Arial" w:hAnsi="Arial" w:cs="Arial"/>
                <w:b/>
                <w:sz w:val="18"/>
                <w:szCs w:val="18"/>
                <w:lang w:val="el-GR"/>
              </w:rPr>
              <w:t>Σύνολο εσόδων κινητής τηλεφωνίας</w:t>
            </w:r>
          </w:p>
        </w:tc>
        <w:tc>
          <w:tcPr>
            <w:tcW w:w="1072"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7BA068BE" w14:textId="52A3CEA1" w:rsidR="00895717" w:rsidRPr="00CA6E28" w:rsidRDefault="00895717" w:rsidP="00895717">
            <w:pPr>
              <w:pStyle w:val="ColorfulList-Accent11"/>
              <w:tabs>
                <w:tab w:val="left" w:pos="0"/>
                <w:tab w:val="left" w:pos="284"/>
              </w:tabs>
              <w:ind w:left="0" w:right="-90"/>
              <w:jc w:val="center"/>
              <w:rPr>
                <w:rFonts w:ascii="Arial" w:hAnsi="Arial" w:cs="Arial"/>
                <w:b/>
                <w:color w:val="FF0000"/>
                <w:sz w:val="18"/>
                <w:szCs w:val="18"/>
              </w:rPr>
            </w:pPr>
            <w:r w:rsidRPr="00CA6E28">
              <w:rPr>
                <w:rFonts w:ascii="Arial" w:hAnsi="Arial" w:cs="Arial"/>
                <w:b/>
                <w:bCs/>
                <w:sz w:val="18"/>
                <w:szCs w:val="18"/>
              </w:rPr>
              <w:t>341</w:t>
            </w:r>
            <w:r w:rsidR="003B452A" w:rsidRPr="00CA6E28">
              <w:rPr>
                <w:rFonts w:ascii="Arial" w:hAnsi="Arial" w:cs="Arial"/>
                <w:b/>
                <w:bCs/>
                <w:sz w:val="18"/>
                <w:szCs w:val="18"/>
              </w:rPr>
              <w:t>,</w:t>
            </w:r>
            <w:r w:rsidRPr="00CA6E28">
              <w:rPr>
                <w:rFonts w:ascii="Arial" w:hAnsi="Arial" w:cs="Arial"/>
                <w:b/>
                <w:bCs/>
                <w:sz w:val="18"/>
                <w:szCs w:val="18"/>
              </w:rPr>
              <w:t>0</w:t>
            </w:r>
          </w:p>
        </w:tc>
        <w:tc>
          <w:tcPr>
            <w:tcW w:w="1103" w:type="dxa"/>
            <w:tcBorders>
              <w:top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53DF347D" w14:textId="713ADA67" w:rsidR="00895717" w:rsidRPr="00CA6E28" w:rsidRDefault="00895717" w:rsidP="00895717">
            <w:pPr>
              <w:pStyle w:val="ColorfulList-Accent11"/>
              <w:tabs>
                <w:tab w:val="left" w:pos="0"/>
                <w:tab w:val="left" w:pos="284"/>
              </w:tabs>
              <w:ind w:left="0" w:right="-90"/>
              <w:jc w:val="center"/>
              <w:rPr>
                <w:rFonts w:ascii="Arial" w:hAnsi="Arial" w:cs="Arial"/>
                <w:b/>
                <w:color w:val="FF0000"/>
                <w:sz w:val="18"/>
                <w:szCs w:val="18"/>
              </w:rPr>
            </w:pPr>
            <w:r w:rsidRPr="00CA6E28">
              <w:rPr>
                <w:rFonts w:ascii="Arial" w:hAnsi="Arial" w:cs="Arial"/>
                <w:b/>
                <w:bCs/>
                <w:sz w:val="18"/>
                <w:szCs w:val="18"/>
              </w:rPr>
              <w:t>342</w:t>
            </w:r>
            <w:r w:rsidR="003B452A" w:rsidRPr="00CA6E28">
              <w:rPr>
                <w:rFonts w:ascii="Arial" w:hAnsi="Arial" w:cs="Arial"/>
                <w:b/>
                <w:bCs/>
                <w:sz w:val="18"/>
                <w:szCs w:val="18"/>
              </w:rPr>
              <w:t>,</w:t>
            </w:r>
            <w:r w:rsidRPr="00CA6E28">
              <w:rPr>
                <w:rFonts w:ascii="Arial" w:hAnsi="Arial" w:cs="Arial"/>
                <w:b/>
                <w:bCs/>
                <w:sz w:val="18"/>
                <w:szCs w:val="18"/>
              </w:rPr>
              <w:t>2</w:t>
            </w:r>
          </w:p>
        </w:tc>
        <w:tc>
          <w:tcPr>
            <w:tcW w:w="1183" w:type="dxa"/>
            <w:tcBorders>
              <w:top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34ED75CE" w14:textId="3B3C54C1" w:rsidR="00895717" w:rsidRPr="00CA6E28" w:rsidRDefault="00895717" w:rsidP="00895717">
            <w:pPr>
              <w:pStyle w:val="ColorfulList-Accent11"/>
              <w:tabs>
                <w:tab w:val="left" w:pos="0"/>
                <w:tab w:val="left" w:pos="284"/>
              </w:tabs>
              <w:ind w:left="0" w:right="-90"/>
              <w:jc w:val="center"/>
              <w:rPr>
                <w:rFonts w:ascii="Arial" w:hAnsi="Arial" w:cs="Arial"/>
                <w:b/>
                <w:color w:val="FF0000"/>
                <w:sz w:val="18"/>
                <w:szCs w:val="18"/>
              </w:rPr>
            </w:pPr>
            <w:r w:rsidRPr="00CA6E28">
              <w:rPr>
                <w:rFonts w:ascii="Arial" w:hAnsi="Arial" w:cs="Arial"/>
                <w:b/>
                <w:bCs/>
                <w:sz w:val="18"/>
                <w:szCs w:val="18"/>
              </w:rPr>
              <w:t>-0</w:t>
            </w:r>
            <w:r w:rsidR="003B452A" w:rsidRPr="00CA6E28">
              <w:rPr>
                <w:rFonts w:ascii="Arial" w:hAnsi="Arial" w:cs="Arial"/>
                <w:b/>
                <w:bCs/>
                <w:sz w:val="18"/>
                <w:szCs w:val="18"/>
              </w:rPr>
              <w:t>,</w:t>
            </w:r>
            <w:r w:rsidRPr="00CA6E28">
              <w:rPr>
                <w:rFonts w:ascii="Arial" w:hAnsi="Arial" w:cs="Arial"/>
                <w:b/>
                <w:bCs/>
                <w:sz w:val="18"/>
                <w:szCs w:val="18"/>
              </w:rPr>
              <w:t>4%</w:t>
            </w:r>
          </w:p>
        </w:tc>
        <w:tc>
          <w:tcPr>
            <w:tcW w:w="1183"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14CD23E0" w14:textId="79D996C1" w:rsidR="00895717" w:rsidRPr="00CA6E28" w:rsidRDefault="00895717" w:rsidP="00895717">
            <w:pPr>
              <w:pStyle w:val="ColorfulList-Accent11"/>
              <w:tabs>
                <w:tab w:val="left" w:pos="0"/>
                <w:tab w:val="left" w:pos="284"/>
              </w:tabs>
              <w:ind w:left="0" w:right="-90"/>
              <w:jc w:val="center"/>
              <w:rPr>
                <w:rFonts w:ascii="Arial" w:hAnsi="Arial" w:cs="Arial"/>
                <w:b/>
                <w:bCs/>
                <w:sz w:val="18"/>
                <w:szCs w:val="18"/>
              </w:rPr>
            </w:pPr>
            <w:r w:rsidRPr="00CA6E28">
              <w:rPr>
                <w:rFonts w:ascii="Arial" w:hAnsi="Arial" w:cs="Arial"/>
                <w:b/>
                <w:bCs/>
                <w:sz w:val="18"/>
                <w:szCs w:val="18"/>
              </w:rPr>
              <w:t>945</w:t>
            </w:r>
            <w:r w:rsidR="003B452A" w:rsidRPr="00CA6E28">
              <w:rPr>
                <w:rFonts w:ascii="Arial" w:hAnsi="Arial" w:cs="Arial"/>
                <w:b/>
                <w:bCs/>
                <w:sz w:val="18"/>
                <w:szCs w:val="18"/>
              </w:rPr>
              <w:t>,</w:t>
            </w:r>
            <w:r w:rsidRPr="00CA6E28">
              <w:rPr>
                <w:rFonts w:ascii="Arial" w:hAnsi="Arial" w:cs="Arial"/>
                <w:b/>
                <w:bCs/>
                <w:sz w:val="18"/>
                <w:szCs w:val="18"/>
              </w:rPr>
              <w:t>4</w:t>
            </w:r>
          </w:p>
        </w:tc>
        <w:tc>
          <w:tcPr>
            <w:tcW w:w="1183" w:type="dxa"/>
            <w:tcBorders>
              <w:top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1CE5F928" w14:textId="2B795556" w:rsidR="00895717" w:rsidRPr="00CA6E28" w:rsidRDefault="00895717" w:rsidP="00895717">
            <w:pPr>
              <w:pStyle w:val="ColorfulList-Accent11"/>
              <w:tabs>
                <w:tab w:val="left" w:pos="0"/>
                <w:tab w:val="left" w:pos="284"/>
              </w:tabs>
              <w:ind w:left="0" w:right="-90"/>
              <w:jc w:val="center"/>
              <w:rPr>
                <w:rFonts w:ascii="Arial" w:hAnsi="Arial" w:cs="Arial"/>
                <w:b/>
                <w:bCs/>
                <w:sz w:val="18"/>
                <w:szCs w:val="18"/>
              </w:rPr>
            </w:pPr>
            <w:r w:rsidRPr="00CA6E28">
              <w:rPr>
                <w:rFonts w:ascii="Arial" w:hAnsi="Arial" w:cs="Arial"/>
                <w:b/>
                <w:bCs/>
                <w:sz w:val="18"/>
                <w:szCs w:val="18"/>
              </w:rPr>
              <w:t>951</w:t>
            </w:r>
            <w:r w:rsidR="003B452A" w:rsidRPr="00CA6E28">
              <w:rPr>
                <w:rFonts w:ascii="Arial" w:hAnsi="Arial" w:cs="Arial"/>
                <w:b/>
                <w:bCs/>
                <w:sz w:val="18"/>
                <w:szCs w:val="18"/>
              </w:rPr>
              <w:t>,</w:t>
            </w:r>
            <w:r w:rsidRPr="00CA6E28">
              <w:rPr>
                <w:rFonts w:ascii="Arial" w:hAnsi="Arial" w:cs="Arial"/>
                <w:b/>
                <w:bCs/>
                <w:sz w:val="18"/>
                <w:szCs w:val="18"/>
              </w:rPr>
              <w:t>6</w:t>
            </w:r>
          </w:p>
        </w:tc>
        <w:tc>
          <w:tcPr>
            <w:tcW w:w="1183" w:type="dxa"/>
            <w:tcBorders>
              <w:top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3D943086" w14:textId="44E88CF4" w:rsidR="00895717" w:rsidRPr="00CA6E28" w:rsidRDefault="00895717" w:rsidP="00895717">
            <w:pPr>
              <w:pStyle w:val="ColorfulList-Accent11"/>
              <w:tabs>
                <w:tab w:val="left" w:pos="0"/>
                <w:tab w:val="left" w:pos="284"/>
              </w:tabs>
              <w:ind w:left="0" w:right="-90"/>
              <w:jc w:val="center"/>
              <w:rPr>
                <w:rFonts w:ascii="Arial" w:hAnsi="Arial" w:cs="Arial"/>
                <w:b/>
                <w:bCs/>
                <w:sz w:val="18"/>
                <w:szCs w:val="18"/>
              </w:rPr>
            </w:pPr>
            <w:r w:rsidRPr="00CA6E28">
              <w:rPr>
                <w:rFonts w:ascii="Arial" w:hAnsi="Arial" w:cs="Arial"/>
                <w:b/>
                <w:bCs/>
                <w:sz w:val="18"/>
                <w:szCs w:val="18"/>
              </w:rPr>
              <w:t>-0</w:t>
            </w:r>
            <w:r w:rsidR="003B452A" w:rsidRPr="00CA6E28">
              <w:rPr>
                <w:rFonts w:ascii="Arial" w:hAnsi="Arial" w:cs="Arial"/>
                <w:b/>
                <w:bCs/>
                <w:sz w:val="18"/>
                <w:szCs w:val="18"/>
              </w:rPr>
              <w:t>,</w:t>
            </w:r>
            <w:r w:rsidRPr="00CA6E28">
              <w:rPr>
                <w:rFonts w:ascii="Arial" w:hAnsi="Arial" w:cs="Arial"/>
                <w:b/>
                <w:bCs/>
                <w:sz w:val="18"/>
                <w:szCs w:val="18"/>
              </w:rPr>
              <w:t>7%</w:t>
            </w:r>
          </w:p>
        </w:tc>
      </w:tr>
      <w:tr w:rsidR="00895717" w:rsidRPr="00CA6E28" w14:paraId="5FFAF834" w14:textId="77777777" w:rsidTr="00172C17">
        <w:trPr>
          <w:trHeight w:val="252"/>
        </w:trPr>
        <w:tc>
          <w:tcPr>
            <w:tcW w:w="3495" w:type="dxa"/>
            <w:tcBorders>
              <w:top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3EC52BB3" w14:textId="65A49F2D" w:rsidR="00895717" w:rsidRPr="00CA6E28" w:rsidRDefault="00895717" w:rsidP="00895717">
            <w:pPr>
              <w:pStyle w:val="ColorfulList-Accent11"/>
              <w:tabs>
                <w:tab w:val="left" w:pos="0"/>
                <w:tab w:val="left" w:pos="284"/>
              </w:tabs>
              <w:ind w:left="0" w:right="-90"/>
              <w:rPr>
                <w:rFonts w:ascii="Arial" w:hAnsi="Arial" w:cs="Arial"/>
                <w:b/>
                <w:sz w:val="18"/>
                <w:szCs w:val="18"/>
              </w:rPr>
            </w:pPr>
            <w:r w:rsidRPr="00CA6E28">
              <w:rPr>
                <w:rFonts w:ascii="Arial" w:hAnsi="Arial" w:cs="Arial"/>
                <w:b/>
                <w:sz w:val="18"/>
                <w:szCs w:val="18"/>
                <w:lang w:val="el-GR"/>
              </w:rPr>
              <w:t>Λοιπά έσοδα</w:t>
            </w:r>
          </w:p>
        </w:tc>
        <w:tc>
          <w:tcPr>
            <w:tcW w:w="1072"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22F4E423" w14:textId="68CB9B62" w:rsidR="00895717" w:rsidRPr="00CA6E28" w:rsidRDefault="00895717" w:rsidP="00895717">
            <w:pPr>
              <w:pStyle w:val="ColorfulList-Accent11"/>
              <w:tabs>
                <w:tab w:val="left" w:pos="0"/>
                <w:tab w:val="left" w:pos="284"/>
              </w:tabs>
              <w:ind w:left="0" w:right="-90"/>
              <w:jc w:val="center"/>
              <w:rPr>
                <w:rFonts w:ascii="Arial" w:hAnsi="Arial" w:cs="Arial"/>
                <w:b/>
                <w:color w:val="FF0000"/>
                <w:sz w:val="18"/>
                <w:szCs w:val="18"/>
              </w:rPr>
            </w:pPr>
            <w:r w:rsidRPr="00CA6E28">
              <w:rPr>
                <w:rFonts w:ascii="Arial" w:hAnsi="Arial" w:cs="Arial"/>
                <w:b/>
                <w:bCs/>
                <w:sz w:val="18"/>
                <w:szCs w:val="18"/>
              </w:rPr>
              <w:t>28</w:t>
            </w:r>
            <w:r w:rsidR="003B452A" w:rsidRPr="00CA6E28">
              <w:rPr>
                <w:rFonts w:ascii="Arial" w:hAnsi="Arial" w:cs="Arial"/>
                <w:b/>
                <w:bCs/>
                <w:sz w:val="18"/>
                <w:szCs w:val="18"/>
              </w:rPr>
              <w:t>,</w:t>
            </w:r>
            <w:r w:rsidRPr="00CA6E28">
              <w:rPr>
                <w:rFonts w:ascii="Arial" w:hAnsi="Arial" w:cs="Arial"/>
                <w:b/>
                <w:bCs/>
                <w:sz w:val="18"/>
                <w:szCs w:val="18"/>
              </w:rPr>
              <w:t>7</w:t>
            </w:r>
          </w:p>
        </w:tc>
        <w:tc>
          <w:tcPr>
            <w:tcW w:w="1103" w:type="dxa"/>
            <w:tcBorders>
              <w:top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27E0E177" w14:textId="6614E1F4" w:rsidR="00895717" w:rsidRPr="00CA6E28" w:rsidRDefault="00895717" w:rsidP="00895717">
            <w:pPr>
              <w:pStyle w:val="ColorfulList-Accent11"/>
              <w:tabs>
                <w:tab w:val="left" w:pos="0"/>
                <w:tab w:val="left" w:pos="284"/>
              </w:tabs>
              <w:ind w:left="0" w:right="-90"/>
              <w:jc w:val="center"/>
              <w:rPr>
                <w:rFonts w:ascii="Arial" w:hAnsi="Arial" w:cs="Arial"/>
                <w:b/>
                <w:color w:val="FF0000"/>
                <w:sz w:val="18"/>
                <w:szCs w:val="18"/>
              </w:rPr>
            </w:pPr>
            <w:r w:rsidRPr="00CA6E28">
              <w:rPr>
                <w:rFonts w:ascii="Arial" w:hAnsi="Arial" w:cs="Arial"/>
                <w:b/>
                <w:bCs/>
                <w:sz w:val="18"/>
                <w:szCs w:val="18"/>
              </w:rPr>
              <w:t>22</w:t>
            </w:r>
            <w:r w:rsidR="003B452A" w:rsidRPr="00CA6E28">
              <w:rPr>
                <w:rFonts w:ascii="Arial" w:hAnsi="Arial" w:cs="Arial"/>
                <w:b/>
                <w:bCs/>
                <w:sz w:val="18"/>
                <w:szCs w:val="18"/>
              </w:rPr>
              <w:t>,</w:t>
            </w:r>
            <w:r w:rsidRPr="00CA6E28">
              <w:rPr>
                <w:rFonts w:ascii="Arial" w:hAnsi="Arial" w:cs="Arial"/>
                <w:b/>
                <w:bCs/>
                <w:sz w:val="18"/>
                <w:szCs w:val="18"/>
              </w:rPr>
              <w:t>3</w:t>
            </w:r>
          </w:p>
        </w:tc>
        <w:tc>
          <w:tcPr>
            <w:tcW w:w="1183" w:type="dxa"/>
            <w:tcBorders>
              <w:top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79366865" w14:textId="4D3CF3E4" w:rsidR="00895717" w:rsidRPr="00CA6E28" w:rsidRDefault="00895717" w:rsidP="00895717">
            <w:pPr>
              <w:jc w:val="center"/>
              <w:rPr>
                <w:rFonts w:ascii="Arial" w:hAnsi="Arial" w:cs="Arial"/>
                <w:b/>
                <w:bCs/>
                <w:color w:val="FF0000"/>
                <w:sz w:val="18"/>
                <w:szCs w:val="18"/>
                <w:lang w:val="el-GR"/>
              </w:rPr>
            </w:pPr>
            <w:r w:rsidRPr="00CA6E28">
              <w:rPr>
                <w:rFonts w:ascii="Arial" w:hAnsi="Arial" w:cs="Arial"/>
                <w:b/>
                <w:bCs/>
                <w:sz w:val="18"/>
                <w:szCs w:val="18"/>
              </w:rPr>
              <w:t>+28</w:t>
            </w:r>
            <w:r w:rsidR="003B452A" w:rsidRPr="00CA6E28">
              <w:rPr>
                <w:rFonts w:ascii="Arial" w:hAnsi="Arial" w:cs="Arial"/>
                <w:b/>
                <w:bCs/>
                <w:sz w:val="18"/>
                <w:szCs w:val="18"/>
              </w:rPr>
              <w:t>,</w:t>
            </w:r>
            <w:r w:rsidRPr="00CA6E28">
              <w:rPr>
                <w:rFonts w:ascii="Arial" w:hAnsi="Arial" w:cs="Arial"/>
                <w:b/>
                <w:bCs/>
                <w:sz w:val="18"/>
                <w:szCs w:val="18"/>
              </w:rPr>
              <w:t>7%</w:t>
            </w:r>
          </w:p>
        </w:tc>
        <w:tc>
          <w:tcPr>
            <w:tcW w:w="1183"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374FE68C" w14:textId="4A2D484C" w:rsidR="00895717" w:rsidRPr="00CA6E28" w:rsidRDefault="00895717" w:rsidP="00895717">
            <w:pPr>
              <w:jc w:val="center"/>
              <w:rPr>
                <w:rFonts w:ascii="Arial" w:hAnsi="Arial" w:cs="Arial"/>
                <w:b/>
                <w:sz w:val="18"/>
                <w:szCs w:val="18"/>
              </w:rPr>
            </w:pPr>
            <w:r w:rsidRPr="00CA6E28">
              <w:rPr>
                <w:rFonts w:ascii="Arial" w:hAnsi="Arial" w:cs="Arial"/>
                <w:b/>
                <w:bCs/>
                <w:sz w:val="18"/>
                <w:szCs w:val="18"/>
              </w:rPr>
              <w:t>86</w:t>
            </w:r>
            <w:r w:rsidR="003B452A" w:rsidRPr="00CA6E28">
              <w:rPr>
                <w:rFonts w:ascii="Arial" w:hAnsi="Arial" w:cs="Arial"/>
                <w:b/>
                <w:bCs/>
                <w:sz w:val="18"/>
                <w:szCs w:val="18"/>
              </w:rPr>
              <w:t>,</w:t>
            </w:r>
            <w:r w:rsidRPr="00CA6E28">
              <w:rPr>
                <w:rFonts w:ascii="Arial" w:hAnsi="Arial" w:cs="Arial"/>
                <w:b/>
                <w:bCs/>
                <w:sz w:val="18"/>
                <w:szCs w:val="18"/>
              </w:rPr>
              <w:t>5</w:t>
            </w:r>
          </w:p>
        </w:tc>
        <w:tc>
          <w:tcPr>
            <w:tcW w:w="1183" w:type="dxa"/>
            <w:tcBorders>
              <w:top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0F4C6C71" w14:textId="463B72B6" w:rsidR="00895717" w:rsidRPr="00CA6E28" w:rsidRDefault="00895717" w:rsidP="00895717">
            <w:pPr>
              <w:jc w:val="center"/>
              <w:rPr>
                <w:rFonts w:ascii="Arial" w:hAnsi="Arial" w:cs="Arial"/>
                <w:b/>
                <w:sz w:val="18"/>
                <w:szCs w:val="18"/>
              </w:rPr>
            </w:pPr>
            <w:r w:rsidRPr="00CA6E28">
              <w:rPr>
                <w:rFonts w:ascii="Arial" w:hAnsi="Arial" w:cs="Arial"/>
                <w:b/>
                <w:bCs/>
                <w:sz w:val="18"/>
                <w:szCs w:val="18"/>
              </w:rPr>
              <w:t>75</w:t>
            </w:r>
            <w:r w:rsidR="003B452A" w:rsidRPr="00CA6E28">
              <w:rPr>
                <w:rFonts w:ascii="Arial" w:hAnsi="Arial" w:cs="Arial"/>
                <w:b/>
                <w:bCs/>
                <w:sz w:val="18"/>
                <w:szCs w:val="18"/>
              </w:rPr>
              <w:t>,</w:t>
            </w:r>
            <w:r w:rsidRPr="00CA6E28">
              <w:rPr>
                <w:rFonts w:ascii="Arial" w:hAnsi="Arial" w:cs="Arial"/>
                <w:b/>
                <w:bCs/>
                <w:sz w:val="18"/>
                <w:szCs w:val="18"/>
              </w:rPr>
              <w:t>1</w:t>
            </w:r>
          </w:p>
        </w:tc>
        <w:tc>
          <w:tcPr>
            <w:tcW w:w="1183" w:type="dxa"/>
            <w:tcBorders>
              <w:top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01E8EDE4" w14:textId="7806D9AF" w:rsidR="00895717" w:rsidRPr="00CA6E28" w:rsidRDefault="00895717" w:rsidP="00895717">
            <w:pPr>
              <w:jc w:val="center"/>
              <w:rPr>
                <w:rFonts w:ascii="Arial" w:hAnsi="Arial" w:cs="Arial"/>
                <w:b/>
                <w:sz w:val="18"/>
                <w:szCs w:val="18"/>
              </w:rPr>
            </w:pPr>
            <w:r w:rsidRPr="00CA6E28">
              <w:rPr>
                <w:rFonts w:ascii="Arial" w:hAnsi="Arial" w:cs="Arial"/>
                <w:b/>
                <w:bCs/>
                <w:sz w:val="18"/>
                <w:szCs w:val="18"/>
              </w:rPr>
              <w:t>+15</w:t>
            </w:r>
            <w:r w:rsidR="003B452A" w:rsidRPr="00CA6E28">
              <w:rPr>
                <w:rFonts w:ascii="Arial" w:hAnsi="Arial" w:cs="Arial"/>
                <w:b/>
                <w:bCs/>
                <w:sz w:val="18"/>
                <w:szCs w:val="18"/>
              </w:rPr>
              <w:t>,</w:t>
            </w:r>
            <w:r w:rsidRPr="00CA6E28">
              <w:rPr>
                <w:rFonts w:ascii="Arial" w:hAnsi="Arial" w:cs="Arial"/>
                <w:b/>
                <w:bCs/>
                <w:sz w:val="18"/>
                <w:szCs w:val="18"/>
              </w:rPr>
              <w:t>2%</w:t>
            </w:r>
          </w:p>
        </w:tc>
      </w:tr>
      <w:tr w:rsidR="00895717" w:rsidRPr="00CA6E28" w14:paraId="701BF8D2" w14:textId="77777777" w:rsidTr="00B32DFF">
        <w:trPr>
          <w:trHeight w:val="408"/>
        </w:trPr>
        <w:tc>
          <w:tcPr>
            <w:tcW w:w="3495" w:type="dxa"/>
            <w:tcBorders>
              <w:top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D9D9D9" w:themeFill="background1" w:themeFillShade="D9"/>
            <w:vAlign w:val="center"/>
          </w:tcPr>
          <w:p w14:paraId="7FB285F6" w14:textId="22974187" w:rsidR="00895717" w:rsidRPr="00CA6E28" w:rsidRDefault="00895717" w:rsidP="00895717">
            <w:pPr>
              <w:pStyle w:val="ColorfulList-Accent11"/>
              <w:tabs>
                <w:tab w:val="left" w:pos="0"/>
                <w:tab w:val="left" w:pos="284"/>
              </w:tabs>
              <w:ind w:left="0" w:right="-90"/>
              <w:rPr>
                <w:rFonts w:ascii="Arial" w:hAnsi="Arial" w:cs="Arial"/>
                <w:b/>
                <w:sz w:val="18"/>
                <w:szCs w:val="18"/>
              </w:rPr>
            </w:pPr>
            <w:r w:rsidRPr="00CA6E28">
              <w:rPr>
                <w:rFonts w:ascii="Arial" w:hAnsi="Arial" w:cs="Arial"/>
                <w:b/>
                <w:sz w:val="18"/>
                <w:szCs w:val="18"/>
                <w:lang w:val="el-GR"/>
              </w:rPr>
              <w:t>Σύνολο κύκλου εργασιών</w:t>
            </w:r>
          </w:p>
        </w:tc>
        <w:tc>
          <w:tcPr>
            <w:tcW w:w="1072"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D9D9D9" w:themeFill="background1" w:themeFillShade="D9"/>
            <w:vAlign w:val="center"/>
          </w:tcPr>
          <w:p w14:paraId="2A3E09A6" w14:textId="71AC878E" w:rsidR="00895717" w:rsidRPr="00CA6E28" w:rsidRDefault="00895717" w:rsidP="00895717">
            <w:pPr>
              <w:pStyle w:val="ColorfulList-Accent11"/>
              <w:tabs>
                <w:tab w:val="left" w:pos="0"/>
                <w:tab w:val="left" w:pos="284"/>
              </w:tabs>
              <w:ind w:left="0" w:right="-90"/>
              <w:jc w:val="center"/>
              <w:rPr>
                <w:rFonts w:ascii="Arial" w:hAnsi="Arial" w:cs="Arial"/>
                <w:b/>
                <w:color w:val="FF0000"/>
                <w:sz w:val="18"/>
                <w:szCs w:val="18"/>
              </w:rPr>
            </w:pPr>
            <w:r w:rsidRPr="00CA6E28">
              <w:rPr>
                <w:rFonts w:ascii="Arial" w:hAnsi="Arial" w:cs="Arial"/>
                <w:b/>
                <w:bCs/>
                <w:sz w:val="18"/>
                <w:szCs w:val="18"/>
              </w:rPr>
              <w:t>874</w:t>
            </w:r>
            <w:r w:rsidR="003B452A" w:rsidRPr="00CA6E28">
              <w:rPr>
                <w:rFonts w:ascii="Arial" w:hAnsi="Arial" w:cs="Arial"/>
                <w:b/>
                <w:bCs/>
                <w:sz w:val="18"/>
                <w:szCs w:val="18"/>
              </w:rPr>
              <w:t>,</w:t>
            </w:r>
            <w:r w:rsidRPr="00CA6E28">
              <w:rPr>
                <w:rFonts w:ascii="Arial" w:hAnsi="Arial" w:cs="Arial"/>
                <w:b/>
                <w:bCs/>
                <w:sz w:val="18"/>
                <w:szCs w:val="18"/>
              </w:rPr>
              <w:t>0</w:t>
            </w:r>
          </w:p>
        </w:tc>
        <w:tc>
          <w:tcPr>
            <w:tcW w:w="1103" w:type="dxa"/>
            <w:tcBorders>
              <w:top w:val="single" w:sz="2" w:space="0" w:color="808080" w:themeColor="background1" w:themeShade="80"/>
              <w:bottom w:val="single" w:sz="2" w:space="0" w:color="808080" w:themeColor="background1" w:themeShade="80"/>
            </w:tcBorders>
            <w:shd w:val="clear" w:color="auto" w:fill="D9D9D9" w:themeFill="background1" w:themeFillShade="D9"/>
            <w:vAlign w:val="center"/>
          </w:tcPr>
          <w:p w14:paraId="290501B1" w14:textId="02D951D1" w:rsidR="00895717" w:rsidRPr="00CA6E28" w:rsidRDefault="00895717" w:rsidP="00895717">
            <w:pPr>
              <w:pStyle w:val="ColorfulList-Accent11"/>
              <w:tabs>
                <w:tab w:val="left" w:pos="0"/>
                <w:tab w:val="left" w:pos="284"/>
              </w:tabs>
              <w:ind w:left="0" w:right="-90"/>
              <w:jc w:val="center"/>
              <w:rPr>
                <w:rFonts w:ascii="Arial" w:hAnsi="Arial" w:cs="Arial"/>
                <w:b/>
                <w:color w:val="FF0000"/>
                <w:sz w:val="18"/>
                <w:szCs w:val="18"/>
              </w:rPr>
            </w:pPr>
            <w:r w:rsidRPr="00CA6E28">
              <w:rPr>
                <w:rFonts w:ascii="Arial" w:hAnsi="Arial" w:cs="Arial"/>
                <w:b/>
                <w:bCs/>
                <w:sz w:val="18"/>
                <w:szCs w:val="18"/>
              </w:rPr>
              <w:t>832</w:t>
            </w:r>
            <w:r w:rsidR="003B452A" w:rsidRPr="00CA6E28">
              <w:rPr>
                <w:rFonts w:ascii="Arial" w:hAnsi="Arial" w:cs="Arial"/>
                <w:b/>
                <w:bCs/>
                <w:sz w:val="18"/>
                <w:szCs w:val="18"/>
              </w:rPr>
              <w:t>,</w:t>
            </w:r>
            <w:r w:rsidRPr="00CA6E28">
              <w:rPr>
                <w:rFonts w:ascii="Arial" w:hAnsi="Arial" w:cs="Arial"/>
                <w:b/>
                <w:bCs/>
                <w:sz w:val="18"/>
                <w:szCs w:val="18"/>
              </w:rPr>
              <w:t>5</w:t>
            </w:r>
          </w:p>
        </w:tc>
        <w:tc>
          <w:tcPr>
            <w:tcW w:w="1183" w:type="dxa"/>
            <w:tcBorders>
              <w:top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D9D9D9" w:themeFill="background1" w:themeFillShade="D9"/>
            <w:vAlign w:val="center"/>
          </w:tcPr>
          <w:p w14:paraId="401EBBB7" w14:textId="3942CFEF" w:rsidR="00895717" w:rsidRPr="00CA6E28" w:rsidRDefault="00895717" w:rsidP="00895717">
            <w:pPr>
              <w:pStyle w:val="ColorfulList-Accent11"/>
              <w:tabs>
                <w:tab w:val="left" w:pos="0"/>
                <w:tab w:val="left" w:pos="284"/>
              </w:tabs>
              <w:ind w:left="0" w:right="-90"/>
              <w:jc w:val="center"/>
              <w:rPr>
                <w:rFonts w:ascii="Arial" w:hAnsi="Arial" w:cs="Arial"/>
                <w:b/>
                <w:color w:val="FF0000"/>
                <w:sz w:val="18"/>
                <w:szCs w:val="18"/>
              </w:rPr>
            </w:pPr>
            <w:r w:rsidRPr="00CA6E28">
              <w:rPr>
                <w:rFonts w:ascii="Arial" w:hAnsi="Arial" w:cs="Arial"/>
                <w:b/>
                <w:bCs/>
                <w:sz w:val="18"/>
                <w:szCs w:val="18"/>
              </w:rPr>
              <w:t>+5</w:t>
            </w:r>
            <w:r w:rsidR="003B452A" w:rsidRPr="00CA6E28">
              <w:rPr>
                <w:rFonts w:ascii="Arial" w:hAnsi="Arial" w:cs="Arial"/>
                <w:b/>
                <w:bCs/>
                <w:sz w:val="18"/>
                <w:szCs w:val="18"/>
              </w:rPr>
              <w:t>,</w:t>
            </w:r>
            <w:r w:rsidRPr="00CA6E28">
              <w:rPr>
                <w:rFonts w:ascii="Arial" w:hAnsi="Arial" w:cs="Arial"/>
                <w:b/>
                <w:bCs/>
                <w:sz w:val="18"/>
                <w:szCs w:val="18"/>
              </w:rPr>
              <w:t>0%</w:t>
            </w:r>
          </w:p>
        </w:tc>
        <w:tc>
          <w:tcPr>
            <w:tcW w:w="1183"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D9D9D9" w:themeFill="background1" w:themeFillShade="D9"/>
            <w:vAlign w:val="center"/>
          </w:tcPr>
          <w:p w14:paraId="76144234" w14:textId="662482E2" w:rsidR="00895717" w:rsidRPr="00CA6E28" w:rsidRDefault="00895717" w:rsidP="00895717">
            <w:pPr>
              <w:pStyle w:val="ColorfulList-Accent11"/>
              <w:tabs>
                <w:tab w:val="left" w:pos="0"/>
                <w:tab w:val="left" w:pos="284"/>
              </w:tabs>
              <w:ind w:left="0" w:right="-90"/>
              <w:jc w:val="center"/>
              <w:rPr>
                <w:rFonts w:ascii="Arial" w:hAnsi="Arial" w:cs="Arial"/>
                <w:b/>
                <w:bCs/>
                <w:sz w:val="18"/>
                <w:szCs w:val="18"/>
              </w:rPr>
            </w:pPr>
            <w:r w:rsidRPr="00CA6E28">
              <w:rPr>
                <w:rFonts w:ascii="Arial" w:hAnsi="Arial" w:cs="Arial"/>
                <w:b/>
                <w:bCs/>
                <w:sz w:val="18"/>
                <w:szCs w:val="18"/>
              </w:rPr>
              <w:t>2</w:t>
            </w:r>
            <w:r w:rsidR="003B452A" w:rsidRPr="00CA6E28">
              <w:rPr>
                <w:rFonts w:ascii="Arial" w:hAnsi="Arial" w:cs="Arial"/>
                <w:b/>
                <w:bCs/>
                <w:sz w:val="18"/>
                <w:szCs w:val="18"/>
              </w:rPr>
              <w:t>.</w:t>
            </w:r>
            <w:r w:rsidRPr="00CA6E28">
              <w:rPr>
                <w:rFonts w:ascii="Arial" w:hAnsi="Arial" w:cs="Arial"/>
                <w:b/>
                <w:bCs/>
                <w:sz w:val="18"/>
                <w:szCs w:val="18"/>
              </w:rPr>
              <w:t>548</w:t>
            </w:r>
            <w:r w:rsidR="003B452A" w:rsidRPr="00CA6E28">
              <w:rPr>
                <w:rFonts w:ascii="Arial" w:hAnsi="Arial" w:cs="Arial"/>
                <w:b/>
                <w:bCs/>
                <w:sz w:val="18"/>
                <w:szCs w:val="18"/>
              </w:rPr>
              <w:t>,</w:t>
            </w:r>
            <w:r w:rsidRPr="00CA6E28">
              <w:rPr>
                <w:rFonts w:ascii="Arial" w:hAnsi="Arial" w:cs="Arial"/>
                <w:b/>
                <w:bCs/>
                <w:sz w:val="18"/>
                <w:szCs w:val="18"/>
              </w:rPr>
              <w:t>0</w:t>
            </w:r>
          </w:p>
        </w:tc>
        <w:tc>
          <w:tcPr>
            <w:tcW w:w="1183" w:type="dxa"/>
            <w:tcBorders>
              <w:top w:val="single" w:sz="2" w:space="0" w:color="808080" w:themeColor="background1" w:themeShade="80"/>
              <w:bottom w:val="single" w:sz="2" w:space="0" w:color="808080" w:themeColor="background1" w:themeShade="80"/>
            </w:tcBorders>
            <w:shd w:val="clear" w:color="auto" w:fill="D9D9D9" w:themeFill="background1" w:themeFillShade="D9"/>
            <w:vAlign w:val="center"/>
          </w:tcPr>
          <w:p w14:paraId="023CC639" w14:textId="21BE0EA5" w:rsidR="00895717" w:rsidRPr="00CA6E28" w:rsidRDefault="00895717" w:rsidP="00895717">
            <w:pPr>
              <w:pStyle w:val="ColorfulList-Accent11"/>
              <w:tabs>
                <w:tab w:val="left" w:pos="0"/>
                <w:tab w:val="left" w:pos="284"/>
              </w:tabs>
              <w:ind w:left="0" w:right="-90"/>
              <w:jc w:val="center"/>
              <w:rPr>
                <w:rFonts w:ascii="Arial" w:hAnsi="Arial" w:cs="Arial"/>
                <w:b/>
                <w:bCs/>
                <w:sz w:val="18"/>
                <w:szCs w:val="18"/>
              </w:rPr>
            </w:pPr>
            <w:r w:rsidRPr="00CA6E28">
              <w:rPr>
                <w:rFonts w:ascii="Arial" w:hAnsi="Arial" w:cs="Arial"/>
                <w:b/>
                <w:bCs/>
                <w:sz w:val="18"/>
                <w:szCs w:val="18"/>
              </w:rPr>
              <w:t>2</w:t>
            </w:r>
            <w:r w:rsidR="003B452A" w:rsidRPr="00CA6E28">
              <w:rPr>
                <w:rFonts w:ascii="Arial" w:hAnsi="Arial" w:cs="Arial"/>
                <w:b/>
                <w:bCs/>
                <w:sz w:val="18"/>
                <w:szCs w:val="18"/>
              </w:rPr>
              <w:t>.</w:t>
            </w:r>
            <w:r w:rsidRPr="00CA6E28">
              <w:rPr>
                <w:rFonts w:ascii="Arial" w:hAnsi="Arial" w:cs="Arial"/>
                <w:b/>
                <w:bCs/>
                <w:sz w:val="18"/>
                <w:szCs w:val="18"/>
              </w:rPr>
              <w:t>490</w:t>
            </w:r>
            <w:r w:rsidR="003B452A" w:rsidRPr="00CA6E28">
              <w:rPr>
                <w:rFonts w:ascii="Arial" w:hAnsi="Arial" w:cs="Arial"/>
                <w:b/>
                <w:bCs/>
                <w:sz w:val="18"/>
                <w:szCs w:val="18"/>
              </w:rPr>
              <w:t>,</w:t>
            </w:r>
            <w:r w:rsidRPr="00CA6E28">
              <w:rPr>
                <w:rFonts w:ascii="Arial" w:hAnsi="Arial" w:cs="Arial"/>
                <w:b/>
                <w:bCs/>
                <w:sz w:val="18"/>
                <w:szCs w:val="18"/>
              </w:rPr>
              <w:t>9</w:t>
            </w:r>
          </w:p>
        </w:tc>
        <w:tc>
          <w:tcPr>
            <w:tcW w:w="1183" w:type="dxa"/>
            <w:tcBorders>
              <w:top w:val="single" w:sz="2" w:space="0" w:color="808080" w:themeColor="background1" w:themeShade="80"/>
              <w:bottom w:val="single" w:sz="2" w:space="0" w:color="808080" w:themeColor="background1" w:themeShade="80"/>
            </w:tcBorders>
            <w:shd w:val="clear" w:color="auto" w:fill="D9D9D9" w:themeFill="background1" w:themeFillShade="D9"/>
            <w:vAlign w:val="center"/>
          </w:tcPr>
          <w:p w14:paraId="708D1999" w14:textId="16E1DBFE" w:rsidR="00895717" w:rsidRPr="00CA6E28" w:rsidRDefault="00895717" w:rsidP="00895717">
            <w:pPr>
              <w:pStyle w:val="ColorfulList-Accent11"/>
              <w:tabs>
                <w:tab w:val="left" w:pos="0"/>
                <w:tab w:val="left" w:pos="284"/>
              </w:tabs>
              <w:ind w:left="0" w:right="-90"/>
              <w:jc w:val="center"/>
              <w:rPr>
                <w:rFonts w:ascii="Arial" w:hAnsi="Arial" w:cs="Arial"/>
                <w:b/>
                <w:bCs/>
                <w:sz w:val="18"/>
                <w:szCs w:val="18"/>
              </w:rPr>
            </w:pPr>
            <w:r w:rsidRPr="00CA6E28">
              <w:rPr>
                <w:rFonts w:ascii="Arial" w:hAnsi="Arial" w:cs="Arial"/>
                <w:b/>
                <w:bCs/>
                <w:sz w:val="18"/>
                <w:szCs w:val="18"/>
              </w:rPr>
              <w:t>+2</w:t>
            </w:r>
            <w:r w:rsidR="003B452A" w:rsidRPr="00CA6E28">
              <w:rPr>
                <w:rFonts w:ascii="Arial" w:hAnsi="Arial" w:cs="Arial"/>
                <w:b/>
                <w:bCs/>
                <w:sz w:val="18"/>
                <w:szCs w:val="18"/>
              </w:rPr>
              <w:t>,</w:t>
            </w:r>
            <w:r w:rsidRPr="00CA6E28">
              <w:rPr>
                <w:rFonts w:ascii="Arial" w:hAnsi="Arial" w:cs="Arial"/>
                <w:b/>
                <w:bCs/>
                <w:sz w:val="18"/>
                <w:szCs w:val="18"/>
              </w:rPr>
              <w:t>3%</w:t>
            </w:r>
          </w:p>
        </w:tc>
      </w:tr>
      <w:tr w:rsidR="00895717" w:rsidRPr="00CA6E28" w14:paraId="394012DD" w14:textId="77777777" w:rsidTr="00172C17">
        <w:trPr>
          <w:trHeight w:val="252"/>
        </w:trPr>
        <w:tc>
          <w:tcPr>
            <w:tcW w:w="3495" w:type="dxa"/>
            <w:tcBorders>
              <w:top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vAlign w:val="center"/>
          </w:tcPr>
          <w:p w14:paraId="1B7D8470" w14:textId="7A4484B1" w:rsidR="00895717" w:rsidRPr="00CA6E28" w:rsidRDefault="00895717" w:rsidP="00895717">
            <w:pPr>
              <w:pStyle w:val="ColorfulList-Accent11"/>
              <w:tabs>
                <w:tab w:val="left" w:pos="0"/>
                <w:tab w:val="left" w:pos="284"/>
              </w:tabs>
              <w:ind w:left="0" w:right="-90"/>
              <w:rPr>
                <w:rFonts w:ascii="Arial" w:hAnsi="Arial" w:cs="Arial"/>
                <w:b/>
                <w:sz w:val="18"/>
                <w:szCs w:val="18"/>
              </w:rPr>
            </w:pPr>
            <w:r w:rsidRPr="00CA6E28">
              <w:rPr>
                <w:rFonts w:ascii="Arial" w:hAnsi="Arial" w:cs="Arial"/>
                <w:b/>
                <w:sz w:val="18"/>
                <w:szCs w:val="18"/>
                <w:lang w:val="el-GR"/>
              </w:rPr>
              <w:t>Λοιπά λειτουργικά έσοδα</w:t>
            </w:r>
          </w:p>
        </w:tc>
        <w:tc>
          <w:tcPr>
            <w:tcW w:w="1072"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FFFFF" w:themeFill="background1"/>
            <w:vAlign w:val="center"/>
          </w:tcPr>
          <w:p w14:paraId="43B8767A" w14:textId="134481B2" w:rsidR="00895717" w:rsidRPr="00CA6E28" w:rsidRDefault="00895717" w:rsidP="00895717">
            <w:pPr>
              <w:pStyle w:val="ColorfulList-Accent11"/>
              <w:tabs>
                <w:tab w:val="left" w:pos="0"/>
                <w:tab w:val="left" w:pos="284"/>
              </w:tabs>
              <w:ind w:left="0" w:right="-90"/>
              <w:jc w:val="center"/>
              <w:rPr>
                <w:rFonts w:ascii="Arial" w:hAnsi="Arial" w:cs="Arial"/>
                <w:b/>
                <w:color w:val="FF0000"/>
                <w:sz w:val="18"/>
                <w:szCs w:val="18"/>
              </w:rPr>
            </w:pPr>
            <w:r w:rsidRPr="00CA6E28">
              <w:rPr>
                <w:rFonts w:ascii="Arial" w:hAnsi="Arial" w:cs="Arial"/>
                <w:b/>
                <w:bCs/>
                <w:sz w:val="18"/>
                <w:szCs w:val="18"/>
              </w:rPr>
              <w:t>1</w:t>
            </w:r>
            <w:r w:rsidR="003B452A" w:rsidRPr="00CA6E28">
              <w:rPr>
                <w:rFonts w:ascii="Arial" w:hAnsi="Arial" w:cs="Arial"/>
                <w:b/>
                <w:bCs/>
                <w:sz w:val="18"/>
                <w:szCs w:val="18"/>
              </w:rPr>
              <w:t>,</w:t>
            </w:r>
            <w:r w:rsidRPr="00CA6E28">
              <w:rPr>
                <w:rFonts w:ascii="Arial" w:hAnsi="Arial" w:cs="Arial"/>
                <w:b/>
                <w:bCs/>
                <w:sz w:val="18"/>
                <w:szCs w:val="18"/>
              </w:rPr>
              <w:t>5</w:t>
            </w:r>
          </w:p>
        </w:tc>
        <w:tc>
          <w:tcPr>
            <w:tcW w:w="1103" w:type="dxa"/>
            <w:tcBorders>
              <w:top w:val="single" w:sz="2" w:space="0" w:color="808080" w:themeColor="background1" w:themeShade="80"/>
              <w:bottom w:val="single" w:sz="2" w:space="0" w:color="808080" w:themeColor="background1" w:themeShade="80"/>
            </w:tcBorders>
            <w:shd w:val="clear" w:color="auto" w:fill="FFFFFF" w:themeFill="background1"/>
            <w:vAlign w:val="center"/>
          </w:tcPr>
          <w:p w14:paraId="16A5ECD5" w14:textId="46305484" w:rsidR="00895717" w:rsidRPr="00CA6E28" w:rsidRDefault="00895717" w:rsidP="00895717">
            <w:pPr>
              <w:pStyle w:val="ColorfulList-Accent11"/>
              <w:tabs>
                <w:tab w:val="left" w:pos="0"/>
                <w:tab w:val="left" w:pos="284"/>
              </w:tabs>
              <w:ind w:left="0" w:right="-90"/>
              <w:jc w:val="center"/>
              <w:rPr>
                <w:rFonts w:ascii="Arial" w:hAnsi="Arial" w:cs="Arial"/>
                <w:b/>
                <w:color w:val="FF0000"/>
                <w:sz w:val="18"/>
                <w:szCs w:val="18"/>
              </w:rPr>
            </w:pPr>
            <w:r w:rsidRPr="00CA6E28">
              <w:rPr>
                <w:rFonts w:ascii="Arial" w:hAnsi="Arial" w:cs="Arial"/>
                <w:b/>
                <w:bCs/>
                <w:sz w:val="18"/>
                <w:szCs w:val="18"/>
              </w:rPr>
              <w:t>0</w:t>
            </w:r>
            <w:r w:rsidR="003B452A" w:rsidRPr="00CA6E28">
              <w:rPr>
                <w:rFonts w:ascii="Arial" w:hAnsi="Arial" w:cs="Arial"/>
                <w:b/>
                <w:bCs/>
                <w:sz w:val="18"/>
                <w:szCs w:val="18"/>
              </w:rPr>
              <w:t>,</w:t>
            </w:r>
            <w:r w:rsidRPr="00CA6E28">
              <w:rPr>
                <w:rFonts w:ascii="Arial" w:hAnsi="Arial" w:cs="Arial"/>
                <w:b/>
                <w:bCs/>
                <w:sz w:val="18"/>
                <w:szCs w:val="18"/>
              </w:rPr>
              <w:t>9</w:t>
            </w:r>
          </w:p>
        </w:tc>
        <w:tc>
          <w:tcPr>
            <w:tcW w:w="1183" w:type="dxa"/>
            <w:tcBorders>
              <w:top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vAlign w:val="center"/>
          </w:tcPr>
          <w:p w14:paraId="767B57EE" w14:textId="32D89C09" w:rsidR="00895717" w:rsidRPr="00CA6E28" w:rsidRDefault="00F82DE5" w:rsidP="00895717">
            <w:pPr>
              <w:pStyle w:val="ColorfulList-Accent11"/>
              <w:tabs>
                <w:tab w:val="left" w:pos="0"/>
                <w:tab w:val="left" w:pos="284"/>
              </w:tabs>
              <w:ind w:left="0" w:right="-90"/>
              <w:jc w:val="center"/>
              <w:rPr>
                <w:rFonts w:ascii="Arial" w:hAnsi="Arial" w:cs="Arial"/>
                <w:b/>
                <w:color w:val="FF0000"/>
                <w:sz w:val="18"/>
                <w:szCs w:val="18"/>
              </w:rPr>
            </w:pPr>
            <w:r>
              <w:rPr>
                <w:rFonts w:ascii="Arial" w:hAnsi="Arial" w:cs="Arial"/>
                <w:b/>
                <w:bCs/>
                <w:sz w:val="18"/>
                <w:szCs w:val="18"/>
              </w:rPr>
              <w:t>+</w:t>
            </w:r>
            <w:r w:rsidR="00895717" w:rsidRPr="00CA6E28">
              <w:rPr>
                <w:rFonts w:ascii="Arial" w:hAnsi="Arial" w:cs="Arial"/>
                <w:b/>
                <w:bCs/>
                <w:sz w:val="18"/>
                <w:szCs w:val="18"/>
              </w:rPr>
              <w:t>66</w:t>
            </w:r>
            <w:r w:rsidR="003B452A" w:rsidRPr="00CA6E28">
              <w:rPr>
                <w:rFonts w:ascii="Arial" w:hAnsi="Arial" w:cs="Arial"/>
                <w:b/>
                <w:bCs/>
                <w:sz w:val="18"/>
                <w:szCs w:val="18"/>
              </w:rPr>
              <w:t>,</w:t>
            </w:r>
            <w:r w:rsidR="00895717" w:rsidRPr="00CA6E28">
              <w:rPr>
                <w:rFonts w:ascii="Arial" w:hAnsi="Arial" w:cs="Arial"/>
                <w:b/>
                <w:bCs/>
                <w:sz w:val="18"/>
                <w:szCs w:val="18"/>
              </w:rPr>
              <w:t>7%</w:t>
            </w:r>
          </w:p>
        </w:tc>
        <w:tc>
          <w:tcPr>
            <w:tcW w:w="1183"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FFFFF" w:themeFill="background1"/>
            <w:vAlign w:val="center"/>
          </w:tcPr>
          <w:p w14:paraId="74E93A45" w14:textId="47273766" w:rsidR="00895717" w:rsidRPr="00CA6E28" w:rsidRDefault="00895717" w:rsidP="00895717">
            <w:pPr>
              <w:pStyle w:val="ColorfulList-Accent11"/>
              <w:tabs>
                <w:tab w:val="left" w:pos="0"/>
                <w:tab w:val="left" w:pos="284"/>
              </w:tabs>
              <w:ind w:left="0" w:right="-90"/>
              <w:jc w:val="center"/>
              <w:rPr>
                <w:rFonts w:ascii="Arial" w:hAnsi="Arial" w:cs="Arial"/>
                <w:b/>
                <w:color w:val="FF0000"/>
                <w:sz w:val="18"/>
                <w:szCs w:val="18"/>
              </w:rPr>
            </w:pPr>
            <w:r w:rsidRPr="00CA6E28">
              <w:rPr>
                <w:rFonts w:ascii="Arial" w:hAnsi="Arial" w:cs="Arial"/>
                <w:b/>
                <w:bCs/>
                <w:sz w:val="18"/>
                <w:szCs w:val="18"/>
              </w:rPr>
              <w:t>3</w:t>
            </w:r>
            <w:r w:rsidR="003B452A" w:rsidRPr="00CA6E28">
              <w:rPr>
                <w:rFonts w:ascii="Arial" w:hAnsi="Arial" w:cs="Arial"/>
                <w:b/>
                <w:bCs/>
                <w:sz w:val="18"/>
                <w:szCs w:val="18"/>
              </w:rPr>
              <w:t>,</w:t>
            </w:r>
            <w:r w:rsidRPr="00CA6E28">
              <w:rPr>
                <w:rFonts w:ascii="Arial" w:hAnsi="Arial" w:cs="Arial"/>
                <w:b/>
                <w:bCs/>
                <w:sz w:val="18"/>
                <w:szCs w:val="18"/>
              </w:rPr>
              <w:t>7</w:t>
            </w:r>
          </w:p>
        </w:tc>
        <w:tc>
          <w:tcPr>
            <w:tcW w:w="1183" w:type="dxa"/>
            <w:tcBorders>
              <w:top w:val="single" w:sz="2" w:space="0" w:color="808080" w:themeColor="background1" w:themeShade="80"/>
              <w:bottom w:val="single" w:sz="2" w:space="0" w:color="808080" w:themeColor="background1" w:themeShade="80"/>
            </w:tcBorders>
            <w:shd w:val="clear" w:color="auto" w:fill="FFFFFF" w:themeFill="background1"/>
            <w:vAlign w:val="center"/>
          </w:tcPr>
          <w:p w14:paraId="326D702A" w14:textId="46853007" w:rsidR="00895717" w:rsidRPr="00CA6E28" w:rsidRDefault="00895717" w:rsidP="00895717">
            <w:pPr>
              <w:pStyle w:val="ColorfulList-Accent11"/>
              <w:tabs>
                <w:tab w:val="left" w:pos="0"/>
                <w:tab w:val="left" w:pos="284"/>
              </w:tabs>
              <w:ind w:left="0" w:right="-90"/>
              <w:jc w:val="center"/>
              <w:rPr>
                <w:rFonts w:ascii="Arial" w:hAnsi="Arial" w:cs="Arial"/>
                <w:b/>
                <w:color w:val="FF0000"/>
                <w:sz w:val="18"/>
                <w:szCs w:val="18"/>
              </w:rPr>
            </w:pPr>
            <w:r w:rsidRPr="00CA6E28">
              <w:rPr>
                <w:rFonts w:ascii="Arial" w:hAnsi="Arial" w:cs="Arial"/>
                <w:b/>
                <w:bCs/>
                <w:sz w:val="18"/>
                <w:szCs w:val="18"/>
              </w:rPr>
              <w:t>4</w:t>
            </w:r>
            <w:r w:rsidR="003B452A" w:rsidRPr="00CA6E28">
              <w:rPr>
                <w:rFonts w:ascii="Arial" w:hAnsi="Arial" w:cs="Arial"/>
                <w:b/>
                <w:bCs/>
                <w:sz w:val="18"/>
                <w:szCs w:val="18"/>
              </w:rPr>
              <w:t>,</w:t>
            </w:r>
            <w:r w:rsidRPr="00CA6E28">
              <w:rPr>
                <w:rFonts w:ascii="Arial" w:hAnsi="Arial" w:cs="Arial"/>
                <w:b/>
                <w:bCs/>
                <w:sz w:val="18"/>
                <w:szCs w:val="18"/>
              </w:rPr>
              <w:t>0</w:t>
            </w:r>
          </w:p>
        </w:tc>
        <w:tc>
          <w:tcPr>
            <w:tcW w:w="1183" w:type="dxa"/>
            <w:tcBorders>
              <w:top w:val="single" w:sz="2" w:space="0" w:color="808080" w:themeColor="background1" w:themeShade="80"/>
              <w:bottom w:val="single" w:sz="2" w:space="0" w:color="808080" w:themeColor="background1" w:themeShade="80"/>
            </w:tcBorders>
            <w:shd w:val="clear" w:color="auto" w:fill="FFFFFF" w:themeFill="background1"/>
            <w:vAlign w:val="center"/>
          </w:tcPr>
          <w:p w14:paraId="2B74C1EB" w14:textId="6B63FD38" w:rsidR="00895717" w:rsidRPr="00CA6E28" w:rsidRDefault="00895717" w:rsidP="00895717">
            <w:pPr>
              <w:pStyle w:val="ColorfulList-Accent11"/>
              <w:tabs>
                <w:tab w:val="left" w:pos="0"/>
                <w:tab w:val="left" w:pos="284"/>
              </w:tabs>
              <w:ind w:left="0" w:right="-90"/>
              <w:jc w:val="center"/>
              <w:rPr>
                <w:rFonts w:ascii="Arial" w:hAnsi="Arial" w:cs="Arial"/>
                <w:b/>
                <w:color w:val="FF0000"/>
                <w:sz w:val="18"/>
                <w:szCs w:val="18"/>
              </w:rPr>
            </w:pPr>
            <w:r w:rsidRPr="00CA6E28">
              <w:rPr>
                <w:rFonts w:ascii="Arial" w:hAnsi="Arial" w:cs="Arial"/>
                <w:b/>
                <w:bCs/>
                <w:sz w:val="18"/>
                <w:szCs w:val="18"/>
              </w:rPr>
              <w:t>-7</w:t>
            </w:r>
            <w:r w:rsidR="003B452A" w:rsidRPr="00CA6E28">
              <w:rPr>
                <w:rFonts w:ascii="Arial" w:hAnsi="Arial" w:cs="Arial"/>
                <w:b/>
                <w:bCs/>
                <w:sz w:val="18"/>
                <w:szCs w:val="18"/>
              </w:rPr>
              <w:t>,</w:t>
            </w:r>
            <w:r w:rsidRPr="00CA6E28">
              <w:rPr>
                <w:rFonts w:ascii="Arial" w:hAnsi="Arial" w:cs="Arial"/>
                <w:b/>
                <w:bCs/>
                <w:sz w:val="18"/>
                <w:szCs w:val="18"/>
              </w:rPr>
              <w:t>5%</w:t>
            </w:r>
          </w:p>
        </w:tc>
      </w:tr>
      <w:tr w:rsidR="00895717" w:rsidRPr="00CA6E28" w14:paraId="39C993FB" w14:textId="77777777" w:rsidTr="00172C17">
        <w:trPr>
          <w:trHeight w:val="263"/>
        </w:trPr>
        <w:tc>
          <w:tcPr>
            <w:tcW w:w="3495" w:type="dxa"/>
            <w:tcBorders>
              <w:top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241CEB77" w14:textId="31DEADF4" w:rsidR="00895717" w:rsidRPr="00CA6E28" w:rsidRDefault="00895717" w:rsidP="00895717">
            <w:pPr>
              <w:pStyle w:val="ColorfulList-Accent11"/>
              <w:tabs>
                <w:tab w:val="left" w:pos="0"/>
                <w:tab w:val="left" w:pos="284"/>
              </w:tabs>
              <w:ind w:left="0" w:right="-90"/>
              <w:rPr>
                <w:rFonts w:ascii="Arial" w:hAnsi="Arial" w:cs="Arial"/>
                <w:b/>
                <w:sz w:val="18"/>
                <w:szCs w:val="18"/>
              </w:rPr>
            </w:pPr>
            <w:r w:rsidRPr="00CA6E28">
              <w:rPr>
                <w:rFonts w:ascii="Arial" w:hAnsi="Arial" w:cs="Arial"/>
                <w:b/>
                <w:sz w:val="18"/>
                <w:szCs w:val="18"/>
                <w:lang w:val="el-GR"/>
              </w:rPr>
              <w:t>Λειτουργικά έξοδα</w:t>
            </w:r>
          </w:p>
        </w:tc>
        <w:tc>
          <w:tcPr>
            <w:tcW w:w="1072"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793BB92D" w14:textId="554B41D1" w:rsidR="00895717" w:rsidRPr="00CA6E28" w:rsidRDefault="00895717" w:rsidP="00895717">
            <w:pPr>
              <w:pStyle w:val="ColorfulList-Accent11"/>
              <w:tabs>
                <w:tab w:val="left" w:pos="0"/>
                <w:tab w:val="left" w:pos="284"/>
              </w:tabs>
              <w:ind w:left="0" w:right="-90"/>
              <w:jc w:val="center"/>
              <w:rPr>
                <w:rFonts w:ascii="Arial" w:hAnsi="Arial" w:cs="Arial"/>
                <w:b/>
                <w:color w:val="FF0000"/>
                <w:sz w:val="18"/>
                <w:szCs w:val="18"/>
              </w:rPr>
            </w:pPr>
          </w:p>
        </w:tc>
        <w:tc>
          <w:tcPr>
            <w:tcW w:w="1103" w:type="dxa"/>
            <w:tcBorders>
              <w:top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033BF8A6" w14:textId="4BC4BB1E" w:rsidR="00895717" w:rsidRPr="00CA6E28" w:rsidRDefault="00895717" w:rsidP="00895717">
            <w:pPr>
              <w:pStyle w:val="ColorfulList-Accent11"/>
              <w:tabs>
                <w:tab w:val="left" w:pos="0"/>
                <w:tab w:val="left" w:pos="284"/>
              </w:tabs>
              <w:ind w:left="0" w:right="-90"/>
              <w:jc w:val="center"/>
              <w:rPr>
                <w:rFonts w:ascii="Arial" w:hAnsi="Arial" w:cs="Arial"/>
                <w:b/>
                <w:color w:val="FF0000"/>
                <w:sz w:val="18"/>
                <w:szCs w:val="18"/>
              </w:rPr>
            </w:pPr>
          </w:p>
        </w:tc>
        <w:tc>
          <w:tcPr>
            <w:tcW w:w="1183" w:type="dxa"/>
            <w:tcBorders>
              <w:top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2EBEB12D" w14:textId="21516CB9" w:rsidR="00895717" w:rsidRPr="00CA6E28" w:rsidRDefault="00895717" w:rsidP="00895717">
            <w:pPr>
              <w:pStyle w:val="ColorfulList-Accent11"/>
              <w:tabs>
                <w:tab w:val="left" w:pos="0"/>
                <w:tab w:val="left" w:pos="284"/>
              </w:tabs>
              <w:ind w:left="0" w:right="-90"/>
              <w:jc w:val="center"/>
              <w:rPr>
                <w:rFonts w:ascii="Arial" w:hAnsi="Arial" w:cs="Arial"/>
                <w:b/>
                <w:color w:val="FF0000"/>
                <w:sz w:val="18"/>
                <w:szCs w:val="18"/>
                <w:lang w:val="el-GR"/>
              </w:rPr>
            </w:pPr>
          </w:p>
        </w:tc>
        <w:tc>
          <w:tcPr>
            <w:tcW w:w="1183"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649FE004" w14:textId="0056E9BB" w:rsidR="00895717" w:rsidRPr="00CA6E28" w:rsidRDefault="00895717" w:rsidP="00895717">
            <w:pPr>
              <w:pStyle w:val="ColorfulList-Accent11"/>
              <w:tabs>
                <w:tab w:val="left" w:pos="0"/>
                <w:tab w:val="left" w:pos="284"/>
              </w:tabs>
              <w:ind w:left="0" w:right="-90"/>
              <w:jc w:val="center"/>
              <w:rPr>
                <w:rFonts w:ascii="Arial" w:hAnsi="Arial" w:cs="Arial"/>
                <w:b/>
                <w:bCs/>
                <w:sz w:val="18"/>
                <w:szCs w:val="18"/>
              </w:rPr>
            </w:pPr>
          </w:p>
        </w:tc>
        <w:tc>
          <w:tcPr>
            <w:tcW w:w="1183" w:type="dxa"/>
            <w:tcBorders>
              <w:top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6461F409" w14:textId="2441834D" w:rsidR="00895717" w:rsidRPr="00CA6E28" w:rsidRDefault="00895717" w:rsidP="00895717">
            <w:pPr>
              <w:pStyle w:val="ColorfulList-Accent11"/>
              <w:tabs>
                <w:tab w:val="left" w:pos="0"/>
                <w:tab w:val="left" w:pos="284"/>
              </w:tabs>
              <w:ind w:left="0" w:right="-90"/>
              <w:jc w:val="center"/>
              <w:rPr>
                <w:rFonts w:ascii="Arial" w:hAnsi="Arial" w:cs="Arial"/>
                <w:b/>
                <w:bCs/>
                <w:sz w:val="18"/>
                <w:szCs w:val="18"/>
              </w:rPr>
            </w:pPr>
          </w:p>
        </w:tc>
        <w:tc>
          <w:tcPr>
            <w:tcW w:w="1183" w:type="dxa"/>
            <w:tcBorders>
              <w:top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1CDBDD68" w14:textId="7CBE1BE8" w:rsidR="00895717" w:rsidRPr="00CA6E28" w:rsidRDefault="00895717" w:rsidP="00895717">
            <w:pPr>
              <w:pStyle w:val="ColorfulList-Accent11"/>
              <w:tabs>
                <w:tab w:val="left" w:pos="0"/>
                <w:tab w:val="left" w:pos="284"/>
              </w:tabs>
              <w:ind w:left="0" w:right="-90"/>
              <w:jc w:val="center"/>
              <w:rPr>
                <w:rFonts w:ascii="Arial" w:hAnsi="Arial" w:cs="Arial"/>
                <w:b/>
                <w:bCs/>
                <w:sz w:val="18"/>
                <w:szCs w:val="18"/>
              </w:rPr>
            </w:pPr>
          </w:p>
        </w:tc>
      </w:tr>
      <w:tr w:rsidR="00895717" w:rsidRPr="00CA6E28" w14:paraId="60821548" w14:textId="77777777" w:rsidTr="009706BB">
        <w:trPr>
          <w:trHeight w:val="252"/>
        </w:trPr>
        <w:tc>
          <w:tcPr>
            <w:tcW w:w="3495" w:type="dxa"/>
            <w:tcBorders>
              <w:top w:val="single" w:sz="2" w:space="0" w:color="808080" w:themeColor="background1" w:themeShade="80"/>
              <w:right w:val="single" w:sz="2" w:space="0" w:color="808080" w:themeColor="background1" w:themeShade="80"/>
            </w:tcBorders>
            <w:shd w:val="clear" w:color="auto" w:fill="FFFFFF" w:themeFill="background1"/>
            <w:vAlign w:val="center"/>
          </w:tcPr>
          <w:p w14:paraId="17310D04" w14:textId="46C436F7" w:rsidR="00895717" w:rsidRPr="00CA6E28" w:rsidRDefault="00895717" w:rsidP="00895717">
            <w:pPr>
              <w:pStyle w:val="ColorfulList-Accent11"/>
              <w:tabs>
                <w:tab w:val="left" w:pos="0"/>
                <w:tab w:val="left" w:pos="284"/>
              </w:tabs>
              <w:ind w:left="0" w:right="-90"/>
              <w:rPr>
                <w:rFonts w:ascii="Arial" w:hAnsi="Arial" w:cs="Arial"/>
                <w:b/>
                <w:sz w:val="18"/>
                <w:szCs w:val="18"/>
              </w:rPr>
            </w:pPr>
            <w:r w:rsidRPr="00CA6E28">
              <w:rPr>
                <w:rFonts w:ascii="Arial" w:hAnsi="Arial" w:cs="Arial"/>
                <w:sz w:val="18"/>
                <w:szCs w:val="18"/>
                <w:lang w:val="el-GR"/>
              </w:rPr>
              <w:t xml:space="preserve">Έξοδα διασύνδεσης και </w:t>
            </w:r>
            <w:proofErr w:type="spellStart"/>
            <w:r w:rsidRPr="00CA6E28">
              <w:rPr>
                <w:rFonts w:ascii="Arial" w:hAnsi="Arial" w:cs="Arial"/>
                <w:sz w:val="18"/>
                <w:szCs w:val="18"/>
                <w:lang w:val="el-GR"/>
              </w:rPr>
              <w:t>περιαγωγής</w:t>
            </w:r>
            <w:proofErr w:type="spellEnd"/>
          </w:p>
        </w:tc>
        <w:tc>
          <w:tcPr>
            <w:tcW w:w="1072" w:type="dxa"/>
            <w:tcBorders>
              <w:top w:val="single" w:sz="2" w:space="0" w:color="808080" w:themeColor="background1" w:themeShade="80"/>
              <w:left w:val="single" w:sz="2" w:space="0" w:color="808080" w:themeColor="background1" w:themeShade="80"/>
            </w:tcBorders>
            <w:shd w:val="clear" w:color="auto" w:fill="FFFFFF" w:themeFill="background1"/>
            <w:vAlign w:val="center"/>
          </w:tcPr>
          <w:p w14:paraId="57A4A02E" w14:textId="016C2F41" w:rsidR="00895717" w:rsidRPr="00CA6E28" w:rsidRDefault="00895717" w:rsidP="00895717">
            <w:pPr>
              <w:pStyle w:val="ColorfulList-Accent11"/>
              <w:tabs>
                <w:tab w:val="left" w:pos="0"/>
                <w:tab w:val="left" w:pos="284"/>
              </w:tabs>
              <w:ind w:left="0" w:right="-90"/>
              <w:jc w:val="center"/>
              <w:rPr>
                <w:rFonts w:ascii="Arial" w:hAnsi="Arial" w:cs="Arial"/>
                <w:b/>
                <w:color w:val="FF0000"/>
                <w:sz w:val="18"/>
                <w:szCs w:val="18"/>
              </w:rPr>
            </w:pPr>
            <w:r w:rsidRPr="00CA6E28">
              <w:rPr>
                <w:rFonts w:ascii="Arial" w:hAnsi="Arial" w:cs="Arial"/>
                <w:sz w:val="18"/>
                <w:szCs w:val="18"/>
              </w:rPr>
              <w:t>(102</w:t>
            </w:r>
            <w:r w:rsidR="003B452A" w:rsidRPr="00CA6E28">
              <w:rPr>
                <w:rFonts w:ascii="Arial" w:hAnsi="Arial" w:cs="Arial"/>
                <w:sz w:val="18"/>
                <w:szCs w:val="18"/>
              </w:rPr>
              <w:t>,</w:t>
            </w:r>
            <w:r w:rsidRPr="00CA6E28">
              <w:rPr>
                <w:rFonts w:ascii="Arial" w:hAnsi="Arial" w:cs="Arial"/>
                <w:sz w:val="18"/>
                <w:szCs w:val="18"/>
              </w:rPr>
              <w:t>1)</w:t>
            </w:r>
          </w:p>
        </w:tc>
        <w:tc>
          <w:tcPr>
            <w:tcW w:w="1103" w:type="dxa"/>
            <w:tcBorders>
              <w:top w:val="single" w:sz="2" w:space="0" w:color="808080" w:themeColor="background1" w:themeShade="80"/>
            </w:tcBorders>
            <w:shd w:val="clear" w:color="auto" w:fill="FFFFFF" w:themeFill="background1"/>
            <w:vAlign w:val="center"/>
          </w:tcPr>
          <w:p w14:paraId="61A1DB8D" w14:textId="534287CE" w:rsidR="00895717" w:rsidRPr="00CA6E28" w:rsidRDefault="00895717" w:rsidP="00895717">
            <w:pPr>
              <w:pStyle w:val="ColorfulList-Accent11"/>
              <w:tabs>
                <w:tab w:val="left" w:pos="0"/>
                <w:tab w:val="left" w:pos="284"/>
              </w:tabs>
              <w:ind w:left="0" w:right="-90"/>
              <w:jc w:val="center"/>
              <w:rPr>
                <w:rFonts w:ascii="Arial" w:hAnsi="Arial" w:cs="Arial"/>
                <w:b/>
                <w:color w:val="FF0000"/>
                <w:sz w:val="18"/>
                <w:szCs w:val="18"/>
              </w:rPr>
            </w:pPr>
            <w:r w:rsidRPr="00CA6E28">
              <w:rPr>
                <w:rFonts w:ascii="Arial" w:hAnsi="Arial" w:cs="Arial"/>
                <w:sz w:val="18"/>
                <w:szCs w:val="18"/>
              </w:rPr>
              <w:t>(94</w:t>
            </w:r>
            <w:r w:rsidR="003B452A" w:rsidRPr="00CA6E28">
              <w:rPr>
                <w:rFonts w:ascii="Arial" w:hAnsi="Arial" w:cs="Arial"/>
                <w:sz w:val="18"/>
                <w:szCs w:val="18"/>
              </w:rPr>
              <w:t>,</w:t>
            </w:r>
            <w:r w:rsidRPr="00CA6E28">
              <w:rPr>
                <w:rFonts w:ascii="Arial" w:hAnsi="Arial" w:cs="Arial"/>
                <w:sz w:val="18"/>
                <w:szCs w:val="18"/>
              </w:rPr>
              <w:t>4)</w:t>
            </w:r>
          </w:p>
        </w:tc>
        <w:tc>
          <w:tcPr>
            <w:tcW w:w="1183" w:type="dxa"/>
            <w:tcBorders>
              <w:top w:val="single" w:sz="2" w:space="0" w:color="808080" w:themeColor="background1" w:themeShade="80"/>
              <w:right w:val="single" w:sz="2" w:space="0" w:color="808080" w:themeColor="background1" w:themeShade="80"/>
            </w:tcBorders>
            <w:shd w:val="clear" w:color="auto" w:fill="FFFFFF" w:themeFill="background1"/>
            <w:vAlign w:val="center"/>
          </w:tcPr>
          <w:p w14:paraId="19709E12" w14:textId="2F82CB80" w:rsidR="00895717" w:rsidRPr="00CA6E28" w:rsidRDefault="00895717" w:rsidP="00895717">
            <w:pPr>
              <w:pStyle w:val="ColorfulList-Accent11"/>
              <w:tabs>
                <w:tab w:val="left" w:pos="0"/>
                <w:tab w:val="left" w:pos="284"/>
              </w:tabs>
              <w:ind w:left="0" w:right="-90"/>
              <w:jc w:val="center"/>
              <w:rPr>
                <w:rFonts w:ascii="Arial" w:hAnsi="Arial" w:cs="Arial"/>
                <w:b/>
                <w:color w:val="FF0000"/>
                <w:sz w:val="18"/>
                <w:szCs w:val="18"/>
              </w:rPr>
            </w:pPr>
            <w:r w:rsidRPr="00CA6E28">
              <w:rPr>
                <w:rFonts w:ascii="Arial" w:hAnsi="Arial" w:cs="Arial"/>
                <w:sz w:val="18"/>
                <w:szCs w:val="18"/>
              </w:rPr>
              <w:t>+8</w:t>
            </w:r>
            <w:r w:rsidR="003B452A" w:rsidRPr="00CA6E28">
              <w:rPr>
                <w:rFonts w:ascii="Arial" w:hAnsi="Arial" w:cs="Arial"/>
                <w:sz w:val="18"/>
                <w:szCs w:val="18"/>
              </w:rPr>
              <w:t>,</w:t>
            </w:r>
            <w:r w:rsidRPr="00CA6E28">
              <w:rPr>
                <w:rFonts w:ascii="Arial" w:hAnsi="Arial" w:cs="Arial"/>
                <w:sz w:val="18"/>
                <w:szCs w:val="18"/>
              </w:rPr>
              <w:t>2%</w:t>
            </w:r>
          </w:p>
        </w:tc>
        <w:tc>
          <w:tcPr>
            <w:tcW w:w="1183" w:type="dxa"/>
            <w:tcBorders>
              <w:top w:val="single" w:sz="2" w:space="0" w:color="808080" w:themeColor="background1" w:themeShade="80"/>
              <w:left w:val="single" w:sz="2" w:space="0" w:color="808080" w:themeColor="background1" w:themeShade="80"/>
            </w:tcBorders>
            <w:shd w:val="clear" w:color="auto" w:fill="FFFFFF" w:themeFill="background1"/>
            <w:vAlign w:val="center"/>
          </w:tcPr>
          <w:p w14:paraId="106CD6F5" w14:textId="063B8BC9" w:rsidR="00895717" w:rsidRPr="00CA6E28" w:rsidRDefault="00895717" w:rsidP="00895717">
            <w:pPr>
              <w:pStyle w:val="ColorfulList-Accent11"/>
              <w:tabs>
                <w:tab w:val="left" w:pos="0"/>
                <w:tab w:val="left" w:pos="284"/>
              </w:tabs>
              <w:ind w:left="0" w:right="-90"/>
              <w:jc w:val="center"/>
              <w:rPr>
                <w:rFonts w:ascii="Arial" w:hAnsi="Arial" w:cs="Arial"/>
                <w:b/>
                <w:color w:val="FF0000"/>
                <w:sz w:val="18"/>
                <w:szCs w:val="18"/>
              </w:rPr>
            </w:pPr>
            <w:r w:rsidRPr="00CA6E28">
              <w:rPr>
                <w:rFonts w:ascii="Arial" w:hAnsi="Arial" w:cs="Arial"/>
                <w:sz w:val="18"/>
                <w:szCs w:val="18"/>
              </w:rPr>
              <w:t>(324</w:t>
            </w:r>
            <w:r w:rsidR="003B452A" w:rsidRPr="00CA6E28">
              <w:rPr>
                <w:rFonts w:ascii="Arial" w:hAnsi="Arial" w:cs="Arial"/>
                <w:sz w:val="18"/>
                <w:szCs w:val="18"/>
              </w:rPr>
              <w:t>,</w:t>
            </w:r>
            <w:r w:rsidRPr="00CA6E28">
              <w:rPr>
                <w:rFonts w:ascii="Arial" w:hAnsi="Arial" w:cs="Arial"/>
                <w:sz w:val="18"/>
                <w:szCs w:val="18"/>
              </w:rPr>
              <w:t>5)</w:t>
            </w:r>
          </w:p>
        </w:tc>
        <w:tc>
          <w:tcPr>
            <w:tcW w:w="1183" w:type="dxa"/>
            <w:tcBorders>
              <w:top w:val="single" w:sz="2" w:space="0" w:color="808080" w:themeColor="background1" w:themeShade="80"/>
            </w:tcBorders>
            <w:shd w:val="clear" w:color="auto" w:fill="FFFFFF" w:themeFill="background1"/>
            <w:vAlign w:val="center"/>
          </w:tcPr>
          <w:p w14:paraId="3A7F343E" w14:textId="65083D7F" w:rsidR="00895717" w:rsidRPr="00CA6E28" w:rsidRDefault="00895717" w:rsidP="00895717">
            <w:pPr>
              <w:pStyle w:val="ColorfulList-Accent11"/>
              <w:tabs>
                <w:tab w:val="left" w:pos="0"/>
                <w:tab w:val="left" w:pos="284"/>
              </w:tabs>
              <w:ind w:left="0" w:right="-90"/>
              <w:jc w:val="center"/>
              <w:rPr>
                <w:rFonts w:ascii="Arial" w:hAnsi="Arial" w:cs="Arial"/>
                <w:b/>
                <w:color w:val="FF0000"/>
                <w:sz w:val="18"/>
                <w:szCs w:val="18"/>
              </w:rPr>
            </w:pPr>
            <w:r w:rsidRPr="00CA6E28">
              <w:rPr>
                <w:rFonts w:ascii="Arial" w:hAnsi="Arial" w:cs="Arial"/>
                <w:sz w:val="18"/>
                <w:szCs w:val="18"/>
              </w:rPr>
              <w:t>(326</w:t>
            </w:r>
            <w:r w:rsidR="003B452A" w:rsidRPr="00CA6E28">
              <w:rPr>
                <w:rFonts w:ascii="Arial" w:hAnsi="Arial" w:cs="Arial"/>
                <w:sz w:val="18"/>
                <w:szCs w:val="18"/>
              </w:rPr>
              <w:t>,</w:t>
            </w:r>
            <w:r w:rsidRPr="00CA6E28">
              <w:rPr>
                <w:rFonts w:ascii="Arial" w:hAnsi="Arial" w:cs="Arial"/>
                <w:sz w:val="18"/>
                <w:szCs w:val="18"/>
              </w:rPr>
              <w:t>3)</w:t>
            </w:r>
          </w:p>
        </w:tc>
        <w:tc>
          <w:tcPr>
            <w:tcW w:w="1183" w:type="dxa"/>
            <w:tcBorders>
              <w:top w:val="single" w:sz="2" w:space="0" w:color="808080" w:themeColor="background1" w:themeShade="80"/>
            </w:tcBorders>
            <w:shd w:val="clear" w:color="auto" w:fill="FFFFFF" w:themeFill="background1"/>
            <w:vAlign w:val="center"/>
          </w:tcPr>
          <w:p w14:paraId="3D04140D" w14:textId="1E2399AF" w:rsidR="00895717" w:rsidRPr="00CA6E28" w:rsidRDefault="00895717" w:rsidP="00895717">
            <w:pPr>
              <w:pStyle w:val="ColorfulList-Accent11"/>
              <w:tabs>
                <w:tab w:val="left" w:pos="0"/>
                <w:tab w:val="left" w:pos="284"/>
              </w:tabs>
              <w:ind w:left="0" w:right="-90"/>
              <w:jc w:val="center"/>
              <w:rPr>
                <w:rFonts w:ascii="Arial" w:hAnsi="Arial" w:cs="Arial"/>
                <w:b/>
                <w:color w:val="FF0000"/>
                <w:sz w:val="18"/>
                <w:szCs w:val="18"/>
              </w:rPr>
            </w:pPr>
            <w:r w:rsidRPr="00CA6E28">
              <w:rPr>
                <w:rFonts w:ascii="Arial" w:hAnsi="Arial" w:cs="Arial"/>
                <w:sz w:val="18"/>
                <w:szCs w:val="18"/>
              </w:rPr>
              <w:t>-0</w:t>
            </w:r>
            <w:r w:rsidR="003B452A" w:rsidRPr="00CA6E28">
              <w:rPr>
                <w:rFonts w:ascii="Arial" w:hAnsi="Arial" w:cs="Arial"/>
                <w:sz w:val="18"/>
                <w:szCs w:val="18"/>
              </w:rPr>
              <w:t>,</w:t>
            </w:r>
            <w:r w:rsidRPr="00CA6E28">
              <w:rPr>
                <w:rFonts w:ascii="Arial" w:hAnsi="Arial" w:cs="Arial"/>
                <w:sz w:val="18"/>
                <w:szCs w:val="18"/>
              </w:rPr>
              <w:t>6%</w:t>
            </w:r>
          </w:p>
        </w:tc>
      </w:tr>
      <w:tr w:rsidR="00895717" w:rsidRPr="00CA6E28" w14:paraId="155E139F" w14:textId="77777777" w:rsidTr="00AA2930">
        <w:trPr>
          <w:trHeight w:val="263"/>
        </w:trPr>
        <w:tc>
          <w:tcPr>
            <w:tcW w:w="3495" w:type="dxa"/>
            <w:tcBorders>
              <w:right w:val="single" w:sz="2" w:space="0" w:color="808080" w:themeColor="background1" w:themeShade="80"/>
            </w:tcBorders>
            <w:shd w:val="clear" w:color="auto" w:fill="FFFFFF" w:themeFill="background1"/>
            <w:vAlign w:val="center"/>
          </w:tcPr>
          <w:p w14:paraId="15213908" w14:textId="707D8CF3" w:rsidR="00895717" w:rsidRPr="00CA6E28" w:rsidRDefault="00895717" w:rsidP="00895717">
            <w:pPr>
              <w:pStyle w:val="ColorfulList-Accent11"/>
              <w:tabs>
                <w:tab w:val="left" w:pos="0"/>
                <w:tab w:val="left" w:pos="284"/>
              </w:tabs>
              <w:ind w:left="0" w:right="-90"/>
              <w:rPr>
                <w:rFonts w:ascii="Arial" w:hAnsi="Arial" w:cs="Arial"/>
                <w:sz w:val="18"/>
                <w:szCs w:val="18"/>
                <w:lang w:val="el-GR"/>
              </w:rPr>
            </w:pPr>
            <w:r w:rsidRPr="00CA6E28">
              <w:rPr>
                <w:rFonts w:ascii="Arial" w:hAnsi="Arial" w:cs="Arial"/>
                <w:sz w:val="18"/>
                <w:szCs w:val="18"/>
                <w:lang w:val="el-GR"/>
              </w:rPr>
              <w:t>Πρόβλεψη για αναμενόμενες πιστωτικές ζημιές</w:t>
            </w:r>
          </w:p>
        </w:tc>
        <w:tc>
          <w:tcPr>
            <w:tcW w:w="1072" w:type="dxa"/>
            <w:tcBorders>
              <w:left w:val="single" w:sz="2" w:space="0" w:color="808080" w:themeColor="background1" w:themeShade="80"/>
            </w:tcBorders>
            <w:shd w:val="clear" w:color="auto" w:fill="FFFFFF" w:themeFill="background1"/>
            <w:vAlign w:val="center"/>
          </w:tcPr>
          <w:p w14:paraId="70F1ED0C" w14:textId="586B7CD7" w:rsidR="00895717" w:rsidRPr="00CA6E28" w:rsidRDefault="00895717" w:rsidP="00895717">
            <w:pPr>
              <w:pStyle w:val="ColorfulList-Accent11"/>
              <w:tabs>
                <w:tab w:val="left" w:pos="0"/>
                <w:tab w:val="left" w:pos="284"/>
              </w:tabs>
              <w:ind w:left="0" w:right="-90"/>
              <w:jc w:val="center"/>
              <w:rPr>
                <w:rFonts w:ascii="Arial" w:hAnsi="Arial" w:cs="Arial"/>
                <w:color w:val="FF0000"/>
                <w:sz w:val="18"/>
                <w:szCs w:val="18"/>
              </w:rPr>
            </w:pPr>
            <w:r w:rsidRPr="00CA6E28">
              <w:rPr>
                <w:rFonts w:ascii="Arial" w:hAnsi="Arial" w:cs="Arial"/>
                <w:sz w:val="18"/>
                <w:szCs w:val="18"/>
              </w:rPr>
              <w:t>(6</w:t>
            </w:r>
            <w:r w:rsidR="003B452A" w:rsidRPr="00CA6E28">
              <w:rPr>
                <w:rFonts w:ascii="Arial" w:hAnsi="Arial" w:cs="Arial"/>
                <w:sz w:val="18"/>
                <w:szCs w:val="18"/>
              </w:rPr>
              <w:t>,</w:t>
            </w:r>
            <w:r w:rsidRPr="00CA6E28">
              <w:rPr>
                <w:rFonts w:ascii="Arial" w:hAnsi="Arial" w:cs="Arial"/>
                <w:sz w:val="18"/>
                <w:szCs w:val="18"/>
              </w:rPr>
              <w:t>6)</w:t>
            </w:r>
          </w:p>
        </w:tc>
        <w:tc>
          <w:tcPr>
            <w:tcW w:w="1103" w:type="dxa"/>
            <w:shd w:val="clear" w:color="auto" w:fill="FFFFFF" w:themeFill="background1"/>
            <w:vAlign w:val="center"/>
          </w:tcPr>
          <w:p w14:paraId="0C1FCB31" w14:textId="7A0BB049" w:rsidR="00895717" w:rsidRPr="00CA6E28" w:rsidRDefault="00895717" w:rsidP="00895717">
            <w:pPr>
              <w:pStyle w:val="ColorfulList-Accent11"/>
              <w:tabs>
                <w:tab w:val="left" w:pos="0"/>
                <w:tab w:val="left" w:pos="284"/>
              </w:tabs>
              <w:ind w:left="0" w:right="-90"/>
              <w:jc w:val="center"/>
              <w:rPr>
                <w:rFonts w:ascii="Arial" w:hAnsi="Arial" w:cs="Arial"/>
                <w:color w:val="FF0000"/>
                <w:sz w:val="18"/>
                <w:szCs w:val="18"/>
              </w:rPr>
            </w:pPr>
            <w:r w:rsidRPr="00CA6E28">
              <w:rPr>
                <w:rFonts w:ascii="Arial" w:hAnsi="Arial" w:cs="Arial"/>
                <w:sz w:val="18"/>
                <w:szCs w:val="18"/>
              </w:rPr>
              <w:t>(5</w:t>
            </w:r>
            <w:r w:rsidR="003B452A" w:rsidRPr="00CA6E28">
              <w:rPr>
                <w:rFonts w:ascii="Arial" w:hAnsi="Arial" w:cs="Arial"/>
                <w:sz w:val="18"/>
                <w:szCs w:val="18"/>
              </w:rPr>
              <w:t>,</w:t>
            </w:r>
            <w:r w:rsidRPr="00CA6E28">
              <w:rPr>
                <w:rFonts w:ascii="Arial" w:hAnsi="Arial" w:cs="Arial"/>
                <w:sz w:val="18"/>
                <w:szCs w:val="18"/>
              </w:rPr>
              <w:t>3)</w:t>
            </w:r>
          </w:p>
        </w:tc>
        <w:tc>
          <w:tcPr>
            <w:tcW w:w="1183" w:type="dxa"/>
            <w:tcBorders>
              <w:right w:val="single" w:sz="2" w:space="0" w:color="808080" w:themeColor="background1" w:themeShade="80"/>
            </w:tcBorders>
            <w:shd w:val="clear" w:color="auto" w:fill="FFFFFF" w:themeFill="background1"/>
            <w:vAlign w:val="center"/>
          </w:tcPr>
          <w:p w14:paraId="3AC2C495" w14:textId="41E609FE" w:rsidR="00895717" w:rsidRPr="00CA6E28" w:rsidRDefault="00895717" w:rsidP="00895717">
            <w:pPr>
              <w:pStyle w:val="ColorfulList-Accent11"/>
              <w:tabs>
                <w:tab w:val="left" w:pos="0"/>
                <w:tab w:val="left" w:pos="284"/>
              </w:tabs>
              <w:ind w:left="0" w:right="-90"/>
              <w:jc w:val="center"/>
              <w:rPr>
                <w:rFonts w:ascii="Arial" w:hAnsi="Arial" w:cs="Arial"/>
                <w:color w:val="FF0000"/>
                <w:sz w:val="18"/>
                <w:szCs w:val="18"/>
              </w:rPr>
            </w:pPr>
            <w:r w:rsidRPr="00CA6E28">
              <w:rPr>
                <w:rFonts w:ascii="Arial" w:hAnsi="Arial" w:cs="Arial"/>
                <w:sz w:val="18"/>
                <w:szCs w:val="18"/>
              </w:rPr>
              <w:t>+24</w:t>
            </w:r>
            <w:r w:rsidR="003B452A" w:rsidRPr="00CA6E28">
              <w:rPr>
                <w:rFonts w:ascii="Arial" w:hAnsi="Arial" w:cs="Arial"/>
                <w:sz w:val="18"/>
                <w:szCs w:val="18"/>
              </w:rPr>
              <w:t>,</w:t>
            </w:r>
            <w:r w:rsidRPr="00CA6E28">
              <w:rPr>
                <w:rFonts w:ascii="Arial" w:hAnsi="Arial" w:cs="Arial"/>
                <w:sz w:val="18"/>
                <w:szCs w:val="18"/>
              </w:rPr>
              <w:t>5%</w:t>
            </w:r>
          </w:p>
        </w:tc>
        <w:tc>
          <w:tcPr>
            <w:tcW w:w="1183" w:type="dxa"/>
            <w:tcBorders>
              <w:left w:val="single" w:sz="2" w:space="0" w:color="808080" w:themeColor="background1" w:themeShade="80"/>
            </w:tcBorders>
            <w:shd w:val="clear" w:color="auto" w:fill="FFFFFF" w:themeFill="background1"/>
            <w:vAlign w:val="center"/>
          </w:tcPr>
          <w:p w14:paraId="5CFC614B" w14:textId="54466070" w:rsidR="00895717" w:rsidRPr="00CA6E28" w:rsidRDefault="00895717" w:rsidP="00895717">
            <w:pPr>
              <w:pStyle w:val="ColorfulList-Accent11"/>
              <w:tabs>
                <w:tab w:val="left" w:pos="0"/>
                <w:tab w:val="left" w:pos="284"/>
              </w:tabs>
              <w:ind w:left="0" w:right="-90"/>
              <w:jc w:val="center"/>
              <w:rPr>
                <w:rFonts w:ascii="Arial" w:hAnsi="Arial" w:cs="Arial"/>
                <w:sz w:val="18"/>
                <w:szCs w:val="18"/>
              </w:rPr>
            </w:pPr>
            <w:r w:rsidRPr="00CA6E28">
              <w:rPr>
                <w:rFonts w:ascii="Arial" w:hAnsi="Arial" w:cs="Arial"/>
                <w:sz w:val="18"/>
                <w:szCs w:val="18"/>
              </w:rPr>
              <w:t>(20</w:t>
            </w:r>
            <w:r w:rsidR="003B452A" w:rsidRPr="00CA6E28">
              <w:rPr>
                <w:rFonts w:ascii="Arial" w:hAnsi="Arial" w:cs="Arial"/>
                <w:sz w:val="18"/>
                <w:szCs w:val="18"/>
              </w:rPr>
              <w:t>,</w:t>
            </w:r>
            <w:r w:rsidRPr="00CA6E28">
              <w:rPr>
                <w:rFonts w:ascii="Arial" w:hAnsi="Arial" w:cs="Arial"/>
                <w:sz w:val="18"/>
                <w:szCs w:val="18"/>
              </w:rPr>
              <w:t>3)</w:t>
            </w:r>
          </w:p>
        </w:tc>
        <w:tc>
          <w:tcPr>
            <w:tcW w:w="1183" w:type="dxa"/>
            <w:shd w:val="clear" w:color="auto" w:fill="FFFFFF" w:themeFill="background1"/>
            <w:vAlign w:val="center"/>
          </w:tcPr>
          <w:p w14:paraId="592D59EE" w14:textId="1EF1FA1A" w:rsidR="00895717" w:rsidRPr="00CA6E28" w:rsidRDefault="00895717" w:rsidP="00895717">
            <w:pPr>
              <w:pStyle w:val="ColorfulList-Accent11"/>
              <w:tabs>
                <w:tab w:val="left" w:pos="0"/>
                <w:tab w:val="left" w:pos="284"/>
              </w:tabs>
              <w:ind w:left="0" w:right="-90"/>
              <w:jc w:val="center"/>
              <w:rPr>
                <w:rFonts w:ascii="Arial" w:hAnsi="Arial" w:cs="Arial"/>
                <w:sz w:val="18"/>
                <w:szCs w:val="18"/>
              </w:rPr>
            </w:pPr>
            <w:r w:rsidRPr="00CA6E28">
              <w:rPr>
                <w:rFonts w:ascii="Arial" w:hAnsi="Arial" w:cs="Arial"/>
                <w:sz w:val="18"/>
                <w:szCs w:val="18"/>
              </w:rPr>
              <w:t>(17</w:t>
            </w:r>
            <w:r w:rsidR="003B452A" w:rsidRPr="00CA6E28">
              <w:rPr>
                <w:rFonts w:ascii="Arial" w:hAnsi="Arial" w:cs="Arial"/>
                <w:sz w:val="18"/>
                <w:szCs w:val="18"/>
              </w:rPr>
              <w:t>,</w:t>
            </w:r>
            <w:r w:rsidRPr="00CA6E28">
              <w:rPr>
                <w:rFonts w:ascii="Arial" w:hAnsi="Arial" w:cs="Arial"/>
                <w:sz w:val="18"/>
                <w:szCs w:val="18"/>
              </w:rPr>
              <w:t>5)</w:t>
            </w:r>
          </w:p>
        </w:tc>
        <w:tc>
          <w:tcPr>
            <w:tcW w:w="1183" w:type="dxa"/>
            <w:shd w:val="clear" w:color="auto" w:fill="FFFFFF" w:themeFill="background1"/>
            <w:vAlign w:val="center"/>
          </w:tcPr>
          <w:p w14:paraId="3BDFD794" w14:textId="5DEC5631" w:rsidR="00895717" w:rsidRPr="00CA6E28" w:rsidRDefault="00895717" w:rsidP="00895717">
            <w:pPr>
              <w:pStyle w:val="ColorfulList-Accent11"/>
              <w:tabs>
                <w:tab w:val="left" w:pos="0"/>
                <w:tab w:val="left" w:pos="284"/>
              </w:tabs>
              <w:ind w:left="0" w:right="-90"/>
              <w:jc w:val="center"/>
              <w:rPr>
                <w:rFonts w:ascii="Arial" w:hAnsi="Arial" w:cs="Arial"/>
                <w:sz w:val="18"/>
                <w:szCs w:val="18"/>
              </w:rPr>
            </w:pPr>
            <w:r w:rsidRPr="00CA6E28">
              <w:rPr>
                <w:rFonts w:ascii="Arial" w:hAnsi="Arial" w:cs="Arial"/>
                <w:sz w:val="18"/>
                <w:szCs w:val="18"/>
              </w:rPr>
              <w:t>+16</w:t>
            </w:r>
            <w:r w:rsidR="003B452A" w:rsidRPr="00CA6E28">
              <w:rPr>
                <w:rFonts w:ascii="Arial" w:hAnsi="Arial" w:cs="Arial"/>
                <w:sz w:val="18"/>
                <w:szCs w:val="18"/>
              </w:rPr>
              <w:t>,</w:t>
            </w:r>
            <w:r w:rsidRPr="00CA6E28">
              <w:rPr>
                <w:rFonts w:ascii="Arial" w:hAnsi="Arial" w:cs="Arial"/>
                <w:sz w:val="18"/>
                <w:szCs w:val="18"/>
              </w:rPr>
              <w:t>0%</w:t>
            </w:r>
          </w:p>
        </w:tc>
      </w:tr>
      <w:tr w:rsidR="00895717" w:rsidRPr="00CA6E28" w14:paraId="3C782EAA" w14:textId="77777777" w:rsidTr="00AA2930">
        <w:trPr>
          <w:trHeight w:val="252"/>
        </w:trPr>
        <w:tc>
          <w:tcPr>
            <w:tcW w:w="3495" w:type="dxa"/>
            <w:tcBorders>
              <w:right w:val="single" w:sz="2" w:space="0" w:color="808080" w:themeColor="background1" w:themeShade="80"/>
            </w:tcBorders>
            <w:shd w:val="clear" w:color="auto" w:fill="FFFFFF" w:themeFill="background1"/>
            <w:vAlign w:val="center"/>
          </w:tcPr>
          <w:p w14:paraId="4AB01215" w14:textId="1B9543B6" w:rsidR="00895717" w:rsidRPr="00CA6E28" w:rsidRDefault="00895717" w:rsidP="00895717">
            <w:pPr>
              <w:pStyle w:val="ColorfulList-Accent11"/>
              <w:tabs>
                <w:tab w:val="left" w:pos="0"/>
                <w:tab w:val="left" w:pos="284"/>
              </w:tabs>
              <w:ind w:left="0" w:right="-90"/>
              <w:rPr>
                <w:rFonts w:ascii="Arial" w:hAnsi="Arial" w:cs="Arial"/>
                <w:sz w:val="18"/>
                <w:szCs w:val="18"/>
              </w:rPr>
            </w:pPr>
            <w:r w:rsidRPr="00CA6E28">
              <w:rPr>
                <w:rFonts w:ascii="Arial" w:hAnsi="Arial" w:cs="Arial"/>
                <w:sz w:val="18"/>
                <w:szCs w:val="18"/>
                <w:lang w:val="el-GR"/>
              </w:rPr>
              <w:t>Αποδοχές προσωπικού</w:t>
            </w:r>
          </w:p>
        </w:tc>
        <w:tc>
          <w:tcPr>
            <w:tcW w:w="1072" w:type="dxa"/>
            <w:tcBorders>
              <w:left w:val="single" w:sz="2" w:space="0" w:color="808080" w:themeColor="background1" w:themeShade="80"/>
            </w:tcBorders>
            <w:shd w:val="clear" w:color="auto" w:fill="FFFFFF" w:themeFill="background1"/>
            <w:vAlign w:val="center"/>
          </w:tcPr>
          <w:p w14:paraId="4DEC6D71" w14:textId="54981AB5" w:rsidR="00895717" w:rsidRPr="00CA6E28" w:rsidRDefault="00895717" w:rsidP="00895717">
            <w:pPr>
              <w:pStyle w:val="ColorfulList-Accent11"/>
              <w:tabs>
                <w:tab w:val="left" w:pos="0"/>
                <w:tab w:val="left" w:pos="284"/>
              </w:tabs>
              <w:ind w:left="0" w:right="-90"/>
              <w:jc w:val="center"/>
              <w:rPr>
                <w:rFonts w:ascii="Arial" w:hAnsi="Arial" w:cs="Arial"/>
                <w:color w:val="FF0000"/>
                <w:sz w:val="18"/>
                <w:szCs w:val="18"/>
              </w:rPr>
            </w:pPr>
            <w:r w:rsidRPr="00CA6E28">
              <w:rPr>
                <w:rFonts w:ascii="Arial" w:hAnsi="Arial" w:cs="Arial"/>
                <w:sz w:val="18"/>
                <w:szCs w:val="18"/>
              </w:rPr>
              <w:t>(89</w:t>
            </w:r>
            <w:r w:rsidR="003B452A" w:rsidRPr="00CA6E28">
              <w:rPr>
                <w:rFonts w:ascii="Arial" w:hAnsi="Arial" w:cs="Arial"/>
                <w:sz w:val="18"/>
                <w:szCs w:val="18"/>
              </w:rPr>
              <w:t>,</w:t>
            </w:r>
            <w:r w:rsidRPr="00CA6E28">
              <w:rPr>
                <w:rFonts w:ascii="Arial" w:hAnsi="Arial" w:cs="Arial"/>
                <w:sz w:val="18"/>
                <w:szCs w:val="18"/>
              </w:rPr>
              <w:t>4)</w:t>
            </w:r>
          </w:p>
        </w:tc>
        <w:tc>
          <w:tcPr>
            <w:tcW w:w="1103" w:type="dxa"/>
            <w:shd w:val="clear" w:color="auto" w:fill="FFFFFF" w:themeFill="background1"/>
            <w:vAlign w:val="center"/>
          </w:tcPr>
          <w:p w14:paraId="022F5814" w14:textId="046895F4" w:rsidR="00895717" w:rsidRPr="00CA6E28" w:rsidRDefault="00895717" w:rsidP="00895717">
            <w:pPr>
              <w:pStyle w:val="ColorfulList-Accent11"/>
              <w:tabs>
                <w:tab w:val="left" w:pos="0"/>
                <w:tab w:val="left" w:pos="284"/>
              </w:tabs>
              <w:ind w:left="0" w:right="-90"/>
              <w:jc w:val="center"/>
              <w:rPr>
                <w:rFonts w:ascii="Arial" w:hAnsi="Arial" w:cs="Arial"/>
                <w:color w:val="FF0000"/>
                <w:sz w:val="18"/>
                <w:szCs w:val="18"/>
              </w:rPr>
            </w:pPr>
            <w:r w:rsidRPr="00CA6E28">
              <w:rPr>
                <w:rFonts w:ascii="Arial" w:hAnsi="Arial" w:cs="Arial"/>
                <w:sz w:val="18"/>
                <w:szCs w:val="18"/>
              </w:rPr>
              <w:t>(93</w:t>
            </w:r>
            <w:r w:rsidR="003B452A" w:rsidRPr="00CA6E28">
              <w:rPr>
                <w:rFonts w:ascii="Arial" w:hAnsi="Arial" w:cs="Arial"/>
                <w:sz w:val="18"/>
                <w:szCs w:val="18"/>
              </w:rPr>
              <w:t>,</w:t>
            </w:r>
            <w:r w:rsidRPr="00CA6E28">
              <w:rPr>
                <w:rFonts w:ascii="Arial" w:hAnsi="Arial" w:cs="Arial"/>
                <w:sz w:val="18"/>
                <w:szCs w:val="18"/>
              </w:rPr>
              <w:t>2)</w:t>
            </w:r>
          </w:p>
        </w:tc>
        <w:tc>
          <w:tcPr>
            <w:tcW w:w="1183" w:type="dxa"/>
            <w:tcBorders>
              <w:right w:val="single" w:sz="2" w:space="0" w:color="808080" w:themeColor="background1" w:themeShade="80"/>
            </w:tcBorders>
            <w:shd w:val="clear" w:color="auto" w:fill="FFFFFF" w:themeFill="background1"/>
            <w:vAlign w:val="center"/>
          </w:tcPr>
          <w:p w14:paraId="6D52AA70" w14:textId="2557C89D" w:rsidR="00895717" w:rsidRPr="00CA6E28" w:rsidRDefault="00895717" w:rsidP="00895717">
            <w:pPr>
              <w:pStyle w:val="ColorfulList-Accent11"/>
              <w:tabs>
                <w:tab w:val="left" w:pos="0"/>
                <w:tab w:val="left" w:pos="284"/>
              </w:tabs>
              <w:ind w:left="0" w:right="-90"/>
              <w:jc w:val="center"/>
              <w:rPr>
                <w:rFonts w:ascii="Arial" w:hAnsi="Arial" w:cs="Arial"/>
                <w:color w:val="FF0000"/>
                <w:sz w:val="18"/>
                <w:szCs w:val="18"/>
              </w:rPr>
            </w:pPr>
            <w:r w:rsidRPr="00CA6E28">
              <w:rPr>
                <w:rFonts w:ascii="Arial" w:hAnsi="Arial" w:cs="Arial"/>
                <w:sz w:val="18"/>
                <w:szCs w:val="18"/>
              </w:rPr>
              <w:t>-4</w:t>
            </w:r>
            <w:r w:rsidR="003B452A" w:rsidRPr="00CA6E28">
              <w:rPr>
                <w:rFonts w:ascii="Arial" w:hAnsi="Arial" w:cs="Arial"/>
                <w:sz w:val="18"/>
                <w:szCs w:val="18"/>
              </w:rPr>
              <w:t>,</w:t>
            </w:r>
            <w:r w:rsidRPr="00CA6E28">
              <w:rPr>
                <w:rFonts w:ascii="Arial" w:hAnsi="Arial" w:cs="Arial"/>
                <w:sz w:val="18"/>
                <w:szCs w:val="18"/>
              </w:rPr>
              <w:t>1%</w:t>
            </w:r>
          </w:p>
        </w:tc>
        <w:tc>
          <w:tcPr>
            <w:tcW w:w="1183" w:type="dxa"/>
            <w:tcBorders>
              <w:left w:val="single" w:sz="2" w:space="0" w:color="808080" w:themeColor="background1" w:themeShade="80"/>
            </w:tcBorders>
            <w:shd w:val="clear" w:color="auto" w:fill="FFFFFF" w:themeFill="background1"/>
            <w:vAlign w:val="center"/>
          </w:tcPr>
          <w:p w14:paraId="17618D38" w14:textId="31F21C52" w:rsidR="00895717" w:rsidRPr="00CA6E28" w:rsidRDefault="00895717" w:rsidP="00895717">
            <w:pPr>
              <w:pStyle w:val="ColorfulList-Accent11"/>
              <w:tabs>
                <w:tab w:val="left" w:pos="0"/>
                <w:tab w:val="left" w:pos="284"/>
              </w:tabs>
              <w:ind w:left="0" w:right="-90"/>
              <w:jc w:val="center"/>
              <w:rPr>
                <w:rFonts w:ascii="Arial" w:hAnsi="Arial" w:cs="Arial"/>
                <w:sz w:val="18"/>
                <w:szCs w:val="18"/>
              </w:rPr>
            </w:pPr>
            <w:r w:rsidRPr="00CA6E28">
              <w:rPr>
                <w:rFonts w:ascii="Arial" w:hAnsi="Arial" w:cs="Arial"/>
                <w:sz w:val="18"/>
                <w:szCs w:val="18"/>
              </w:rPr>
              <w:t>(280</w:t>
            </w:r>
            <w:r w:rsidR="003B452A" w:rsidRPr="00CA6E28">
              <w:rPr>
                <w:rFonts w:ascii="Arial" w:hAnsi="Arial" w:cs="Arial"/>
                <w:sz w:val="18"/>
                <w:szCs w:val="18"/>
              </w:rPr>
              <w:t>,</w:t>
            </w:r>
            <w:r w:rsidRPr="00CA6E28">
              <w:rPr>
                <w:rFonts w:ascii="Arial" w:hAnsi="Arial" w:cs="Arial"/>
                <w:sz w:val="18"/>
                <w:szCs w:val="18"/>
              </w:rPr>
              <w:t>2)</w:t>
            </w:r>
          </w:p>
        </w:tc>
        <w:tc>
          <w:tcPr>
            <w:tcW w:w="1183" w:type="dxa"/>
            <w:shd w:val="clear" w:color="auto" w:fill="FFFFFF" w:themeFill="background1"/>
            <w:vAlign w:val="center"/>
          </w:tcPr>
          <w:p w14:paraId="14735192" w14:textId="07C10ABA" w:rsidR="00895717" w:rsidRPr="00CA6E28" w:rsidRDefault="00895717" w:rsidP="00895717">
            <w:pPr>
              <w:pStyle w:val="ColorfulList-Accent11"/>
              <w:tabs>
                <w:tab w:val="left" w:pos="0"/>
                <w:tab w:val="left" w:pos="284"/>
              </w:tabs>
              <w:ind w:left="0" w:right="-90"/>
              <w:jc w:val="center"/>
              <w:rPr>
                <w:rFonts w:ascii="Arial" w:hAnsi="Arial" w:cs="Arial"/>
                <w:sz w:val="18"/>
                <w:szCs w:val="18"/>
              </w:rPr>
            </w:pPr>
            <w:r w:rsidRPr="00CA6E28">
              <w:rPr>
                <w:rFonts w:ascii="Arial" w:hAnsi="Arial" w:cs="Arial"/>
                <w:sz w:val="18"/>
                <w:szCs w:val="18"/>
              </w:rPr>
              <w:t>(290</w:t>
            </w:r>
            <w:r w:rsidR="003B452A" w:rsidRPr="00CA6E28">
              <w:rPr>
                <w:rFonts w:ascii="Arial" w:hAnsi="Arial" w:cs="Arial"/>
                <w:sz w:val="18"/>
                <w:szCs w:val="18"/>
              </w:rPr>
              <w:t>,</w:t>
            </w:r>
            <w:r w:rsidRPr="00CA6E28">
              <w:rPr>
                <w:rFonts w:ascii="Arial" w:hAnsi="Arial" w:cs="Arial"/>
                <w:sz w:val="18"/>
                <w:szCs w:val="18"/>
              </w:rPr>
              <w:t>8)</w:t>
            </w:r>
          </w:p>
        </w:tc>
        <w:tc>
          <w:tcPr>
            <w:tcW w:w="1183" w:type="dxa"/>
            <w:shd w:val="clear" w:color="auto" w:fill="FFFFFF" w:themeFill="background1"/>
            <w:vAlign w:val="center"/>
          </w:tcPr>
          <w:p w14:paraId="270D18AB" w14:textId="0D4F1907" w:rsidR="00895717" w:rsidRPr="00CA6E28" w:rsidRDefault="00895717" w:rsidP="00895717">
            <w:pPr>
              <w:pStyle w:val="ColorfulList-Accent11"/>
              <w:tabs>
                <w:tab w:val="left" w:pos="0"/>
                <w:tab w:val="left" w:pos="284"/>
              </w:tabs>
              <w:ind w:left="0" w:right="-90"/>
              <w:jc w:val="center"/>
              <w:rPr>
                <w:rFonts w:ascii="Arial" w:hAnsi="Arial" w:cs="Arial"/>
                <w:sz w:val="18"/>
                <w:szCs w:val="18"/>
              </w:rPr>
            </w:pPr>
            <w:r w:rsidRPr="00CA6E28">
              <w:rPr>
                <w:rFonts w:ascii="Arial" w:hAnsi="Arial" w:cs="Arial"/>
                <w:sz w:val="18"/>
                <w:szCs w:val="18"/>
              </w:rPr>
              <w:t>-3</w:t>
            </w:r>
            <w:r w:rsidR="003B452A" w:rsidRPr="00CA6E28">
              <w:rPr>
                <w:rFonts w:ascii="Arial" w:hAnsi="Arial" w:cs="Arial"/>
                <w:sz w:val="18"/>
                <w:szCs w:val="18"/>
              </w:rPr>
              <w:t>,</w:t>
            </w:r>
            <w:r w:rsidRPr="00CA6E28">
              <w:rPr>
                <w:rFonts w:ascii="Arial" w:hAnsi="Arial" w:cs="Arial"/>
                <w:sz w:val="18"/>
                <w:szCs w:val="18"/>
              </w:rPr>
              <w:t>6%</w:t>
            </w:r>
          </w:p>
        </w:tc>
      </w:tr>
      <w:tr w:rsidR="00895717" w:rsidRPr="00CA6E28" w14:paraId="5A117D2E" w14:textId="77777777" w:rsidTr="00AA2930">
        <w:trPr>
          <w:trHeight w:val="263"/>
        </w:trPr>
        <w:tc>
          <w:tcPr>
            <w:tcW w:w="3495" w:type="dxa"/>
            <w:tcBorders>
              <w:right w:val="single" w:sz="2" w:space="0" w:color="808080" w:themeColor="background1" w:themeShade="80"/>
            </w:tcBorders>
            <w:shd w:val="clear" w:color="auto" w:fill="FFFFFF" w:themeFill="background1"/>
            <w:vAlign w:val="center"/>
          </w:tcPr>
          <w:p w14:paraId="5D6D0F5E" w14:textId="4853534A" w:rsidR="00895717" w:rsidRPr="00CA6E28" w:rsidRDefault="00895717" w:rsidP="00895717">
            <w:pPr>
              <w:pStyle w:val="ColorfulList-Accent11"/>
              <w:tabs>
                <w:tab w:val="left" w:pos="0"/>
                <w:tab w:val="left" w:pos="284"/>
              </w:tabs>
              <w:ind w:left="0" w:right="-90"/>
              <w:rPr>
                <w:rFonts w:ascii="Arial" w:hAnsi="Arial" w:cs="Arial"/>
                <w:sz w:val="18"/>
                <w:szCs w:val="18"/>
                <w:lang w:val="el-GR"/>
              </w:rPr>
            </w:pPr>
            <w:r w:rsidRPr="00CA6E28">
              <w:rPr>
                <w:rFonts w:ascii="Arial" w:hAnsi="Arial" w:cs="Arial"/>
                <w:sz w:val="18"/>
                <w:szCs w:val="18"/>
                <w:lang w:val="el-GR"/>
              </w:rPr>
              <w:t>Κόστη σχετιζόμενα με προγράμματα εθελουσίας αποχώρησης</w:t>
            </w:r>
          </w:p>
        </w:tc>
        <w:tc>
          <w:tcPr>
            <w:tcW w:w="1072" w:type="dxa"/>
            <w:tcBorders>
              <w:left w:val="single" w:sz="2" w:space="0" w:color="808080" w:themeColor="background1" w:themeShade="80"/>
            </w:tcBorders>
            <w:shd w:val="clear" w:color="auto" w:fill="FFFFFF" w:themeFill="background1"/>
            <w:vAlign w:val="center"/>
          </w:tcPr>
          <w:p w14:paraId="2D8631D6" w14:textId="7C71AC13" w:rsidR="00895717" w:rsidRPr="00CA6E28" w:rsidRDefault="00895717" w:rsidP="00895717">
            <w:pPr>
              <w:pStyle w:val="ColorfulList-Accent11"/>
              <w:tabs>
                <w:tab w:val="left" w:pos="0"/>
                <w:tab w:val="left" w:pos="284"/>
              </w:tabs>
              <w:ind w:left="0" w:right="-90"/>
              <w:jc w:val="center"/>
              <w:rPr>
                <w:rFonts w:ascii="Arial" w:hAnsi="Arial" w:cs="Arial"/>
                <w:color w:val="FF0000"/>
                <w:sz w:val="18"/>
                <w:szCs w:val="18"/>
              </w:rPr>
            </w:pPr>
            <w:r w:rsidRPr="00CA6E28">
              <w:rPr>
                <w:rFonts w:ascii="Arial" w:hAnsi="Arial" w:cs="Arial"/>
                <w:sz w:val="18"/>
                <w:szCs w:val="18"/>
              </w:rPr>
              <w:t>(3</w:t>
            </w:r>
            <w:r w:rsidR="003B452A" w:rsidRPr="00CA6E28">
              <w:rPr>
                <w:rFonts w:ascii="Arial" w:hAnsi="Arial" w:cs="Arial"/>
                <w:sz w:val="18"/>
                <w:szCs w:val="18"/>
              </w:rPr>
              <w:t>,</w:t>
            </w:r>
            <w:r w:rsidRPr="00CA6E28">
              <w:rPr>
                <w:rFonts w:ascii="Arial" w:hAnsi="Arial" w:cs="Arial"/>
                <w:sz w:val="18"/>
                <w:szCs w:val="18"/>
              </w:rPr>
              <w:t>7)</w:t>
            </w:r>
          </w:p>
        </w:tc>
        <w:tc>
          <w:tcPr>
            <w:tcW w:w="1103" w:type="dxa"/>
            <w:shd w:val="clear" w:color="auto" w:fill="FFFFFF" w:themeFill="background1"/>
            <w:vAlign w:val="center"/>
          </w:tcPr>
          <w:p w14:paraId="10329C7D" w14:textId="3FC05912" w:rsidR="00895717" w:rsidRPr="00CA6E28" w:rsidRDefault="00895717" w:rsidP="00895717">
            <w:pPr>
              <w:pStyle w:val="ColorfulList-Accent11"/>
              <w:tabs>
                <w:tab w:val="left" w:pos="0"/>
                <w:tab w:val="left" w:pos="284"/>
              </w:tabs>
              <w:ind w:left="0" w:right="-90"/>
              <w:jc w:val="center"/>
              <w:rPr>
                <w:rFonts w:ascii="Arial" w:hAnsi="Arial" w:cs="Arial"/>
                <w:color w:val="FF0000"/>
                <w:sz w:val="18"/>
                <w:szCs w:val="18"/>
              </w:rPr>
            </w:pPr>
            <w:r w:rsidRPr="00CA6E28">
              <w:rPr>
                <w:rFonts w:ascii="Arial" w:hAnsi="Arial" w:cs="Arial"/>
                <w:sz w:val="18"/>
                <w:szCs w:val="18"/>
              </w:rPr>
              <w:t>(2</w:t>
            </w:r>
            <w:r w:rsidR="003B452A" w:rsidRPr="00CA6E28">
              <w:rPr>
                <w:rFonts w:ascii="Arial" w:hAnsi="Arial" w:cs="Arial"/>
                <w:sz w:val="18"/>
                <w:szCs w:val="18"/>
              </w:rPr>
              <w:t>,</w:t>
            </w:r>
            <w:r w:rsidRPr="00CA6E28">
              <w:rPr>
                <w:rFonts w:ascii="Arial" w:hAnsi="Arial" w:cs="Arial"/>
                <w:sz w:val="18"/>
                <w:szCs w:val="18"/>
              </w:rPr>
              <w:t>5)</w:t>
            </w:r>
          </w:p>
        </w:tc>
        <w:tc>
          <w:tcPr>
            <w:tcW w:w="1183" w:type="dxa"/>
            <w:tcBorders>
              <w:right w:val="single" w:sz="2" w:space="0" w:color="808080" w:themeColor="background1" w:themeShade="80"/>
            </w:tcBorders>
            <w:shd w:val="clear" w:color="auto" w:fill="FFFFFF" w:themeFill="background1"/>
            <w:vAlign w:val="center"/>
          </w:tcPr>
          <w:p w14:paraId="00AA0E4D" w14:textId="33BA49A1" w:rsidR="00895717" w:rsidRPr="00CA6E28" w:rsidRDefault="00895717" w:rsidP="00895717">
            <w:pPr>
              <w:pStyle w:val="ColorfulList-Accent11"/>
              <w:tabs>
                <w:tab w:val="left" w:pos="0"/>
                <w:tab w:val="left" w:pos="284"/>
              </w:tabs>
              <w:ind w:left="0" w:right="-90"/>
              <w:jc w:val="center"/>
              <w:rPr>
                <w:rFonts w:ascii="Arial" w:hAnsi="Arial" w:cs="Arial"/>
                <w:color w:val="FF0000"/>
                <w:sz w:val="18"/>
                <w:szCs w:val="18"/>
              </w:rPr>
            </w:pPr>
            <w:r w:rsidRPr="00CA6E28">
              <w:rPr>
                <w:rFonts w:ascii="Arial" w:hAnsi="Arial" w:cs="Arial"/>
                <w:sz w:val="18"/>
                <w:szCs w:val="18"/>
              </w:rPr>
              <w:t>+48</w:t>
            </w:r>
            <w:r w:rsidR="003B452A" w:rsidRPr="00CA6E28">
              <w:rPr>
                <w:rFonts w:ascii="Arial" w:hAnsi="Arial" w:cs="Arial"/>
                <w:sz w:val="18"/>
                <w:szCs w:val="18"/>
              </w:rPr>
              <w:t>,</w:t>
            </w:r>
            <w:r w:rsidRPr="00CA6E28">
              <w:rPr>
                <w:rFonts w:ascii="Arial" w:hAnsi="Arial" w:cs="Arial"/>
                <w:sz w:val="18"/>
                <w:szCs w:val="18"/>
              </w:rPr>
              <w:t>0%</w:t>
            </w:r>
          </w:p>
        </w:tc>
        <w:tc>
          <w:tcPr>
            <w:tcW w:w="1183" w:type="dxa"/>
            <w:tcBorders>
              <w:left w:val="single" w:sz="2" w:space="0" w:color="808080" w:themeColor="background1" w:themeShade="80"/>
            </w:tcBorders>
            <w:shd w:val="clear" w:color="auto" w:fill="FFFFFF" w:themeFill="background1"/>
            <w:vAlign w:val="center"/>
          </w:tcPr>
          <w:p w14:paraId="16F35DDE" w14:textId="0F1A7EB8" w:rsidR="00895717" w:rsidRPr="00CA6E28" w:rsidRDefault="00895717" w:rsidP="00895717">
            <w:pPr>
              <w:pStyle w:val="ColorfulList-Accent11"/>
              <w:tabs>
                <w:tab w:val="left" w:pos="0"/>
                <w:tab w:val="left" w:pos="284"/>
              </w:tabs>
              <w:ind w:left="0" w:right="-90"/>
              <w:jc w:val="center"/>
              <w:rPr>
                <w:rFonts w:ascii="Arial" w:hAnsi="Arial" w:cs="Arial"/>
                <w:sz w:val="18"/>
                <w:szCs w:val="18"/>
              </w:rPr>
            </w:pPr>
            <w:r w:rsidRPr="00CA6E28">
              <w:rPr>
                <w:rFonts w:ascii="Arial" w:hAnsi="Arial" w:cs="Arial"/>
                <w:sz w:val="18"/>
                <w:szCs w:val="18"/>
              </w:rPr>
              <w:t>(27</w:t>
            </w:r>
            <w:r w:rsidR="003B452A" w:rsidRPr="00CA6E28">
              <w:rPr>
                <w:rFonts w:ascii="Arial" w:hAnsi="Arial" w:cs="Arial"/>
                <w:sz w:val="18"/>
                <w:szCs w:val="18"/>
              </w:rPr>
              <w:t>,</w:t>
            </w:r>
            <w:r w:rsidRPr="00CA6E28">
              <w:rPr>
                <w:rFonts w:ascii="Arial" w:hAnsi="Arial" w:cs="Arial"/>
                <w:sz w:val="18"/>
                <w:szCs w:val="18"/>
              </w:rPr>
              <w:t>3)</w:t>
            </w:r>
          </w:p>
        </w:tc>
        <w:tc>
          <w:tcPr>
            <w:tcW w:w="1183" w:type="dxa"/>
            <w:shd w:val="clear" w:color="auto" w:fill="FFFFFF" w:themeFill="background1"/>
            <w:vAlign w:val="center"/>
          </w:tcPr>
          <w:p w14:paraId="1164C27A" w14:textId="6125099F" w:rsidR="00895717" w:rsidRPr="00CA6E28" w:rsidRDefault="00895717" w:rsidP="00895717">
            <w:pPr>
              <w:pStyle w:val="ColorfulList-Accent11"/>
              <w:tabs>
                <w:tab w:val="left" w:pos="0"/>
                <w:tab w:val="left" w:pos="284"/>
              </w:tabs>
              <w:ind w:left="0" w:right="-90"/>
              <w:jc w:val="center"/>
              <w:rPr>
                <w:rFonts w:ascii="Arial" w:hAnsi="Arial" w:cs="Arial"/>
                <w:sz w:val="18"/>
                <w:szCs w:val="18"/>
              </w:rPr>
            </w:pPr>
            <w:r w:rsidRPr="00CA6E28">
              <w:rPr>
                <w:rFonts w:ascii="Arial" w:hAnsi="Arial" w:cs="Arial"/>
                <w:sz w:val="18"/>
                <w:szCs w:val="18"/>
              </w:rPr>
              <w:t>(31</w:t>
            </w:r>
            <w:r w:rsidR="003B452A" w:rsidRPr="00CA6E28">
              <w:rPr>
                <w:rFonts w:ascii="Arial" w:hAnsi="Arial" w:cs="Arial"/>
                <w:sz w:val="18"/>
                <w:szCs w:val="18"/>
              </w:rPr>
              <w:t>,</w:t>
            </w:r>
            <w:r w:rsidRPr="00CA6E28">
              <w:rPr>
                <w:rFonts w:ascii="Arial" w:hAnsi="Arial" w:cs="Arial"/>
                <w:sz w:val="18"/>
                <w:szCs w:val="18"/>
              </w:rPr>
              <w:t>1)</w:t>
            </w:r>
          </w:p>
        </w:tc>
        <w:tc>
          <w:tcPr>
            <w:tcW w:w="1183" w:type="dxa"/>
            <w:shd w:val="clear" w:color="auto" w:fill="FFFFFF" w:themeFill="background1"/>
            <w:vAlign w:val="center"/>
          </w:tcPr>
          <w:p w14:paraId="61858378" w14:textId="40B50EE6" w:rsidR="00895717" w:rsidRPr="00CA6E28" w:rsidRDefault="00895717" w:rsidP="00895717">
            <w:pPr>
              <w:pStyle w:val="ColorfulList-Accent11"/>
              <w:tabs>
                <w:tab w:val="left" w:pos="0"/>
                <w:tab w:val="left" w:pos="284"/>
              </w:tabs>
              <w:ind w:left="0" w:right="-90"/>
              <w:jc w:val="center"/>
              <w:rPr>
                <w:rFonts w:ascii="Arial" w:hAnsi="Arial" w:cs="Arial"/>
                <w:sz w:val="18"/>
                <w:szCs w:val="18"/>
              </w:rPr>
            </w:pPr>
            <w:r w:rsidRPr="00CA6E28">
              <w:rPr>
                <w:rFonts w:ascii="Arial" w:hAnsi="Arial" w:cs="Arial"/>
                <w:sz w:val="18"/>
                <w:szCs w:val="18"/>
              </w:rPr>
              <w:t>-12</w:t>
            </w:r>
            <w:r w:rsidR="003B452A" w:rsidRPr="00CA6E28">
              <w:rPr>
                <w:rFonts w:ascii="Arial" w:hAnsi="Arial" w:cs="Arial"/>
                <w:sz w:val="18"/>
                <w:szCs w:val="18"/>
              </w:rPr>
              <w:t>,</w:t>
            </w:r>
            <w:r w:rsidRPr="00CA6E28">
              <w:rPr>
                <w:rFonts w:ascii="Arial" w:hAnsi="Arial" w:cs="Arial"/>
                <w:sz w:val="18"/>
                <w:szCs w:val="18"/>
              </w:rPr>
              <w:t>2%</w:t>
            </w:r>
          </w:p>
        </w:tc>
      </w:tr>
      <w:tr w:rsidR="00895717" w:rsidRPr="00CA6E28" w14:paraId="5D1D576A" w14:textId="77777777" w:rsidTr="00AA2930">
        <w:trPr>
          <w:trHeight w:val="252"/>
        </w:trPr>
        <w:tc>
          <w:tcPr>
            <w:tcW w:w="3495" w:type="dxa"/>
            <w:tcBorders>
              <w:right w:val="single" w:sz="2" w:space="0" w:color="808080" w:themeColor="background1" w:themeShade="80"/>
            </w:tcBorders>
            <w:shd w:val="clear" w:color="auto" w:fill="FFFFFF" w:themeFill="background1"/>
            <w:vAlign w:val="center"/>
          </w:tcPr>
          <w:p w14:paraId="5FAD9EB5" w14:textId="3FAF243C" w:rsidR="00895717" w:rsidRPr="00CA6E28" w:rsidRDefault="00895717" w:rsidP="00895717">
            <w:pPr>
              <w:pStyle w:val="ColorfulList-Accent11"/>
              <w:tabs>
                <w:tab w:val="left" w:pos="0"/>
                <w:tab w:val="left" w:pos="284"/>
              </w:tabs>
              <w:ind w:left="0" w:right="-90"/>
              <w:rPr>
                <w:rFonts w:ascii="Arial" w:hAnsi="Arial" w:cs="Arial"/>
                <w:sz w:val="18"/>
                <w:szCs w:val="18"/>
              </w:rPr>
            </w:pPr>
            <w:r w:rsidRPr="00CA6E28">
              <w:rPr>
                <w:rFonts w:ascii="Arial" w:hAnsi="Arial" w:cs="Arial"/>
                <w:sz w:val="18"/>
                <w:szCs w:val="18"/>
                <w:lang w:val="el-GR"/>
              </w:rPr>
              <w:t>Έξοδα εμπορικών προμηθειών</w:t>
            </w:r>
          </w:p>
        </w:tc>
        <w:tc>
          <w:tcPr>
            <w:tcW w:w="1072" w:type="dxa"/>
            <w:tcBorders>
              <w:left w:val="single" w:sz="2" w:space="0" w:color="808080" w:themeColor="background1" w:themeShade="80"/>
            </w:tcBorders>
            <w:shd w:val="clear" w:color="auto" w:fill="FFFFFF" w:themeFill="background1"/>
            <w:vAlign w:val="center"/>
          </w:tcPr>
          <w:p w14:paraId="42DC8586" w14:textId="6BB98BE8" w:rsidR="00895717" w:rsidRPr="00CA6E28" w:rsidRDefault="00895717" w:rsidP="00895717">
            <w:pPr>
              <w:pStyle w:val="ColorfulList-Accent11"/>
              <w:tabs>
                <w:tab w:val="left" w:pos="0"/>
                <w:tab w:val="left" w:pos="284"/>
              </w:tabs>
              <w:ind w:left="0" w:right="-90"/>
              <w:jc w:val="center"/>
              <w:rPr>
                <w:rFonts w:ascii="Arial" w:hAnsi="Arial" w:cs="Arial"/>
                <w:color w:val="FF0000"/>
                <w:sz w:val="18"/>
                <w:szCs w:val="18"/>
              </w:rPr>
            </w:pPr>
            <w:r w:rsidRPr="00CA6E28">
              <w:rPr>
                <w:rFonts w:ascii="Arial" w:hAnsi="Arial" w:cs="Arial"/>
                <w:sz w:val="18"/>
                <w:szCs w:val="18"/>
              </w:rPr>
              <w:t>(18</w:t>
            </w:r>
            <w:r w:rsidR="003B452A" w:rsidRPr="00CA6E28">
              <w:rPr>
                <w:rFonts w:ascii="Arial" w:hAnsi="Arial" w:cs="Arial"/>
                <w:sz w:val="18"/>
                <w:szCs w:val="18"/>
              </w:rPr>
              <w:t>,</w:t>
            </w:r>
            <w:r w:rsidRPr="00CA6E28">
              <w:rPr>
                <w:rFonts w:ascii="Arial" w:hAnsi="Arial" w:cs="Arial"/>
                <w:sz w:val="18"/>
                <w:szCs w:val="18"/>
              </w:rPr>
              <w:t>3)</w:t>
            </w:r>
          </w:p>
        </w:tc>
        <w:tc>
          <w:tcPr>
            <w:tcW w:w="1103" w:type="dxa"/>
            <w:shd w:val="clear" w:color="auto" w:fill="FFFFFF" w:themeFill="background1"/>
            <w:vAlign w:val="center"/>
          </w:tcPr>
          <w:p w14:paraId="20FB4C1C" w14:textId="547AA4D9" w:rsidR="00895717" w:rsidRPr="00CA6E28" w:rsidRDefault="00895717" w:rsidP="00895717">
            <w:pPr>
              <w:pStyle w:val="ColorfulList-Accent11"/>
              <w:tabs>
                <w:tab w:val="left" w:pos="0"/>
                <w:tab w:val="left" w:pos="284"/>
              </w:tabs>
              <w:ind w:left="0" w:right="-90"/>
              <w:jc w:val="center"/>
              <w:rPr>
                <w:rFonts w:ascii="Arial" w:hAnsi="Arial" w:cs="Arial"/>
                <w:color w:val="FF0000"/>
                <w:sz w:val="18"/>
                <w:szCs w:val="18"/>
              </w:rPr>
            </w:pPr>
            <w:r w:rsidRPr="00CA6E28">
              <w:rPr>
                <w:rFonts w:ascii="Arial" w:hAnsi="Arial" w:cs="Arial"/>
                <w:sz w:val="18"/>
                <w:szCs w:val="18"/>
              </w:rPr>
              <w:t>(18</w:t>
            </w:r>
            <w:r w:rsidR="003B452A" w:rsidRPr="00CA6E28">
              <w:rPr>
                <w:rFonts w:ascii="Arial" w:hAnsi="Arial" w:cs="Arial"/>
                <w:sz w:val="18"/>
                <w:szCs w:val="18"/>
              </w:rPr>
              <w:t>,</w:t>
            </w:r>
            <w:r w:rsidRPr="00CA6E28">
              <w:rPr>
                <w:rFonts w:ascii="Arial" w:hAnsi="Arial" w:cs="Arial"/>
                <w:sz w:val="18"/>
                <w:szCs w:val="18"/>
              </w:rPr>
              <w:t>4)</w:t>
            </w:r>
          </w:p>
        </w:tc>
        <w:tc>
          <w:tcPr>
            <w:tcW w:w="1183" w:type="dxa"/>
            <w:tcBorders>
              <w:right w:val="single" w:sz="2" w:space="0" w:color="808080" w:themeColor="background1" w:themeShade="80"/>
            </w:tcBorders>
            <w:shd w:val="clear" w:color="auto" w:fill="FFFFFF" w:themeFill="background1"/>
            <w:vAlign w:val="center"/>
          </w:tcPr>
          <w:p w14:paraId="63A38D42" w14:textId="757839AD" w:rsidR="00895717" w:rsidRPr="00CA6E28" w:rsidRDefault="00895717" w:rsidP="00895717">
            <w:pPr>
              <w:pStyle w:val="ColorfulList-Accent11"/>
              <w:tabs>
                <w:tab w:val="left" w:pos="0"/>
                <w:tab w:val="left" w:pos="284"/>
              </w:tabs>
              <w:ind w:left="0" w:right="-90"/>
              <w:jc w:val="center"/>
              <w:rPr>
                <w:rFonts w:ascii="Arial" w:hAnsi="Arial" w:cs="Arial"/>
                <w:color w:val="FF0000"/>
                <w:sz w:val="18"/>
                <w:szCs w:val="18"/>
              </w:rPr>
            </w:pPr>
            <w:r w:rsidRPr="00CA6E28">
              <w:rPr>
                <w:rFonts w:ascii="Arial" w:hAnsi="Arial" w:cs="Arial"/>
                <w:sz w:val="18"/>
                <w:szCs w:val="18"/>
              </w:rPr>
              <w:t>-0</w:t>
            </w:r>
            <w:r w:rsidR="003B452A" w:rsidRPr="00CA6E28">
              <w:rPr>
                <w:rFonts w:ascii="Arial" w:hAnsi="Arial" w:cs="Arial"/>
                <w:sz w:val="18"/>
                <w:szCs w:val="18"/>
              </w:rPr>
              <w:t>,</w:t>
            </w:r>
            <w:r w:rsidRPr="00CA6E28">
              <w:rPr>
                <w:rFonts w:ascii="Arial" w:hAnsi="Arial" w:cs="Arial"/>
                <w:sz w:val="18"/>
                <w:szCs w:val="18"/>
              </w:rPr>
              <w:t>5%</w:t>
            </w:r>
          </w:p>
        </w:tc>
        <w:tc>
          <w:tcPr>
            <w:tcW w:w="1183" w:type="dxa"/>
            <w:tcBorders>
              <w:left w:val="single" w:sz="2" w:space="0" w:color="808080" w:themeColor="background1" w:themeShade="80"/>
            </w:tcBorders>
            <w:shd w:val="clear" w:color="auto" w:fill="FFFFFF" w:themeFill="background1"/>
            <w:vAlign w:val="center"/>
          </w:tcPr>
          <w:p w14:paraId="146F1AEF" w14:textId="40347636" w:rsidR="00895717" w:rsidRPr="00CA6E28" w:rsidRDefault="00895717" w:rsidP="00895717">
            <w:pPr>
              <w:pStyle w:val="ColorfulList-Accent11"/>
              <w:tabs>
                <w:tab w:val="left" w:pos="0"/>
                <w:tab w:val="left" w:pos="284"/>
              </w:tabs>
              <w:ind w:left="0" w:right="-90"/>
              <w:jc w:val="center"/>
              <w:rPr>
                <w:rFonts w:ascii="Arial" w:hAnsi="Arial" w:cs="Arial"/>
                <w:sz w:val="18"/>
                <w:szCs w:val="18"/>
              </w:rPr>
            </w:pPr>
            <w:r w:rsidRPr="00CA6E28">
              <w:rPr>
                <w:rFonts w:ascii="Arial" w:hAnsi="Arial" w:cs="Arial"/>
                <w:sz w:val="18"/>
                <w:szCs w:val="18"/>
              </w:rPr>
              <w:t>(55</w:t>
            </w:r>
            <w:r w:rsidR="003B452A" w:rsidRPr="00CA6E28">
              <w:rPr>
                <w:rFonts w:ascii="Arial" w:hAnsi="Arial" w:cs="Arial"/>
                <w:sz w:val="18"/>
                <w:szCs w:val="18"/>
              </w:rPr>
              <w:t>,</w:t>
            </w:r>
            <w:r w:rsidRPr="00CA6E28">
              <w:rPr>
                <w:rFonts w:ascii="Arial" w:hAnsi="Arial" w:cs="Arial"/>
                <w:sz w:val="18"/>
                <w:szCs w:val="18"/>
              </w:rPr>
              <w:t>0)</w:t>
            </w:r>
          </w:p>
        </w:tc>
        <w:tc>
          <w:tcPr>
            <w:tcW w:w="1183" w:type="dxa"/>
            <w:shd w:val="clear" w:color="auto" w:fill="FFFFFF" w:themeFill="background1"/>
            <w:vAlign w:val="center"/>
          </w:tcPr>
          <w:p w14:paraId="05690344" w14:textId="3DA8D7D6" w:rsidR="00895717" w:rsidRPr="00CA6E28" w:rsidRDefault="00895717" w:rsidP="00895717">
            <w:pPr>
              <w:pStyle w:val="ColorfulList-Accent11"/>
              <w:tabs>
                <w:tab w:val="left" w:pos="0"/>
                <w:tab w:val="left" w:pos="284"/>
              </w:tabs>
              <w:ind w:left="0" w:right="-90"/>
              <w:jc w:val="center"/>
              <w:rPr>
                <w:rFonts w:ascii="Arial" w:hAnsi="Arial" w:cs="Arial"/>
                <w:sz w:val="18"/>
                <w:szCs w:val="18"/>
              </w:rPr>
            </w:pPr>
            <w:r w:rsidRPr="00CA6E28">
              <w:rPr>
                <w:rFonts w:ascii="Arial" w:hAnsi="Arial" w:cs="Arial"/>
                <w:sz w:val="18"/>
                <w:szCs w:val="18"/>
              </w:rPr>
              <w:t>(56</w:t>
            </w:r>
            <w:r w:rsidR="003B452A" w:rsidRPr="00CA6E28">
              <w:rPr>
                <w:rFonts w:ascii="Arial" w:hAnsi="Arial" w:cs="Arial"/>
                <w:sz w:val="18"/>
                <w:szCs w:val="18"/>
              </w:rPr>
              <w:t>,</w:t>
            </w:r>
            <w:r w:rsidRPr="00CA6E28">
              <w:rPr>
                <w:rFonts w:ascii="Arial" w:hAnsi="Arial" w:cs="Arial"/>
                <w:sz w:val="18"/>
                <w:szCs w:val="18"/>
              </w:rPr>
              <w:t>2)</w:t>
            </w:r>
          </w:p>
        </w:tc>
        <w:tc>
          <w:tcPr>
            <w:tcW w:w="1183" w:type="dxa"/>
            <w:shd w:val="clear" w:color="auto" w:fill="FFFFFF" w:themeFill="background1"/>
            <w:vAlign w:val="center"/>
          </w:tcPr>
          <w:p w14:paraId="28AF0346" w14:textId="20266258" w:rsidR="00895717" w:rsidRPr="00CA6E28" w:rsidRDefault="00895717" w:rsidP="00895717">
            <w:pPr>
              <w:pStyle w:val="ColorfulList-Accent11"/>
              <w:tabs>
                <w:tab w:val="left" w:pos="0"/>
                <w:tab w:val="left" w:pos="284"/>
              </w:tabs>
              <w:ind w:left="0" w:right="-90"/>
              <w:jc w:val="center"/>
              <w:rPr>
                <w:rFonts w:ascii="Arial" w:hAnsi="Arial" w:cs="Arial"/>
                <w:sz w:val="18"/>
                <w:szCs w:val="18"/>
              </w:rPr>
            </w:pPr>
            <w:r w:rsidRPr="00CA6E28">
              <w:rPr>
                <w:rFonts w:ascii="Arial" w:hAnsi="Arial" w:cs="Arial"/>
                <w:sz w:val="18"/>
                <w:szCs w:val="18"/>
              </w:rPr>
              <w:t>-2</w:t>
            </w:r>
            <w:r w:rsidR="003B452A" w:rsidRPr="00CA6E28">
              <w:rPr>
                <w:rFonts w:ascii="Arial" w:hAnsi="Arial" w:cs="Arial"/>
                <w:sz w:val="18"/>
                <w:szCs w:val="18"/>
              </w:rPr>
              <w:t>,</w:t>
            </w:r>
            <w:r w:rsidRPr="00CA6E28">
              <w:rPr>
                <w:rFonts w:ascii="Arial" w:hAnsi="Arial" w:cs="Arial"/>
                <w:sz w:val="18"/>
                <w:szCs w:val="18"/>
              </w:rPr>
              <w:t>1%</w:t>
            </w:r>
          </w:p>
        </w:tc>
      </w:tr>
      <w:tr w:rsidR="00895717" w:rsidRPr="00CA6E28" w14:paraId="6B2CF75F" w14:textId="77777777" w:rsidTr="00AA2930">
        <w:trPr>
          <w:trHeight w:val="263"/>
        </w:trPr>
        <w:tc>
          <w:tcPr>
            <w:tcW w:w="3495" w:type="dxa"/>
            <w:tcBorders>
              <w:right w:val="single" w:sz="2" w:space="0" w:color="808080" w:themeColor="background1" w:themeShade="80"/>
            </w:tcBorders>
            <w:shd w:val="clear" w:color="auto" w:fill="FFFFFF" w:themeFill="background1"/>
            <w:vAlign w:val="center"/>
          </w:tcPr>
          <w:p w14:paraId="7B9FE68B" w14:textId="3D0DF048" w:rsidR="00895717" w:rsidRPr="00CA6E28" w:rsidRDefault="00895717" w:rsidP="00895717">
            <w:pPr>
              <w:pStyle w:val="ColorfulList-Accent11"/>
              <w:tabs>
                <w:tab w:val="left" w:pos="0"/>
                <w:tab w:val="left" w:pos="284"/>
              </w:tabs>
              <w:ind w:left="0" w:right="-90"/>
              <w:rPr>
                <w:rFonts w:ascii="Arial" w:hAnsi="Arial" w:cs="Arial"/>
                <w:sz w:val="18"/>
                <w:szCs w:val="18"/>
              </w:rPr>
            </w:pPr>
            <w:r w:rsidRPr="00CA6E28">
              <w:rPr>
                <w:rFonts w:ascii="Arial" w:hAnsi="Arial" w:cs="Arial"/>
                <w:sz w:val="18"/>
                <w:szCs w:val="18"/>
                <w:lang w:val="el-GR"/>
              </w:rPr>
              <w:t>Κόστος εμπορευμάτων</w:t>
            </w:r>
          </w:p>
        </w:tc>
        <w:tc>
          <w:tcPr>
            <w:tcW w:w="1072" w:type="dxa"/>
            <w:tcBorders>
              <w:left w:val="single" w:sz="2" w:space="0" w:color="808080" w:themeColor="background1" w:themeShade="80"/>
            </w:tcBorders>
            <w:shd w:val="clear" w:color="auto" w:fill="FFFFFF" w:themeFill="background1"/>
            <w:vAlign w:val="center"/>
          </w:tcPr>
          <w:p w14:paraId="68EFE965" w14:textId="00800FE3" w:rsidR="00895717" w:rsidRPr="00CA6E28" w:rsidRDefault="00895717" w:rsidP="00895717">
            <w:pPr>
              <w:pStyle w:val="ColorfulList-Accent11"/>
              <w:tabs>
                <w:tab w:val="left" w:pos="0"/>
                <w:tab w:val="left" w:pos="284"/>
              </w:tabs>
              <w:ind w:left="0" w:right="-90"/>
              <w:jc w:val="center"/>
              <w:rPr>
                <w:rFonts w:ascii="Arial" w:hAnsi="Arial" w:cs="Arial"/>
                <w:color w:val="FF0000"/>
                <w:sz w:val="18"/>
                <w:szCs w:val="18"/>
              </w:rPr>
            </w:pPr>
            <w:r w:rsidRPr="00CA6E28">
              <w:rPr>
                <w:rFonts w:ascii="Arial" w:hAnsi="Arial" w:cs="Arial"/>
                <w:sz w:val="18"/>
                <w:szCs w:val="18"/>
              </w:rPr>
              <w:t>(69</w:t>
            </w:r>
            <w:r w:rsidR="003B452A" w:rsidRPr="00CA6E28">
              <w:rPr>
                <w:rFonts w:ascii="Arial" w:hAnsi="Arial" w:cs="Arial"/>
                <w:sz w:val="18"/>
                <w:szCs w:val="18"/>
              </w:rPr>
              <w:t>,</w:t>
            </w:r>
            <w:r w:rsidRPr="00CA6E28">
              <w:rPr>
                <w:rFonts w:ascii="Arial" w:hAnsi="Arial" w:cs="Arial"/>
                <w:sz w:val="18"/>
                <w:szCs w:val="18"/>
              </w:rPr>
              <w:t>0)</w:t>
            </w:r>
          </w:p>
        </w:tc>
        <w:tc>
          <w:tcPr>
            <w:tcW w:w="1103" w:type="dxa"/>
            <w:shd w:val="clear" w:color="auto" w:fill="FFFFFF" w:themeFill="background1"/>
            <w:vAlign w:val="center"/>
          </w:tcPr>
          <w:p w14:paraId="56D9BD1A" w14:textId="0C56A131" w:rsidR="00895717" w:rsidRPr="00CA6E28" w:rsidRDefault="00895717" w:rsidP="00895717">
            <w:pPr>
              <w:pStyle w:val="ColorfulList-Accent11"/>
              <w:tabs>
                <w:tab w:val="left" w:pos="0"/>
                <w:tab w:val="left" w:pos="284"/>
              </w:tabs>
              <w:ind w:left="0" w:right="-90"/>
              <w:jc w:val="center"/>
              <w:rPr>
                <w:rFonts w:ascii="Arial" w:hAnsi="Arial" w:cs="Arial"/>
                <w:color w:val="FF0000"/>
                <w:sz w:val="18"/>
                <w:szCs w:val="18"/>
              </w:rPr>
            </w:pPr>
            <w:r w:rsidRPr="00CA6E28">
              <w:rPr>
                <w:rFonts w:ascii="Arial" w:hAnsi="Arial" w:cs="Arial"/>
                <w:sz w:val="18"/>
                <w:szCs w:val="18"/>
              </w:rPr>
              <w:t>(65</w:t>
            </w:r>
            <w:r w:rsidR="003B452A" w:rsidRPr="00CA6E28">
              <w:rPr>
                <w:rFonts w:ascii="Arial" w:hAnsi="Arial" w:cs="Arial"/>
                <w:sz w:val="18"/>
                <w:szCs w:val="18"/>
              </w:rPr>
              <w:t>,</w:t>
            </w:r>
            <w:r w:rsidRPr="00CA6E28">
              <w:rPr>
                <w:rFonts w:ascii="Arial" w:hAnsi="Arial" w:cs="Arial"/>
                <w:sz w:val="18"/>
                <w:szCs w:val="18"/>
              </w:rPr>
              <w:t>8)</w:t>
            </w:r>
          </w:p>
        </w:tc>
        <w:tc>
          <w:tcPr>
            <w:tcW w:w="1183" w:type="dxa"/>
            <w:tcBorders>
              <w:right w:val="single" w:sz="2" w:space="0" w:color="808080" w:themeColor="background1" w:themeShade="80"/>
            </w:tcBorders>
            <w:shd w:val="clear" w:color="auto" w:fill="FFFFFF" w:themeFill="background1"/>
            <w:vAlign w:val="center"/>
          </w:tcPr>
          <w:p w14:paraId="7A38807C" w14:textId="2EB1FFAA" w:rsidR="00895717" w:rsidRPr="00CA6E28" w:rsidRDefault="00895717" w:rsidP="00895717">
            <w:pPr>
              <w:pStyle w:val="ColorfulList-Accent11"/>
              <w:tabs>
                <w:tab w:val="left" w:pos="0"/>
                <w:tab w:val="left" w:pos="284"/>
              </w:tabs>
              <w:ind w:left="0" w:right="-90"/>
              <w:jc w:val="center"/>
              <w:rPr>
                <w:rFonts w:ascii="Arial" w:hAnsi="Arial" w:cs="Arial"/>
                <w:color w:val="FF0000"/>
                <w:sz w:val="18"/>
                <w:szCs w:val="18"/>
              </w:rPr>
            </w:pPr>
            <w:r w:rsidRPr="00CA6E28">
              <w:rPr>
                <w:rFonts w:ascii="Arial" w:hAnsi="Arial" w:cs="Arial"/>
                <w:sz w:val="18"/>
                <w:szCs w:val="18"/>
              </w:rPr>
              <w:t>+4</w:t>
            </w:r>
            <w:r w:rsidR="003B452A" w:rsidRPr="00CA6E28">
              <w:rPr>
                <w:rFonts w:ascii="Arial" w:hAnsi="Arial" w:cs="Arial"/>
                <w:sz w:val="18"/>
                <w:szCs w:val="18"/>
              </w:rPr>
              <w:t>,</w:t>
            </w:r>
            <w:r w:rsidRPr="00CA6E28">
              <w:rPr>
                <w:rFonts w:ascii="Arial" w:hAnsi="Arial" w:cs="Arial"/>
                <w:sz w:val="18"/>
                <w:szCs w:val="18"/>
              </w:rPr>
              <w:t>9%</w:t>
            </w:r>
          </w:p>
        </w:tc>
        <w:tc>
          <w:tcPr>
            <w:tcW w:w="1183" w:type="dxa"/>
            <w:tcBorders>
              <w:left w:val="single" w:sz="2" w:space="0" w:color="808080" w:themeColor="background1" w:themeShade="80"/>
            </w:tcBorders>
            <w:shd w:val="clear" w:color="auto" w:fill="FFFFFF" w:themeFill="background1"/>
            <w:vAlign w:val="center"/>
          </w:tcPr>
          <w:p w14:paraId="64A6006B" w14:textId="7B57E968" w:rsidR="00895717" w:rsidRPr="00CA6E28" w:rsidRDefault="00895717" w:rsidP="00895717">
            <w:pPr>
              <w:pStyle w:val="ColorfulList-Accent11"/>
              <w:tabs>
                <w:tab w:val="left" w:pos="0"/>
                <w:tab w:val="left" w:pos="284"/>
              </w:tabs>
              <w:ind w:left="0" w:right="-90"/>
              <w:jc w:val="center"/>
              <w:rPr>
                <w:rFonts w:ascii="Arial" w:hAnsi="Arial" w:cs="Arial"/>
                <w:sz w:val="18"/>
                <w:szCs w:val="18"/>
              </w:rPr>
            </w:pPr>
            <w:r w:rsidRPr="00CA6E28">
              <w:rPr>
                <w:rFonts w:ascii="Arial" w:hAnsi="Arial" w:cs="Arial"/>
                <w:sz w:val="18"/>
                <w:szCs w:val="18"/>
              </w:rPr>
              <w:t>(195</w:t>
            </w:r>
            <w:r w:rsidR="003B452A" w:rsidRPr="00CA6E28">
              <w:rPr>
                <w:rFonts w:ascii="Arial" w:hAnsi="Arial" w:cs="Arial"/>
                <w:sz w:val="18"/>
                <w:szCs w:val="18"/>
              </w:rPr>
              <w:t>,</w:t>
            </w:r>
            <w:r w:rsidRPr="00CA6E28">
              <w:rPr>
                <w:rFonts w:ascii="Arial" w:hAnsi="Arial" w:cs="Arial"/>
                <w:sz w:val="18"/>
                <w:szCs w:val="18"/>
              </w:rPr>
              <w:t>6)</w:t>
            </w:r>
          </w:p>
        </w:tc>
        <w:tc>
          <w:tcPr>
            <w:tcW w:w="1183" w:type="dxa"/>
            <w:shd w:val="clear" w:color="auto" w:fill="FFFFFF" w:themeFill="background1"/>
            <w:vAlign w:val="center"/>
          </w:tcPr>
          <w:p w14:paraId="4F6AEDF3" w14:textId="493C219A" w:rsidR="00895717" w:rsidRPr="00CA6E28" w:rsidRDefault="00895717" w:rsidP="00895717">
            <w:pPr>
              <w:pStyle w:val="ColorfulList-Accent11"/>
              <w:tabs>
                <w:tab w:val="left" w:pos="0"/>
                <w:tab w:val="left" w:pos="284"/>
              </w:tabs>
              <w:ind w:left="0" w:right="-90"/>
              <w:jc w:val="center"/>
              <w:rPr>
                <w:rFonts w:ascii="Arial" w:hAnsi="Arial" w:cs="Arial"/>
                <w:sz w:val="18"/>
                <w:szCs w:val="18"/>
              </w:rPr>
            </w:pPr>
            <w:r w:rsidRPr="00CA6E28">
              <w:rPr>
                <w:rFonts w:ascii="Arial" w:hAnsi="Arial" w:cs="Arial"/>
                <w:sz w:val="18"/>
                <w:szCs w:val="18"/>
              </w:rPr>
              <w:t>(222</w:t>
            </w:r>
            <w:r w:rsidR="003B452A" w:rsidRPr="00CA6E28">
              <w:rPr>
                <w:rFonts w:ascii="Arial" w:hAnsi="Arial" w:cs="Arial"/>
                <w:sz w:val="18"/>
                <w:szCs w:val="18"/>
              </w:rPr>
              <w:t>,</w:t>
            </w:r>
            <w:r w:rsidRPr="00CA6E28">
              <w:rPr>
                <w:rFonts w:ascii="Arial" w:hAnsi="Arial" w:cs="Arial"/>
                <w:sz w:val="18"/>
                <w:szCs w:val="18"/>
              </w:rPr>
              <w:t>7)</w:t>
            </w:r>
          </w:p>
        </w:tc>
        <w:tc>
          <w:tcPr>
            <w:tcW w:w="1183" w:type="dxa"/>
            <w:shd w:val="clear" w:color="auto" w:fill="FFFFFF" w:themeFill="background1"/>
            <w:vAlign w:val="center"/>
          </w:tcPr>
          <w:p w14:paraId="54375E64" w14:textId="52885534" w:rsidR="00895717" w:rsidRPr="00CA6E28" w:rsidRDefault="00895717" w:rsidP="00895717">
            <w:pPr>
              <w:pStyle w:val="ColorfulList-Accent11"/>
              <w:tabs>
                <w:tab w:val="left" w:pos="0"/>
                <w:tab w:val="left" w:pos="284"/>
              </w:tabs>
              <w:ind w:left="0" w:right="-90"/>
              <w:jc w:val="center"/>
              <w:rPr>
                <w:rFonts w:ascii="Arial" w:hAnsi="Arial" w:cs="Arial"/>
                <w:sz w:val="18"/>
                <w:szCs w:val="18"/>
              </w:rPr>
            </w:pPr>
            <w:r w:rsidRPr="00CA6E28">
              <w:rPr>
                <w:rFonts w:ascii="Arial" w:hAnsi="Arial" w:cs="Arial"/>
                <w:sz w:val="18"/>
                <w:szCs w:val="18"/>
              </w:rPr>
              <w:t>-12</w:t>
            </w:r>
            <w:r w:rsidR="003B452A" w:rsidRPr="00CA6E28">
              <w:rPr>
                <w:rFonts w:ascii="Arial" w:hAnsi="Arial" w:cs="Arial"/>
                <w:sz w:val="18"/>
                <w:szCs w:val="18"/>
              </w:rPr>
              <w:t>,</w:t>
            </w:r>
            <w:r w:rsidRPr="00CA6E28">
              <w:rPr>
                <w:rFonts w:ascii="Arial" w:hAnsi="Arial" w:cs="Arial"/>
                <w:sz w:val="18"/>
                <w:szCs w:val="18"/>
              </w:rPr>
              <w:t>2%</w:t>
            </w:r>
          </w:p>
        </w:tc>
      </w:tr>
      <w:tr w:rsidR="00895717" w:rsidRPr="00CA6E28" w14:paraId="08FCB0B8" w14:textId="77777777" w:rsidTr="00AA2930">
        <w:trPr>
          <w:trHeight w:val="252"/>
        </w:trPr>
        <w:tc>
          <w:tcPr>
            <w:tcW w:w="3495" w:type="dxa"/>
            <w:tcBorders>
              <w:right w:val="single" w:sz="2" w:space="0" w:color="808080" w:themeColor="background1" w:themeShade="80"/>
            </w:tcBorders>
            <w:shd w:val="clear" w:color="auto" w:fill="FFFFFF" w:themeFill="background1"/>
            <w:vAlign w:val="center"/>
          </w:tcPr>
          <w:p w14:paraId="57EF91D8" w14:textId="5AC7D5DE" w:rsidR="00895717" w:rsidRPr="00CA6E28" w:rsidRDefault="00895717" w:rsidP="00895717">
            <w:pPr>
              <w:pStyle w:val="ColorfulList-Accent11"/>
              <w:tabs>
                <w:tab w:val="left" w:pos="0"/>
                <w:tab w:val="left" w:pos="284"/>
              </w:tabs>
              <w:ind w:left="0" w:right="-90"/>
              <w:rPr>
                <w:rFonts w:ascii="Arial" w:hAnsi="Arial" w:cs="Arial"/>
                <w:sz w:val="18"/>
                <w:szCs w:val="18"/>
              </w:rPr>
            </w:pPr>
            <w:r w:rsidRPr="00CA6E28">
              <w:rPr>
                <w:rFonts w:ascii="Arial" w:hAnsi="Arial" w:cs="Arial"/>
                <w:sz w:val="18"/>
                <w:szCs w:val="18"/>
                <w:lang w:val="el-GR"/>
              </w:rPr>
              <w:t>Έξοδα συντήρησης και επισκευών</w:t>
            </w:r>
          </w:p>
        </w:tc>
        <w:tc>
          <w:tcPr>
            <w:tcW w:w="1072" w:type="dxa"/>
            <w:tcBorders>
              <w:left w:val="single" w:sz="2" w:space="0" w:color="808080" w:themeColor="background1" w:themeShade="80"/>
            </w:tcBorders>
            <w:shd w:val="clear" w:color="auto" w:fill="FFFFFF" w:themeFill="background1"/>
            <w:vAlign w:val="center"/>
          </w:tcPr>
          <w:p w14:paraId="1BCCD0C9" w14:textId="63A647C1" w:rsidR="00895717" w:rsidRPr="00CA6E28" w:rsidRDefault="00895717" w:rsidP="00895717">
            <w:pPr>
              <w:pStyle w:val="ColorfulList-Accent11"/>
              <w:tabs>
                <w:tab w:val="left" w:pos="0"/>
                <w:tab w:val="left" w:pos="284"/>
              </w:tabs>
              <w:ind w:left="0" w:right="-90"/>
              <w:jc w:val="center"/>
              <w:rPr>
                <w:rFonts w:ascii="Arial" w:hAnsi="Arial" w:cs="Arial"/>
                <w:color w:val="FF0000"/>
                <w:sz w:val="18"/>
                <w:szCs w:val="18"/>
              </w:rPr>
            </w:pPr>
            <w:r w:rsidRPr="00CA6E28">
              <w:rPr>
                <w:rFonts w:ascii="Arial" w:hAnsi="Arial" w:cs="Arial"/>
                <w:sz w:val="18"/>
                <w:szCs w:val="18"/>
              </w:rPr>
              <w:t>(22</w:t>
            </w:r>
            <w:r w:rsidR="003B452A" w:rsidRPr="00CA6E28">
              <w:rPr>
                <w:rFonts w:ascii="Arial" w:hAnsi="Arial" w:cs="Arial"/>
                <w:sz w:val="18"/>
                <w:szCs w:val="18"/>
              </w:rPr>
              <w:t>,</w:t>
            </w:r>
            <w:r w:rsidRPr="00CA6E28">
              <w:rPr>
                <w:rFonts w:ascii="Arial" w:hAnsi="Arial" w:cs="Arial"/>
                <w:sz w:val="18"/>
                <w:szCs w:val="18"/>
              </w:rPr>
              <w:t>4)</w:t>
            </w:r>
          </w:p>
        </w:tc>
        <w:tc>
          <w:tcPr>
            <w:tcW w:w="1103" w:type="dxa"/>
            <w:shd w:val="clear" w:color="auto" w:fill="FFFFFF" w:themeFill="background1"/>
            <w:vAlign w:val="center"/>
          </w:tcPr>
          <w:p w14:paraId="1B727335" w14:textId="299F83C2" w:rsidR="00895717" w:rsidRPr="00CA6E28" w:rsidRDefault="00895717" w:rsidP="00895717">
            <w:pPr>
              <w:pStyle w:val="ColorfulList-Accent11"/>
              <w:tabs>
                <w:tab w:val="left" w:pos="0"/>
                <w:tab w:val="left" w:pos="284"/>
              </w:tabs>
              <w:ind w:left="0" w:right="-90"/>
              <w:jc w:val="center"/>
              <w:rPr>
                <w:rFonts w:ascii="Arial" w:hAnsi="Arial" w:cs="Arial"/>
                <w:color w:val="FF0000"/>
                <w:sz w:val="18"/>
                <w:szCs w:val="18"/>
              </w:rPr>
            </w:pPr>
            <w:r w:rsidRPr="00CA6E28">
              <w:rPr>
                <w:rFonts w:ascii="Arial" w:hAnsi="Arial" w:cs="Arial"/>
                <w:sz w:val="18"/>
                <w:szCs w:val="18"/>
              </w:rPr>
              <w:t>(25</w:t>
            </w:r>
            <w:r w:rsidR="003B452A" w:rsidRPr="00CA6E28">
              <w:rPr>
                <w:rFonts w:ascii="Arial" w:hAnsi="Arial" w:cs="Arial"/>
                <w:sz w:val="18"/>
                <w:szCs w:val="18"/>
              </w:rPr>
              <w:t>,</w:t>
            </w:r>
            <w:r w:rsidRPr="00CA6E28">
              <w:rPr>
                <w:rFonts w:ascii="Arial" w:hAnsi="Arial" w:cs="Arial"/>
                <w:sz w:val="18"/>
                <w:szCs w:val="18"/>
              </w:rPr>
              <w:t>2)</w:t>
            </w:r>
          </w:p>
        </w:tc>
        <w:tc>
          <w:tcPr>
            <w:tcW w:w="1183" w:type="dxa"/>
            <w:tcBorders>
              <w:right w:val="single" w:sz="2" w:space="0" w:color="808080" w:themeColor="background1" w:themeShade="80"/>
            </w:tcBorders>
            <w:shd w:val="clear" w:color="auto" w:fill="FFFFFF" w:themeFill="background1"/>
            <w:vAlign w:val="center"/>
          </w:tcPr>
          <w:p w14:paraId="10BA76F9" w14:textId="5D68391A" w:rsidR="00895717" w:rsidRPr="00CA6E28" w:rsidRDefault="00895717" w:rsidP="00895717">
            <w:pPr>
              <w:pStyle w:val="ColorfulList-Accent11"/>
              <w:tabs>
                <w:tab w:val="left" w:pos="0"/>
                <w:tab w:val="left" w:pos="284"/>
              </w:tabs>
              <w:ind w:left="0" w:right="-90"/>
              <w:jc w:val="center"/>
              <w:rPr>
                <w:rFonts w:ascii="Arial" w:hAnsi="Arial" w:cs="Arial"/>
                <w:color w:val="FF0000"/>
                <w:sz w:val="18"/>
                <w:szCs w:val="18"/>
              </w:rPr>
            </w:pPr>
            <w:r w:rsidRPr="00CA6E28">
              <w:rPr>
                <w:rFonts w:ascii="Arial" w:hAnsi="Arial" w:cs="Arial"/>
                <w:sz w:val="18"/>
                <w:szCs w:val="18"/>
              </w:rPr>
              <w:t>-11</w:t>
            </w:r>
            <w:r w:rsidR="003B452A" w:rsidRPr="00CA6E28">
              <w:rPr>
                <w:rFonts w:ascii="Arial" w:hAnsi="Arial" w:cs="Arial"/>
                <w:sz w:val="18"/>
                <w:szCs w:val="18"/>
              </w:rPr>
              <w:t>,</w:t>
            </w:r>
            <w:r w:rsidRPr="00CA6E28">
              <w:rPr>
                <w:rFonts w:ascii="Arial" w:hAnsi="Arial" w:cs="Arial"/>
                <w:sz w:val="18"/>
                <w:szCs w:val="18"/>
              </w:rPr>
              <w:t>1%</w:t>
            </w:r>
          </w:p>
        </w:tc>
        <w:tc>
          <w:tcPr>
            <w:tcW w:w="1183" w:type="dxa"/>
            <w:tcBorders>
              <w:left w:val="single" w:sz="2" w:space="0" w:color="808080" w:themeColor="background1" w:themeShade="80"/>
            </w:tcBorders>
            <w:shd w:val="clear" w:color="auto" w:fill="FFFFFF" w:themeFill="background1"/>
            <w:vAlign w:val="center"/>
          </w:tcPr>
          <w:p w14:paraId="5C72E335" w14:textId="3E930D9F" w:rsidR="00895717" w:rsidRPr="00CA6E28" w:rsidRDefault="00895717" w:rsidP="00895717">
            <w:pPr>
              <w:pStyle w:val="ColorfulList-Accent11"/>
              <w:tabs>
                <w:tab w:val="left" w:pos="0"/>
                <w:tab w:val="left" w:pos="284"/>
              </w:tabs>
              <w:ind w:left="0" w:right="-90"/>
              <w:jc w:val="center"/>
              <w:rPr>
                <w:rFonts w:ascii="Arial" w:hAnsi="Arial" w:cs="Arial"/>
                <w:sz w:val="18"/>
                <w:szCs w:val="18"/>
              </w:rPr>
            </w:pPr>
            <w:r w:rsidRPr="00CA6E28">
              <w:rPr>
                <w:rFonts w:ascii="Arial" w:hAnsi="Arial" w:cs="Arial"/>
                <w:sz w:val="18"/>
                <w:szCs w:val="18"/>
              </w:rPr>
              <w:t>(63</w:t>
            </w:r>
            <w:r w:rsidR="003B452A" w:rsidRPr="00CA6E28">
              <w:rPr>
                <w:rFonts w:ascii="Arial" w:hAnsi="Arial" w:cs="Arial"/>
                <w:sz w:val="18"/>
                <w:szCs w:val="18"/>
              </w:rPr>
              <w:t>,</w:t>
            </w:r>
            <w:r w:rsidRPr="00CA6E28">
              <w:rPr>
                <w:rFonts w:ascii="Arial" w:hAnsi="Arial" w:cs="Arial"/>
                <w:sz w:val="18"/>
                <w:szCs w:val="18"/>
              </w:rPr>
              <w:t>4)</w:t>
            </w:r>
          </w:p>
        </w:tc>
        <w:tc>
          <w:tcPr>
            <w:tcW w:w="1183" w:type="dxa"/>
            <w:shd w:val="clear" w:color="auto" w:fill="FFFFFF" w:themeFill="background1"/>
            <w:vAlign w:val="center"/>
          </w:tcPr>
          <w:p w14:paraId="3E833D4C" w14:textId="4BC6268E" w:rsidR="00895717" w:rsidRPr="00CA6E28" w:rsidRDefault="00895717" w:rsidP="00895717">
            <w:pPr>
              <w:pStyle w:val="ColorfulList-Accent11"/>
              <w:tabs>
                <w:tab w:val="left" w:pos="0"/>
                <w:tab w:val="left" w:pos="284"/>
              </w:tabs>
              <w:ind w:left="0" w:right="-90"/>
              <w:jc w:val="center"/>
              <w:rPr>
                <w:rFonts w:ascii="Arial" w:hAnsi="Arial" w:cs="Arial"/>
                <w:sz w:val="18"/>
                <w:szCs w:val="18"/>
              </w:rPr>
            </w:pPr>
            <w:r w:rsidRPr="00CA6E28">
              <w:rPr>
                <w:rFonts w:ascii="Arial" w:hAnsi="Arial" w:cs="Arial"/>
                <w:sz w:val="18"/>
                <w:szCs w:val="18"/>
              </w:rPr>
              <w:t>(66</w:t>
            </w:r>
            <w:r w:rsidR="003B452A" w:rsidRPr="00CA6E28">
              <w:rPr>
                <w:rFonts w:ascii="Arial" w:hAnsi="Arial" w:cs="Arial"/>
                <w:sz w:val="18"/>
                <w:szCs w:val="18"/>
              </w:rPr>
              <w:t>,</w:t>
            </w:r>
            <w:r w:rsidRPr="00CA6E28">
              <w:rPr>
                <w:rFonts w:ascii="Arial" w:hAnsi="Arial" w:cs="Arial"/>
                <w:sz w:val="18"/>
                <w:szCs w:val="18"/>
              </w:rPr>
              <w:t>2)</w:t>
            </w:r>
          </w:p>
        </w:tc>
        <w:tc>
          <w:tcPr>
            <w:tcW w:w="1183" w:type="dxa"/>
            <w:shd w:val="clear" w:color="auto" w:fill="FFFFFF" w:themeFill="background1"/>
            <w:vAlign w:val="center"/>
          </w:tcPr>
          <w:p w14:paraId="4BD36CAB" w14:textId="29C8DD3F" w:rsidR="00895717" w:rsidRPr="00CA6E28" w:rsidRDefault="00895717" w:rsidP="00895717">
            <w:pPr>
              <w:pStyle w:val="ColorfulList-Accent11"/>
              <w:tabs>
                <w:tab w:val="left" w:pos="0"/>
                <w:tab w:val="left" w:pos="284"/>
              </w:tabs>
              <w:ind w:left="0" w:right="-90"/>
              <w:jc w:val="center"/>
              <w:rPr>
                <w:rFonts w:ascii="Arial" w:hAnsi="Arial" w:cs="Arial"/>
                <w:sz w:val="18"/>
                <w:szCs w:val="18"/>
              </w:rPr>
            </w:pPr>
            <w:r w:rsidRPr="00CA6E28">
              <w:rPr>
                <w:rFonts w:ascii="Arial" w:hAnsi="Arial" w:cs="Arial"/>
                <w:sz w:val="18"/>
                <w:szCs w:val="18"/>
              </w:rPr>
              <w:t>-4</w:t>
            </w:r>
            <w:r w:rsidR="003B452A" w:rsidRPr="00CA6E28">
              <w:rPr>
                <w:rFonts w:ascii="Arial" w:hAnsi="Arial" w:cs="Arial"/>
                <w:sz w:val="18"/>
                <w:szCs w:val="18"/>
              </w:rPr>
              <w:t>,</w:t>
            </w:r>
            <w:r w:rsidRPr="00CA6E28">
              <w:rPr>
                <w:rFonts w:ascii="Arial" w:hAnsi="Arial" w:cs="Arial"/>
                <w:sz w:val="18"/>
                <w:szCs w:val="18"/>
              </w:rPr>
              <w:t>2%</w:t>
            </w:r>
          </w:p>
        </w:tc>
      </w:tr>
      <w:tr w:rsidR="00895717" w:rsidRPr="00CA6E28" w14:paraId="319FEE4A" w14:textId="77777777" w:rsidTr="00AA2930">
        <w:trPr>
          <w:trHeight w:val="263"/>
        </w:trPr>
        <w:tc>
          <w:tcPr>
            <w:tcW w:w="3495" w:type="dxa"/>
            <w:tcBorders>
              <w:right w:val="single" w:sz="2" w:space="0" w:color="808080" w:themeColor="background1" w:themeShade="80"/>
            </w:tcBorders>
            <w:shd w:val="clear" w:color="auto" w:fill="FFFFFF" w:themeFill="background1"/>
            <w:vAlign w:val="center"/>
          </w:tcPr>
          <w:p w14:paraId="47F680C7" w14:textId="3F648C13" w:rsidR="00895717" w:rsidRPr="00CA6E28" w:rsidRDefault="00895717" w:rsidP="00895717">
            <w:pPr>
              <w:pStyle w:val="ColorfulList-Accent11"/>
              <w:tabs>
                <w:tab w:val="left" w:pos="0"/>
                <w:tab w:val="left" w:pos="284"/>
              </w:tabs>
              <w:ind w:left="0" w:right="-90"/>
              <w:rPr>
                <w:rFonts w:ascii="Arial" w:hAnsi="Arial" w:cs="Arial"/>
                <w:sz w:val="18"/>
                <w:szCs w:val="18"/>
              </w:rPr>
            </w:pPr>
            <w:r w:rsidRPr="00CA6E28">
              <w:rPr>
                <w:rFonts w:ascii="Arial" w:hAnsi="Arial" w:cs="Arial"/>
                <w:sz w:val="18"/>
                <w:szCs w:val="18"/>
                <w:lang w:val="el-GR"/>
              </w:rPr>
              <w:t>Έξοδα προώθησης</w:t>
            </w:r>
          </w:p>
        </w:tc>
        <w:tc>
          <w:tcPr>
            <w:tcW w:w="1072" w:type="dxa"/>
            <w:tcBorders>
              <w:left w:val="single" w:sz="2" w:space="0" w:color="808080" w:themeColor="background1" w:themeShade="80"/>
            </w:tcBorders>
            <w:shd w:val="clear" w:color="auto" w:fill="FFFFFF" w:themeFill="background1"/>
            <w:vAlign w:val="center"/>
          </w:tcPr>
          <w:p w14:paraId="5FDF14AD" w14:textId="3AFFDC11" w:rsidR="00895717" w:rsidRPr="00CA6E28" w:rsidRDefault="00895717" w:rsidP="00895717">
            <w:pPr>
              <w:pStyle w:val="ColorfulList-Accent11"/>
              <w:tabs>
                <w:tab w:val="left" w:pos="0"/>
                <w:tab w:val="left" w:pos="284"/>
              </w:tabs>
              <w:ind w:left="0" w:right="-90"/>
              <w:jc w:val="center"/>
              <w:rPr>
                <w:rFonts w:ascii="Arial" w:hAnsi="Arial" w:cs="Arial"/>
                <w:color w:val="FF0000"/>
                <w:sz w:val="18"/>
                <w:szCs w:val="18"/>
              </w:rPr>
            </w:pPr>
            <w:r w:rsidRPr="00CA6E28">
              <w:rPr>
                <w:rFonts w:ascii="Arial" w:hAnsi="Arial" w:cs="Arial"/>
                <w:sz w:val="18"/>
                <w:szCs w:val="18"/>
              </w:rPr>
              <w:t>(20</w:t>
            </w:r>
            <w:r w:rsidR="003B452A" w:rsidRPr="00CA6E28">
              <w:rPr>
                <w:rFonts w:ascii="Arial" w:hAnsi="Arial" w:cs="Arial"/>
                <w:sz w:val="18"/>
                <w:szCs w:val="18"/>
              </w:rPr>
              <w:t>,</w:t>
            </w:r>
            <w:r w:rsidRPr="00CA6E28">
              <w:rPr>
                <w:rFonts w:ascii="Arial" w:hAnsi="Arial" w:cs="Arial"/>
                <w:sz w:val="18"/>
                <w:szCs w:val="18"/>
              </w:rPr>
              <w:t>9)</w:t>
            </w:r>
          </w:p>
        </w:tc>
        <w:tc>
          <w:tcPr>
            <w:tcW w:w="1103" w:type="dxa"/>
            <w:shd w:val="clear" w:color="auto" w:fill="FFFFFF" w:themeFill="background1"/>
            <w:vAlign w:val="center"/>
          </w:tcPr>
          <w:p w14:paraId="0C290B37" w14:textId="13A0A612" w:rsidR="00895717" w:rsidRPr="00CA6E28" w:rsidRDefault="00895717" w:rsidP="00895717">
            <w:pPr>
              <w:pStyle w:val="ColorfulList-Accent11"/>
              <w:tabs>
                <w:tab w:val="left" w:pos="0"/>
                <w:tab w:val="left" w:pos="284"/>
              </w:tabs>
              <w:ind w:left="0" w:right="-90"/>
              <w:jc w:val="center"/>
              <w:rPr>
                <w:rFonts w:ascii="Arial" w:hAnsi="Arial" w:cs="Arial"/>
                <w:color w:val="FF0000"/>
                <w:sz w:val="18"/>
                <w:szCs w:val="18"/>
              </w:rPr>
            </w:pPr>
            <w:r w:rsidRPr="00CA6E28">
              <w:rPr>
                <w:rFonts w:ascii="Arial" w:hAnsi="Arial" w:cs="Arial"/>
                <w:sz w:val="18"/>
                <w:szCs w:val="18"/>
              </w:rPr>
              <w:t>(20</w:t>
            </w:r>
            <w:r w:rsidR="003B452A" w:rsidRPr="00CA6E28">
              <w:rPr>
                <w:rFonts w:ascii="Arial" w:hAnsi="Arial" w:cs="Arial"/>
                <w:sz w:val="18"/>
                <w:szCs w:val="18"/>
              </w:rPr>
              <w:t>,</w:t>
            </w:r>
            <w:r w:rsidRPr="00CA6E28">
              <w:rPr>
                <w:rFonts w:ascii="Arial" w:hAnsi="Arial" w:cs="Arial"/>
                <w:sz w:val="18"/>
                <w:szCs w:val="18"/>
              </w:rPr>
              <w:t>7)</w:t>
            </w:r>
          </w:p>
        </w:tc>
        <w:tc>
          <w:tcPr>
            <w:tcW w:w="1183" w:type="dxa"/>
            <w:tcBorders>
              <w:right w:val="single" w:sz="2" w:space="0" w:color="808080" w:themeColor="background1" w:themeShade="80"/>
            </w:tcBorders>
            <w:shd w:val="clear" w:color="auto" w:fill="FFFFFF" w:themeFill="background1"/>
            <w:vAlign w:val="center"/>
          </w:tcPr>
          <w:p w14:paraId="1D9FF2B5" w14:textId="16D2EB1E" w:rsidR="00895717" w:rsidRPr="00CA6E28" w:rsidRDefault="00895717" w:rsidP="00895717">
            <w:pPr>
              <w:pStyle w:val="ColorfulList-Accent11"/>
              <w:tabs>
                <w:tab w:val="left" w:pos="0"/>
                <w:tab w:val="left" w:pos="284"/>
              </w:tabs>
              <w:ind w:left="0" w:right="-90"/>
              <w:jc w:val="center"/>
              <w:rPr>
                <w:rFonts w:ascii="Arial" w:hAnsi="Arial" w:cs="Arial"/>
                <w:color w:val="FF0000"/>
                <w:sz w:val="18"/>
                <w:szCs w:val="18"/>
              </w:rPr>
            </w:pPr>
            <w:r w:rsidRPr="00CA6E28">
              <w:rPr>
                <w:rFonts w:ascii="Arial" w:hAnsi="Arial" w:cs="Arial"/>
                <w:sz w:val="18"/>
                <w:szCs w:val="18"/>
              </w:rPr>
              <w:t>+1</w:t>
            </w:r>
            <w:r w:rsidR="003B452A" w:rsidRPr="00CA6E28">
              <w:rPr>
                <w:rFonts w:ascii="Arial" w:hAnsi="Arial" w:cs="Arial"/>
                <w:sz w:val="18"/>
                <w:szCs w:val="18"/>
              </w:rPr>
              <w:t>,</w:t>
            </w:r>
            <w:r w:rsidRPr="00CA6E28">
              <w:rPr>
                <w:rFonts w:ascii="Arial" w:hAnsi="Arial" w:cs="Arial"/>
                <w:sz w:val="18"/>
                <w:szCs w:val="18"/>
              </w:rPr>
              <w:t>0%</w:t>
            </w:r>
          </w:p>
        </w:tc>
        <w:tc>
          <w:tcPr>
            <w:tcW w:w="1183" w:type="dxa"/>
            <w:tcBorders>
              <w:left w:val="single" w:sz="2" w:space="0" w:color="808080" w:themeColor="background1" w:themeShade="80"/>
            </w:tcBorders>
            <w:shd w:val="clear" w:color="auto" w:fill="FFFFFF" w:themeFill="background1"/>
            <w:vAlign w:val="center"/>
          </w:tcPr>
          <w:p w14:paraId="1C2EC64C" w14:textId="79A895F6" w:rsidR="00895717" w:rsidRPr="00CA6E28" w:rsidRDefault="00895717" w:rsidP="00895717">
            <w:pPr>
              <w:pStyle w:val="ColorfulList-Accent11"/>
              <w:tabs>
                <w:tab w:val="left" w:pos="0"/>
                <w:tab w:val="left" w:pos="284"/>
              </w:tabs>
              <w:ind w:left="0" w:right="-90"/>
              <w:jc w:val="center"/>
              <w:rPr>
                <w:rFonts w:ascii="Arial" w:hAnsi="Arial" w:cs="Arial"/>
                <w:sz w:val="18"/>
                <w:szCs w:val="18"/>
              </w:rPr>
            </w:pPr>
            <w:r w:rsidRPr="00CA6E28">
              <w:rPr>
                <w:rFonts w:ascii="Arial" w:hAnsi="Arial" w:cs="Arial"/>
                <w:sz w:val="18"/>
                <w:szCs w:val="18"/>
              </w:rPr>
              <w:t>(57</w:t>
            </w:r>
            <w:r w:rsidR="003B452A" w:rsidRPr="00CA6E28">
              <w:rPr>
                <w:rFonts w:ascii="Arial" w:hAnsi="Arial" w:cs="Arial"/>
                <w:sz w:val="18"/>
                <w:szCs w:val="18"/>
              </w:rPr>
              <w:t>,</w:t>
            </w:r>
            <w:r w:rsidRPr="00CA6E28">
              <w:rPr>
                <w:rFonts w:ascii="Arial" w:hAnsi="Arial" w:cs="Arial"/>
                <w:sz w:val="18"/>
                <w:szCs w:val="18"/>
              </w:rPr>
              <w:t>6)</w:t>
            </w:r>
          </w:p>
        </w:tc>
        <w:tc>
          <w:tcPr>
            <w:tcW w:w="1183" w:type="dxa"/>
            <w:shd w:val="clear" w:color="auto" w:fill="FFFFFF" w:themeFill="background1"/>
            <w:vAlign w:val="center"/>
          </w:tcPr>
          <w:p w14:paraId="497A2275" w14:textId="0832A6F6" w:rsidR="00895717" w:rsidRPr="00CA6E28" w:rsidRDefault="00895717" w:rsidP="00895717">
            <w:pPr>
              <w:pStyle w:val="ColorfulList-Accent11"/>
              <w:tabs>
                <w:tab w:val="left" w:pos="0"/>
                <w:tab w:val="left" w:pos="284"/>
              </w:tabs>
              <w:ind w:left="0" w:right="-90"/>
              <w:jc w:val="center"/>
              <w:rPr>
                <w:rFonts w:ascii="Arial" w:hAnsi="Arial" w:cs="Arial"/>
                <w:sz w:val="18"/>
                <w:szCs w:val="18"/>
              </w:rPr>
            </w:pPr>
            <w:r w:rsidRPr="00CA6E28">
              <w:rPr>
                <w:rFonts w:ascii="Arial" w:hAnsi="Arial" w:cs="Arial"/>
                <w:sz w:val="18"/>
                <w:szCs w:val="18"/>
              </w:rPr>
              <w:t>(51</w:t>
            </w:r>
            <w:r w:rsidR="003B452A" w:rsidRPr="00CA6E28">
              <w:rPr>
                <w:rFonts w:ascii="Arial" w:hAnsi="Arial" w:cs="Arial"/>
                <w:sz w:val="18"/>
                <w:szCs w:val="18"/>
              </w:rPr>
              <w:t>,</w:t>
            </w:r>
            <w:r w:rsidRPr="00CA6E28">
              <w:rPr>
                <w:rFonts w:ascii="Arial" w:hAnsi="Arial" w:cs="Arial"/>
                <w:sz w:val="18"/>
                <w:szCs w:val="18"/>
              </w:rPr>
              <w:t>6)</w:t>
            </w:r>
          </w:p>
        </w:tc>
        <w:tc>
          <w:tcPr>
            <w:tcW w:w="1183" w:type="dxa"/>
            <w:shd w:val="clear" w:color="auto" w:fill="FFFFFF" w:themeFill="background1"/>
            <w:vAlign w:val="center"/>
          </w:tcPr>
          <w:p w14:paraId="6D88BBF7" w14:textId="0639F223" w:rsidR="00895717" w:rsidRPr="00CA6E28" w:rsidRDefault="00895717" w:rsidP="00895717">
            <w:pPr>
              <w:pStyle w:val="ColorfulList-Accent11"/>
              <w:tabs>
                <w:tab w:val="left" w:pos="0"/>
                <w:tab w:val="left" w:pos="284"/>
              </w:tabs>
              <w:ind w:left="0" w:right="-90"/>
              <w:jc w:val="center"/>
              <w:rPr>
                <w:rFonts w:ascii="Arial" w:hAnsi="Arial" w:cs="Arial"/>
                <w:sz w:val="18"/>
                <w:szCs w:val="18"/>
              </w:rPr>
            </w:pPr>
            <w:r w:rsidRPr="00CA6E28">
              <w:rPr>
                <w:rFonts w:ascii="Arial" w:hAnsi="Arial" w:cs="Arial"/>
                <w:sz w:val="18"/>
                <w:szCs w:val="18"/>
              </w:rPr>
              <w:t>+11</w:t>
            </w:r>
            <w:r w:rsidR="003B452A" w:rsidRPr="00CA6E28">
              <w:rPr>
                <w:rFonts w:ascii="Arial" w:hAnsi="Arial" w:cs="Arial"/>
                <w:sz w:val="18"/>
                <w:szCs w:val="18"/>
              </w:rPr>
              <w:t>,</w:t>
            </w:r>
            <w:r w:rsidRPr="00CA6E28">
              <w:rPr>
                <w:rFonts w:ascii="Arial" w:hAnsi="Arial" w:cs="Arial"/>
                <w:sz w:val="18"/>
                <w:szCs w:val="18"/>
              </w:rPr>
              <w:t>6%</w:t>
            </w:r>
          </w:p>
        </w:tc>
      </w:tr>
      <w:tr w:rsidR="00895717" w:rsidRPr="00CA6E28" w14:paraId="63433A30" w14:textId="77777777" w:rsidTr="00AA2930">
        <w:trPr>
          <w:trHeight w:val="252"/>
        </w:trPr>
        <w:tc>
          <w:tcPr>
            <w:tcW w:w="3495" w:type="dxa"/>
            <w:tcBorders>
              <w:right w:val="single" w:sz="2" w:space="0" w:color="808080" w:themeColor="background1" w:themeShade="80"/>
            </w:tcBorders>
            <w:shd w:val="clear" w:color="auto" w:fill="FFFFFF" w:themeFill="background1"/>
            <w:vAlign w:val="center"/>
          </w:tcPr>
          <w:p w14:paraId="005425E4" w14:textId="0F5E9A5C" w:rsidR="00895717" w:rsidRPr="00CA6E28" w:rsidRDefault="00895717" w:rsidP="00895717">
            <w:pPr>
              <w:pStyle w:val="ColorfulList-Accent11"/>
              <w:tabs>
                <w:tab w:val="left" w:pos="0"/>
                <w:tab w:val="left" w:pos="284"/>
              </w:tabs>
              <w:ind w:left="0" w:right="-90"/>
              <w:rPr>
                <w:rFonts w:ascii="Arial" w:hAnsi="Arial" w:cs="Arial"/>
                <w:sz w:val="18"/>
                <w:szCs w:val="18"/>
              </w:rPr>
            </w:pPr>
            <w:r w:rsidRPr="00CA6E28">
              <w:rPr>
                <w:rFonts w:ascii="Arial" w:hAnsi="Arial" w:cs="Arial"/>
                <w:sz w:val="18"/>
                <w:szCs w:val="18"/>
                <w:lang w:val="el-GR"/>
              </w:rPr>
              <w:t>Λοιπά λειτουργικά έξοδα</w:t>
            </w:r>
          </w:p>
        </w:tc>
        <w:tc>
          <w:tcPr>
            <w:tcW w:w="1072" w:type="dxa"/>
            <w:tcBorders>
              <w:left w:val="single" w:sz="2" w:space="0" w:color="808080" w:themeColor="background1" w:themeShade="80"/>
            </w:tcBorders>
            <w:shd w:val="clear" w:color="auto" w:fill="FFFFFF" w:themeFill="background1"/>
            <w:vAlign w:val="center"/>
          </w:tcPr>
          <w:p w14:paraId="190AF82E" w14:textId="51B70C1B" w:rsidR="00895717" w:rsidRPr="00CA6E28" w:rsidRDefault="00895717" w:rsidP="00895717">
            <w:pPr>
              <w:pStyle w:val="ColorfulList-Accent11"/>
              <w:tabs>
                <w:tab w:val="left" w:pos="0"/>
                <w:tab w:val="left" w:pos="284"/>
              </w:tabs>
              <w:ind w:left="0" w:right="-90"/>
              <w:jc w:val="center"/>
              <w:rPr>
                <w:rFonts w:ascii="Arial" w:hAnsi="Arial" w:cs="Arial"/>
                <w:color w:val="FF0000"/>
                <w:sz w:val="18"/>
                <w:szCs w:val="18"/>
              </w:rPr>
            </w:pPr>
            <w:r w:rsidRPr="00CA6E28">
              <w:rPr>
                <w:rFonts w:ascii="Arial" w:hAnsi="Arial" w:cs="Arial"/>
                <w:sz w:val="18"/>
                <w:szCs w:val="18"/>
              </w:rPr>
              <w:t>(172</w:t>
            </w:r>
            <w:r w:rsidR="003B452A" w:rsidRPr="00CA6E28">
              <w:rPr>
                <w:rFonts w:ascii="Arial" w:hAnsi="Arial" w:cs="Arial"/>
                <w:sz w:val="18"/>
                <w:szCs w:val="18"/>
              </w:rPr>
              <w:t>,</w:t>
            </w:r>
            <w:r w:rsidRPr="00CA6E28">
              <w:rPr>
                <w:rFonts w:ascii="Arial" w:hAnsi="Arial" w:cs="Arial"/>
                <w:sz w:val="18"/>
                <w:szCs w:val="18"/>
              </w:rPr>
              <w:t>0)</w:t>
            </w:r>
          </w:p>
        </w:tc>
        <w:tc>
          <w:tcPr>
            <w:tcW w:w="1103" w:type="dxa"/>
            <w:shd w:val="clear" w:color="auto" w:fill="FFFFFF" w:themeFill="background1"/>
            <w:vAlign w:val="center"/>
          </w:tcPr>
          <w:p w14:paraId="54DFAF96" w14:textId="31A4DCF2" w:rsidR="00895717" w:rsidRPr="00CA6E28" w:rsidRDefault="00895717" w:rsidP="00895717">
            <w:pPr>
              <w:pStyle w:val="ColorfulList-Accent11"/>
              <w:tabs>
                <w:tab w:val="left" w:pos="0"/>
                <w:tab w:val="left" w:pos="284"/>
              </w:tabs>
              <w:ind w:left="0" w:right="-90"/>
              <w:jc w:val="center"/>
              <w:rPr>
                <w:rFonts w:ascii="Arial" w:hAnsi="Arial" w:cs="Arial"/>
                <w:color w:val="FF0000"/>
                <w:sz w:val="18"/>
                <w:szCs w:val="18"/>
              </w:rPr>
            </w:pPr>
            <w:r w:rsidRPr="00CA6E28">
              <w:rPr>
                <w:rFonts w:ascii="Arial" w:hAnsi="Arial" w:cs="Arial"/>
                <w:sz w:val="18"/>
                <w:szCs w:val="18"/>
              </w:rPr>
              <w:t>(144</w:t>
            </w:r>
            <w:r w:rsidR="003B452A" w:rsidRPr="00CA6E28">
              <w:rPr>
                <w:rFonts w:ascii="Arial" w:hAnsi="Arial" w:cs="Arial"/>
                <w:sz w:val="18"/>
                <w:szCs w:val="18"/>
              </w:rPr>
              <w:t>,</w:t>
            </w:r>
            <w:r w:rsidRPr="00CA6E28">
              <w:rPr>
                <w:rFonts w:ascii="Arial" w:hAnsi="Arial" w:cs="Arial"/>
                <w:sz w:val="18"/>
                <w:szCs w:val="18"/>
              </w:rPr>
              <w:t>2)</w:t>
            </w:r>
          </w:p>
        </w:tc>
        <w:tc>
          <w:tcPr>
            <w:tcW w:w="1183" w:type="dxa"/>
            <w:tcBorders>
              <w:right w:val="single" w:sz="2" w:space="0" w:color="808080" w:themeColor="background1" w:themeShade="80"/>
            </w:tcBorders>
            <w:shd w:val="clear" w:color="auto" w:fill="FFFFFF" w:themeFill="background1"/>
            <w:vAlign w:val="center"/>
          </w:tcPr>
          <w:p w14:paraId="245FF425" w14:textId="18D61DB0" w:rsidR="00895717" w:rsidRPr="00CA6E28" w:rsidRDefault="00895717" w:rsidP="00895717">
            <w:pPr>
              <w:pStyle w:val="ColorfulList-Accent11"/>
              <w:tabs>
                <w:tab w:val="left" w:pos="0"/>
                <w:tab w:val="left" w:pos="284"/>
              </w:tabs>
              <w:ind w:left="0" w:right="-90"/>
              <w:jc w:val="center"/>
              <w:rPr>
                <w:rFonts w:ascii="Arial" w:hAnsi="Arial" w:cs="Arial"/>
                <w:color w:val="FF0000"/>
                <w:sz w:val="18"/>
                <w:szCs w:val="18"/>
              </w:rPr>
            </w:pPr>
            <w:r w:rsidRPr="00CA6E28">
              <w:rPr>
                <w:rFonts w:ascii="Arial" w:hAnsi="Arial" w:cs="Arial"/>
                <w:sz w:val="18"/>
                <w:szCs w:val="18"/>
              </w:rPr>
              <w:t>+19</w:t>
            </w:r>
            <w:r w:rsidR="003B452A" w:rsidRPr="00CA6E28">
              <w:rPr>
                <w:rFonts w:ascii="Arial" w:hAnsi="Arial" w:cs="Arial"/>
                <w:sz w:val="18"/>
                <w:szCs w:val="18"/>
              </w:rPr>
              <w:t>,</w:t>
            </w:r>
            <w:r w:rsidRPr="00CA6E28">
              <w:rPr>
                <w:rFonts w:ascii="Arial" w:hAnsi="Arial" w:cs="Arial"/>
                <w:sz w:val="18"/>
                <w:szCs w:val="18"/>
              </w:rPr>
              <w:t>3%</w:t>
            </w:r>
          </w:p>
        </w:tc>
        <w:tc>
          <w:tcPr>
            <w:tcW w:w="1183" w:type="dxa"/>
            <w:tcBorders>
              <w:left w:val="single" w:sz="2" w:space="0" w:color="808080" w:themeColor="background1" w:themeShade="80"/>
            </w:tcBorders>
            <w:shd w:val="clear" w:color="auto" w:fill="FFFFFF" w:themeFill="background1"/>
            <w:vAlign w:val="center"/>
          </w:tcPr>
          <w:p w14:paraId="10260370" w14:textId="7D8F0A31" w:rsidR="00895717" w:rsidRPr="00CA6E28" w:rsidRDefault="00895717" w:rsidP="00895717">
            <w:pPr>
              <w:pStyle w:val="ColorfulList-Accent11"/>
              <w:tabs>
                <w:tab w:val="left" w:pos="0"/>
                <w:tab w:val="left" w:pos="284"/>
              </w:tabs>
              <w:ind w:left="0" w:right="-90"/>
              <w:jc w:val="center"/>
              <w:rPr>
                <w:rFonts w:ascii="Arial" w:hAnsi="Arial" w:cs="Arial"/>
                <w:sz w:val="18"/>
                <w:szCs w:val="18"/>
              </w:rPr>
            </w:pPr>
            <w:r w:rsidRPr="00CA6E28">
              <w:rPr>
                <w:rFonts w:ascii="Arial" w:hAnsi="Arial" w:cs="Arial"/>
                <w:sz w:val="18"/>
                <w:szCs w:val="18"/>
              </w:rPr>
              <w:t>(489</w:t>
            </w:r>
            <w:r w:rsidR="003B452A" w:rsidRPr="00CA6E28">
              <w:rPr>
                <w:rFonts w:ascii="Arial" w:hAnsi="Arial" w:cs="Arial"/>
                <w:sz w:val="18"/>
                <w:szCs w:val="18"/>
              </w:rPr>
              <w:t>,</w:t>
            </w:r>
            <w:r w:rsidRPr="00CA6E28">
              <w:rPr>
                <w:rFonts w:ascii="Arial" w:hAnsi="Arial" w:cs="Arial"/>
                <w:sz w:val="18"/>
                <w:szCs w:val="18"/>
              </w:rPr>
              <w:t>5)</w:t>
            </w:r>
          </w:p>
        </w:tc>
        <w:tc>
          <w:tcPr>
            <w:tcW w:w="1183" w:type="dxa"/>
            <w:shd w:val="clear" w:color="auto" w:fill="FFFFFF" w:themeFill="background1"/>
            <w:vAlign w:val="center"/>
          </w:tcPr>
          <w:p w14:paraId="1D5EAAEB" w14:textId="1A9F5C38" w:rsidR="00895717" w:rsidRPr="00CA6E28" w:rsidRDefault="00895717" w:rsidP="00895717">
            <w:pPr>
              <w:pStyle w:val="ColorfulList-Accent11"/>
              <w:tabs>
                <w:tab w:val="left" w:pos="0"/>
                <w:tab w:val="left" w:pos="284"/>
              </w:tabs>
              <w:ind w:left="0" w:right="-90"/>
              <w:jc w:val="center"/>
              <w:rPr>
                <w:rFonts w:ascii="Arial" w:hAnsi="Arial" w:cs="Arial"/>
                <w:sz w:val="18"/>
                <w:szCs w:val="18"/>
              </w:rPr>
            </w:pPr>
            <w:r w:rsidRPr="00CA6E28">
              <w:rPr>
                <w:rFonts w:ascii="Arial" w:hAnsi="Arial" w:cs="Arial"/>
                <w:sz w:val="18"/>
                <w:szCs w:val="18"/>
              </w:rPr>
              <w:t>(419</w:t>
            </w:r>
            <w:r w:rsidR="003B452A" w:rsidRPr="00CA6E28">
              <w:rPr>
                <w:rFonts w:ascii="Arial" w:hAnsi="Arial" w:cs="Arial"/>
                <w:sz w:val="18"/>
                <w:szCs w:val="18"/>
              </w:rPr>
              <w:t>,</w:t>
            </w:r>
            <w:r w:rsidRPr="00CA6E28">
              <w:rPr>
                <w:rFonts w:ascii="Arial" w:hAnsi="Arial" w:cs="Arial"/>
                <w:sz w:val="18"/>
                <w:szCs w:val="18"/>
              </w:rPr>
              <w:t>7)</w:t>
            </w:r>
          </w:p>
        </w:tc>
        <w:tc>
          <w:tcPr>
            <w:tcW w:w="1183" w:type="dxa"/>
            <w:shd w:val="clear" w:color="auto" w:fill="FFFFFF" w:themeFill="background1"/>
            <w:vAlign w:val="center"/>
          </w:tcPr>
          <w:p w14:paraId="53CFBAEF" w14:textId="468152FE" w:rsidR="00895717" w:rsidRPr="00CA6E28" w:rsidRDefault="00895717" w:rsidP="00895717">
            <w:pPr>
              <w:pStyle w:val="ColorfulList-Accent11"/>
              <w:tabs>
                <w:tab w:val="left" w:pos="0"/>
                <w:tab w:val="left" w:pos="284"/>
              </w:tabs>
              <w:ind w:left="0" w:right="-90"/>
              <w:jc w:val="center"/>
              <w:rPr>
                <w:rFonts w:ascii="Arial" w:hAnsi="Arial" w:cs="Arial"/>
                <w:sz w:val="18"/>
                <w:szCs w:val="18"/>
              </w:rPr>
            </w:pPr>
            <w:r w:rsidRPr="00CA6E28">
              <w:rPr>
                <w:rFonts w:ascii="Arial" w:hAnsi="Arial" w:cs="Arial"/>
                <w:sz w:val="18"/>
                <w:szCs w:val="18"/>
              </w:rPr>
              <w:t>+16</w:t>
            </w:r>
            <w:r w:rsidR="003B452A" w:rsidRPr="00CA6E28">
              <w:rPr>
                <w:rFonts w:ascii="Arial" w:hAnsi="Arial" w:cs="Arial"/>
                <w:sz w:val="18"/>
                <w:szCs w:val="18"/>
              </w:rPr>
              <w:t>,</w:t>
            </w:r>
            <w:r w:rsidRPr="00CA6E28">
              <w:rPr>
                <w:rFonts w:ascii="Arial" w:hAnsi="Arial" w:cs="Arial"/>
                <w:sz w:val="18"/>
                <w:szCs w:val="18"/>
              </w:rPr>
              <w:t>6%</w:t>
            </w:r>
          </w:p>
        </w:tc>
      </w:tr>
      <w:tr w:rsidR="00895717" w:rsidRPr="00CA6E28" w14:paraId="6687824E" w14:textId="77777777" w:rsidTr="00AA2930">
        <w:trPr>
          <w:trHeight w:val="522"/>
        </w:trPr>
        <w:tc>
          <w:tcPr>
            <w:tcW w:w="3495" w:type="dxa"/>
            <w:tcBorders>
              <w:top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D9D9D9" w:themeFill="background1" w:themeFillShade="D9"/>
            <w:vAlign w:val="center"/>
          </w:tcPr>
          <w:p w14:paraId="3E5A0335" w14:textId="757409C9" w:rsidR="00895717" w:rsidRPr="00CA6E28" w:rsidRDefault="00895717" w:rsidP="00895717">
            <w:pPr>
              <w:pStyle w:val="ColorfulList-Accent11"/>
              <w:tabs>
                <w:tab w:val="left" w:pos="0"/>
                <w:tab w:val="left" w:pos="284"/>
              </w:tabs>
              <w:ind w:left="0" w:right="-90"/>
              <w:rPr>
                <w:rFonts w:ascii="Arial" w:hAnsi="Arial" w:cs="Arial"/>
                <w:b/>
                <w:sz w:val="18"/>
                <w:szCs w:val="18"/>
                <w:lang w:val="el-GR"/>
              </w:rPr>
            </w:pPr>
            <w:r w:rsidRPr="00CA6E28">
              <w:rPr>
                <w:rFonts w:ascii="Arial" w:hAnsi="Arial" w:cs="Arial"/>
                <w:b/>
                <w:sz w:val="18"/>
                <w:szCs w:val="18"/>
                <w:lang w:val="el-GR"/>
              </w:rPr>
              <w:t xml:space="preserve">Σύνολο λειτουργικών εξόδων πριν από αποσβέσεις και </w:t>
            </w:r>
            <w:proofErr w:type="spellStart"/>
            <w:r w:rsidRPr="00CA6E28">
              <w:rPr>
                <w:rFonts w:ascii="Arial" w:hAnsi="Arial" w:cs="Arial"/>
                <w:b/>
                <w:sz w:val="18"/>
                <w:szCs w:val="18"/>
                <w:lang w:val="el-GR"/>
              </w:rPr>
              <w:t>απομειώσεις</w:t>
            </w:r>
            <w:proofErr w:type="spellEnd"/>
          </w:p>
        </w:tc>
        <w:tc>
          <w:tcPr>
            <w:tcW w:w="1072"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D9D9D9" w:themeFill="background1" w:themeFillShade="D9"/>
            <w:vAlign w:val="center"/>
          </w:tcPr>
          <w:p w14:paraId="631E115C" w14:textId="109E7458" w:rsidR="00895717" w:rsidRPr="00CA6E28" w:rsidRDefault="00895717" w:rsidP="00895717">
            <w:pPr>
              <w:pStyle w:val="ColorfulList-Accent11"/>
              <w:tabs>
                <w:tab w:val="left" w:pos="0"/>
                <w:tab w:val="left" w:pos="284"/>
              </w:tabs>
              <w:ind w:left="0" w:right="-90"/>
              <w:jc w:val="center"/>
              <w:rPr>
                <w:rFonts w:ascii="Arial" w:hAnsi="Arial" w:cs="Arial"/>
                <w:color w:val="FF0000"/>
                <w:sz w:val="18"/>
                <w:szCs w:val="18"/>
                <w:lang w:val="el-GR"/>
              </w:rPr>
            </w:pPr>
            <w:r w:rsidRPr="00CA6E28">
              <w:rPr>
                <w:rFonts w:ascii="Arial" w:hAnsi="Arial" w:cs="Arial"/>
                <w:b/>
                <w:bCs/>
                <w:sz w:val="18"/>
                <w:szCs w:val="18"/>
              </w:rPr>
              <w:t>(504</w:t>
            </w:r>
            <w:r w:rsidR="003B452A" w:rsidRPr="00CA6E28">
              <w:rPr>
                <w:rFonts w:ascii="Arial" w:hAnsi="Arial" w:cs="Arial"/>
                <w:b/>
                <w:bCs/>
                <w:sz w:val="18"/>
                <w:szCs w:val="18"/>
              </w:rPr>
              <w:t>,</w:t>
            </w:r>
            <w:r w:rsidRPr="00CA6E28">
              <w:rPr>
                <w:rFonts w:ascii="Arial" w:hAnsi="Arial" w:cs="Arial"/>
                <w:b/>
                <w:bCs/>
                <w:sz w:val="18"/>
                <w:szCs w:val="18"/>
              </w:rPr>
              <w:t>4)</w:t>
            </w:r>
          </w:p>
        </w:tc>
        <w:tc>
          <w:tcPr>
            <w:tcW w:w="1103" w:type="dxa"/>
            <w:tcBorders>
              <w:top w:val="single" w:sz="2" w:space="0" w:color="808080" w:themeColor="background1" w:themeShade="80"/>
              <w:bottom w:val="single" w:sz="2" w:space="0" w:color="808080" w:themeColor="background1" w:themeShade="80"/>
            </w:tcBorders>
            <w:shd w:val="clear" w:color="auto" w:fill="D9D9D9" w:themeFill="background1" w:themeFillShade="D9"/>
            <w:vAlign w:val="center"/>
          </w:tcPr>
          <w:p w14:paraId="138CDA74" w14:textId="622A10B8" w:rsidR="00895717" w:rsidRPr="00CA6E28" w:rsidRDefault="00895717" w:rsidP="00895717">
            <w:pPr>
              <w:pStyle w:val="ColorfulList-Accent11"/>
              <w:tabs>
                <w:tab w:val="left" w:pos="0"/>
                <w:tab w:val="left" w:pos="284"/>
              </w:tabs>
              <w:ind w:left="0" w:right="-90"/>
              <w:jc w:val="center"/>
              <w:rPr>
                <w:rFonts w:ascii="Arial" w:hAnsi="Arial" w:cs="Arial"/>
                <w:color w:val="FF0000"/>
                <w:sz w:val="18"/>
                <w:szCs w:val="18"/>
                <w:lang w:val="el-GR"/>
              </w:rPr>
            </w:pPr>
            <w:r w:rsidRPr="00CA6E28">
              <w:rPr>
                <w:rFonts w:ascii="Arial" w:hAnsi="Arial" w:cs="Arial"/>
                <w:b/>
                <w:bCs/>
                <w:sz w:val="18"/>
                <w:szCs w:val="18"/>
              </w:rPr>
              <w:t>(469</w:t>
            </w:r>
            <w:r w:rsidR="003B452A" w:rsidRPr="00CA6E28">
              <w:rPr>
                <w:rFonts w:ascii="Arial" w:hAnsi="Arial" w:cs="Arial"/>
                <w:b/>
                <w:bCs/>
                <w:sz w:val="18"/>
                <w:szCs w:val="18"/>
              </w:rPr>
              <w:t>,</w:t>
            </w:r>
            <w:r w:rsidRPr="00CA6E28">
              <w:rPr>
                <w:rFonts w:ascii="Arial" w:hAnsi="Arial" w:cs="Arial"/>
                <w:b/>
                <w:bCs/>
                <w:sz w:val="18"/>
                <w:szCs w:val="18"/>
              </w:rPr>
              <w:t>7)</w:t>
            </w:r>
          </w:p>
        </w:tc>
        <w:tc>
          <w:tcPr>
            <w:tcW w:w="1183" w:type="dxa"/>
            <w:tcBorders>
              <w:top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D9D9D9" w:themeFill="background1" w:themeFillShade="D9"/>
            <w:vAlign w:val="center"/>
          </w:tcPr>
          <w:p w14:paraId="1DA55A6D" w14:textId="0B474525" w:rsidR="00895717" w:rsidRPr="00CA6E28" w:rsidRDefault="00895717" w:rsidP="00895717">
            <w:pPr>
              <w:pStyle w:val="ColorfulList-Accent11"/>
              <w:tabs>
                <w:tab w:val="left" w:pos="0"/>
                <w:tab w:val="left" w:pos="284"/>
              </w:tabs>
              <w:ind w:left="0" w:right="-90"/>
              <w:jc w:val="center"/>
              <w:rPr>
                <w:rFonts w:ascii="Arial" w:hAnsi="Arial" w:cs="Arial"/>
                <w:color w:val="FF0000"/>
                <w:sz w:val="18"/>
                <w:szCs w:val="18"/>
                <w:lang w:val="el-GR"/>
              </w:rPr>
            </w:pPr>
            <w:r w:rsidRPr="00CA6E28">
              <w:rPr>
                <w:rFonts w:ascii="Arial" w:hAnsi="Arial" w:cs="Arial"/>
                <w:b/>
                <w:bCs/>
                <w:sz w:val="18"/>
                <w:szCs w:val="18"/>
              </w:rPr>
              <w:t>+7</w:t>
            </w:r>
            <w:r w:rsidR="003B452A" w:rsidRPr="00CA6E28">
              <w:rPr>
                <w:rFonts w:ascii="Arial" w:hAnsi="Arial" w:cs="Arial"/>
                <w:b/>
                <w:bCs/>
                <w:sz w:val="18"/>
                <w:szCs w:val="18"/>
              </w:rPr>
              <w:t>,</w:t>
            </w:r>
            <w:r w:rsidRPr="00CA6E28">
              <w:rPr>
                <w:rFonts w:ascii="Arial" w:hAnsi="Arial" w:cs="Arial"/>
                <w:b/>
                <w:bCs/>
                <w:sz w:val="18"/>
                <w:szCs w:val="18"/>
              </w:rPr>
              <w:t>4%</w:t>
            </w:r>
          </w:p>
        </w:tc>
        <w:tc>
          <w:tcPr>
            <w:tcW w:w="1183"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D9D9D9" w:themeFill="background1" w:themeFillShade="D9"/>
            <w:vAlign w:val="center"/>
          </w:tcPr>
          <w:p w14:paraId="6B8AC99B" w14:textId="19A01667" w:rsidR="00895717" w:rsidRPr="00CA6E28" w:rsidRDefault="00895717" w:rsidP="00895717">
            <w:pPr>
              <w:pStyle w:val="ColorfulList-Accent11"/>
              <w:tabs>
                <w:tab w:val="left" w:pos="0"/>
                <w:tab w:val="left" w:pos="284"/>
              </w:tabs>
              <w:ind w:left="0" w:right="-90"/>
              <w:jc w:val="center"/>
              <w:rPr>
                <w:rFonts w:ascii="Arial" w:hAnsi="Arial" w:cs="Arial"/>
                <w:b/>
                <w:bCs/>
                <w:sz w:val="18"/>
                <w:szCs w:val="18"/>
                <w:lang w:val="el-GR"/>
              </w:rPr>
            </w:pPr>
            <w:r w:rsidRPr="00CA6E28">
              <w:rPr>
                <w:rFonts w:ascii="Arial" w:hAnsi="Arial" w:cs="Arial"/>
                <w:b/>
                <w:bCs/>
                <w:sz w:val="18"/>
                <w:szCs w:val="18"/>
              </w:rPr>
              <w:t>(1</w:t>
            </w:r>
            <w:r w:rsidR="003B452A" w:rsidRPr="00CA6E28">
              <w:rPr>
                <w:rFonts w:ascii="Arial" w:hAnsi="Arial" w:cs="Arial"/>
                <w:b/>
                <w:bCs/>
                <w:sz w:val="18"/>
                <w:szCs w:val="18"/>
              </w:rPr>
              <w:t>.</w:t>
            </w:r>
            <w:r w:rsidRPr="00CA6E28">
              <w:rPr>
                <w:rFonts w:ascii="Arial" w:hAnsi="Arial" w:cs="Arial"/>
                <w:b/>
                <w:bCs/>
                <w:sz w:val="18"/>
                <w:szCs w:val="18"/>
              </w:rPr>
              <w:t>513</w:t>
            </w:r>
            <w:r w:rsidR="003B452A" w:rsidRPr="00CA6E28">
              <w:rPr>
                <w:rFonts w:ascii="Arial" w:hAnsi="Arial" w:cs="Arial"/>
                <w:b/>
                <w:bCs/>
                <w:sz w:val="18"/>
                <w:szCs w:val="18"/>
              </w:rPr>
              <w:t>,</w:t>
            </w:r>
            <w:r w:rsidRPr="00CA6E28">
              <w:rPr>
                <w:rFonts w:ascii="Arial" w:hAnsi="Arial" w:cs="Arial"/>
                <w:b/>
                <w:bCs/>
                <w:sz w:val="18"/>
                <w:szCs w:val="18"/>
              </w:rPr>
              <w:t>4)</w:t>
            </w:r>
          </w:p>
        </w:tc>
        <w:tc>
          <w:tcPr>
            <w:tcW w:w="1183" w:type="dxa"/>
            <w:tcBorders>
              <w:top w:val="single" w:sz="2" w:space="0" w:color="808080" w:themeColor="background1" w:themeShade="80"/>
              <w:bottom w:val="single" w:sz="2" w:space="0" w:color="808080" w:themeColor="background1" w:themeShade="80"/>
            </w:tcBorders>
            <w:shd w:val="clear" w:color="auto" w:fill="D9D9D9" w:themeFill="background1" w:themeFillShade="D9"/>
            <w:vAlign w:val="center"/>
          </w:tcPr>
          <w:p w14:paraId="4665407C" w14:textId="5B3A592A" w:rsidR="00895717" w:rsidRPr="00CA6E28" w:rsidRDefault="00895717" w:rsidP="00895717">
            <w:pPr>
              <w:pStyle w:val="ColorfulList-Accent11"/>
              <w:tabs>
                <w:tab w:val="left" w:pos="0"/>
                <w:tab w:val="left" w:pos="284"/>
              </w:tabs>
              <w:ind w:left="0" w:right="-90"/>
              <w:jc w:val="center"/>
              <w:rPr>
                <w:rFonts w:ascii="Arial" w:hAnsi="Arial" w:cs="Arial"/>
                <w:b/>
                <w:bCs/>
                <w:sz w:val="18"/>
                <w:szCs w:val="18"/>
                <w:lang w:val="el-GR"/>
              </w:rPr>
            </w:pPr>
            <w:r w:rsidRPr="00CA6E28">
              <w:rPr>
                <w:rFonts w:ascii="Arial" w:hAnsi="Arial" w:cs="Arial"/>
                <w:b/>
                <w:bCs/>
                <w:sz w:val="18"/>
                <w:szCs w:val="18"/>
              </w:rPr>
              <w:t>(1</w:t>
            </w:r>
            <w:r w:rsidR="003B452A" w:rsidRPr="00CA6E28">
              <w:rPr>
                <w:rFonts w:ascii="Arial" w:hAnsi="Arial" w:cs="Arial"/>
                <w:b/>
                <w:bCs/>
                <w:sz w:val="18"/>
                <w:szCs w:val="18"/>
              </w:rPr>
              <w:t>.</w:t>
            </w:r>
            <w:r w:rsidRPr="00CA6E28">
              <w:rPr>
                <w:rFonts w:ascii="Arial" w:hAnsi="Arial" w:cs="Arial"/>
                <w:b/>
                <w:bCs/>
                <w:sz w:val="18"/>
                <w:szCs w:val="18"/>
              </w:rPr>
              <w:t>482</w:t>
            </w:r>
            <w:r w:rsidR="003B452A" w:rsidRPr="00CA6E28">
              <w:rPr>
                <w:rFonts w:ascii="Arial" w:hAnsi="Arial" w:cs="Arial"/>
                <w:b/>
                <w:bCs/>
                <w:sz w:val="18"/>
                <w:szCs w:val="18"/>
              </w:rPr>
              <w:t>,</w:t>
            </w:r>
            <w:r w:rsidRPr="00CA6E28">
              <w:rPr>
                <w:rFonts w:ascii="Arial" w:hAnsi="Arial" w:cs="Arial"/>
                <w:b/>
                <w:bCs/>
                <w:sz w:val="18"/>
                <w:szCs w:val="18"/>
              </w:rPr>
              <w:t>1)</w:t>
            </w:r>
          </w:p>
        </w:tc>
        <w:tc>
          <w:tcPr>
            <w:tcW w:w="1183" w:type="dxa"/>
            <w:tcBorders>
              <w:top w:val="single" w:sz="2" w:space="0" w:color="808080" w:themeColor="background1" w:themeShade="80"/>
              <w:bottom w:val="single" w:sz="2" w:space="0" w:color="808080" w:themeColor="background1" w:themeShade="80"/>
            </w:tcBorders>
            <w:shd w:val="clear" w:color="auto" w:fill="D9D9D9" w:themeFill="background1" w:themeFillShade="D9"/>
            <w:vAlign w:val="center"/>
          </w:tcPr>
          <w:p w14:paraId="3567B495" w14:textId="63A34747" w:rsidR="00895717" w:rsidRPr="00CA6E28" w:rsidRDefault="00895717" w:rsidP="00895717">
            <w:pPr>
              <w:pStyle w:val="ColorfulList-Accent11"/>
              <w:tabs>
                <w:tab w:val="left" w:pos="0"/>
                <w:tab w:val="left" w:pos="284"/>
              </w:tabs>
              <w:ind w:left="0" w:right="-90"/>
              <w:jc w:val="center"/>
              <w:rPr>
                <w:rFonts w:ascii="Arial" w:hAnsi="Arial" w:cs="Arial"/>
                <w:b/>
                <w:bCs/>
                <w:sz w:val="18"/>
                <w:szCs w:val="18"/>
                <w:lang w:val="el-GR"/>
              </w:rPr>
            </w:pPr>
            <w:r w:rsidRPr="00CA6E28">
              <w:rPr>
                <w:rFonts w:ascii="Arial" w:hAnsi="Arial" w:cs="Arial"/>
                <w:b/>
                <w:bCs/>
                <w:sz w:val="18"/>
                <w:szCs w:val="18"/>
              </w:rPr>
              <w:t>+2</w:t>
            </w:r>
            <w:r w:rsidR="003B452A" w:rsidRPr="00CA6E28">
              <w:rPr>
                <w:rFonts w:ascii="Arial" w:hAnsi="Arial" w:cs="Arial"/>
                <w:b/>
                <w:bCs/>
                <w:sz w:val="18"/>
                <w:szCs w:val="18"/>
              </w:rPr>
              <w:t>,</w:t>
            </w:r>
            <w:r w:rsidRPr="00CA6E28">
              <w:rPr>
                <w:rFonts w:ascii="Arial" w:hAnsi="Arial" w:cs="Arial"/>
                <w:b/>
                <w:bCs/>
                <w:sz w:val="18"/>
                <w:szCs w:val="18"/>
              </w:rPr>
              <w:t>1%</w:t>
            </w:r>
          </w:p>
        </w:tc>
      </w:tr>
      <w:tr w:rsidR="00895717" w:rsidRPr="00CA6E28" w14:paraId="41F8A0C8" w14:textId="77777777" w:rsidTr="00AA2930">
        <w:trPr>
          <w:trHeight w:val="487"/>
        </w:trPr>
        <w:tc>
          <w:tcPr>
            <w:tcW w:w="3495" w:type="dxa"/>
            <w:tcBorders>
              <w:top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D9D9D9" w:themeFill="background1" w:themeFillShade="D9"/>
            <w:vAlign w:val="center"/>
          </w:tcPr>
          <w:p w14:paraId="58AE5824" w14:textId="5940B9D6" w:rsidR="00895717" w:rsidRPr="00CA6E28" w:rsidRDefault="00895717" w:rsidP="00895717">
            <w:pPr>
              <w:pStyle w:val="ColorfulList-Accent11"/>
              <w:tabs>
                <w:tab w:val="left" w:pos="0"/>
                <w:tab w:val="left" w:pos="284"/>
              </w:tabs>
              <w:ind w:left="0" w:right="-90"/>
              <w:rPr>
                <w:rFonts w:ascii="Arial" w:hAnsi="Arial" w:cs="Arial"/>
                <w:b/>
                <w:sz w:val="18"/>
                <w:szCs w:val="18"/>
                <w:lang w:val="el-GR"/>
              </w:rPr>
            </w:pPr>
            <w:r w:rsidRPr="00CA6E28">
              <w:rPr>
                <w:rFonts w:ascii="Arial" w:hAnsi="Arial" w:cs="Arial"/>
                <w:b/>
                <w:sz w:val="18"/>
                <w:szCs w:val="18"/>
                <w:lang w:val="el-GR"/>
              </w:rPr>
              <w:t xml:space="preserve">Λειτουργικά κέρδη προ </w:t>
            </w:r>
            <w:proofErr w:type="spellStart"/>
            <w:r w:rsidRPr="00CA6E28">
              <w:rPr>
                <w:rFonts w:ascii="Arial" w:hAnsi="Arial" w:cs="Arial"/>
                <w:b/>
                <w:sz w:val="18"/>
                <w:szCs w:val="18"/>
                <w:lang w:val="el-GR"/>
              </w:rPr>
              <w:t>χρημ</w:t>
            </w:r>
            <w:proofErr w:type="spellEnd"/>
            <w:r w:rsidR="00CA6E28" w:rsidRPr="00CA6E28">
              <w:rPr>
                <w:rFonts w:ascii="Arial" w:hAnsi="Arial" w:cs="Arial"/>
                <w:b/>
                <w:sz w:val="18"/>
                <w:szCs w:val="18"/>
                <w:lang w:val="el-GR"/>
              </w:rPr>
              <w:t>/</w:t>
            </w:r>
            <w:proofErr w:type="spellStart"/>
            <w:r w:rsidRPr="00CA6E28">
              <w:rPr>
                <w:rFonts w:ascii="Arial" w:hAnsi="Arial" w:cs="Arial"/>
                <w:b/>
                <w:sz w:val="18"/>
                <w:szCs w:val="18"/>
                <w:lang w:val="el-GR"/>
              </w:rPr>
              <w:t>κών</w:t>
            </w:r>
            <w:proofErr w:type="spellEnd"/>
            <w:r w:rsidRPr="00CA6E28">
              <w:rPr>
                <w:rFonts w:ascii="Arial" w:hAnsi="Arial" w:cs="Arial"/>
                <w:b/>
                <w:sz w:val="18"/>
                <w:szCs w:val="18"/>
                <w:lang w:val="el-GR"/>
              </w:rPr>
              <w:t xml:space="preserve"> και επενδυτικών δραστηριοτήτων, αποσβέσεων και </w:t>
            </w:r>
            <w:proofErr w:type="spellStart"/>
            <w:r w:rsidRPr="00CA6E28">
              <w:rPr>
                <w:rFonts w:ascii="Arial" w:hAnsi="Arial" w:cs="Arial"/>
                <w:b/>
                <w:sz w:val="18"/>
                <w:szCs w:val="18"/>
                <w:lang w:val="el-GR"/>
              </w:rPr>
              <w:t>απομειώσεων</w:t>
            </w:r>
            <w:proofErr w:type="spellEnd"/>
          </w:p>
        </w:tc>
        <w:tc>
          <w:tcPr>
            <w:tcW w:w="1072"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D9D9D9" w:themeFill="background1" w:themeFillShade="D9"/>
            <w:vAlign w:val="center"/>
          </w:tcPr>
          <w:p w14:paraId="26DA94A8" w14:textId="7E904C90" w:rsidR="00895717" w:rsidRPr="00CA6E28" w:rsidRDefault="00895717" w:rsidP="00895717">
            <w:pPr>
              <w:pStyle w:val="ColorfulList-Accent11"/>
              <w:tabs>
                <w:tab w:val="left" w:pos="0"/>
                <w:tab w:val="left" w:pos="284"/>
              </w:tabs>
              <w:ind w:left="0" w:right="-90"/>
              <w:jc w:val="center"/>
              <w:rPr>
                <w:rFonts w:ascii="Arial" w:hAnsi="Arial" w:cs="Arial"/>
                <w:b/>
                <w:color w:val="FF0000"/>
                <w:sz w:val="18"/>
                <w:szCs w:val="18"/>
              </w:rPr>
            </w:pPr>
            <w:r w:rsidRPr="00CA6E28">
              <w:rPr>
                <w:rFonts w:ascii="Arial" w:hAnsi="Arial" w:cs="Arial"/>
                <w:b/>
                <w:bCs/>
                <w:sz w:val="18"/>
                <w:szCs w:val="18"/>
              </w:rPr>
              <w:t>371</w:t>
            </w:r>
            <w:r w:rsidR="003B452A" w:rsidRPr="00CA6E28">
              <w:rPr>
                <w:rFonts w:ascii="Arial" w:hAnsi="Arial" w:cs="Arial"/>
                <w:b/>
                <w:bCs/>
                <w:sz w:val="18"/>
                <w:szCs w:val="18"/>
              </w:rPr>
              <w:t>,</w:t>
            </w:r>
            <w:r w:rsidRPr="00CA6E28">
              <w:rPr>
                <w:rFonts w:ascii="Arial" w:hAnsi="Arial" w:cs="Arial"/>
                <w:b/>
                <w:bCs/>
                <w:sz w:val="18"/>
                <w:szCs w:val="18"/>
              </w:rPr>
              <w:t>1</w:t>
            </w:r>
          </w:p>
        </w:tc>
        <w:tc>
          <w:tcPr>
            <w:tcW w:w="1103" w:type="dxa"/>
            <w:tcBorders>
              <w:top w:val="single" w:sz="2" w:space="0" w:color="808080" w:themeColor="background1" w:themeShade="80"/>
              <w:bottom w:val="single" w:sz="2" w:space="0" w:color="808080" w:themeColor="background1" w:themeShade="80"/>
            </w:tcBorders>
            <w:shd w:val="clear" w:color="auto" w:fill="D9D9D9" w:themeFill="background1" w:themeFillShade="D9"/>
            <w:vAlign w:val="center"/>
          </w:tcPr>
          <w:p w14:paraId="2A85CB79" w14:textId="00D63038" w:rsidR="00895717" w:rsidRPr="00CA6E28" w:rsidRDefault="00895717" w:rsidP="00895717">
            <w:pPr>
              <w:pStyle w:val="ColorfulList-Accent11"/>
              <w:tabs>
                <w:tab w:val="left" w:pos="0"/>
                <w:tab w:val="left" w:pos="284"/>
              </w:tabs>
              <w:ind w:left="0" w:right="-90"/>
              <w:jc w:val="center"/>
              <w:rPr>
                <w:rFonts w:ascii="Arial" w:hAnsi="Arial" w:cs="Arial"/>
                <w:b/>
                <w:color w:val="FF0000"/>
                <w:sz w:val="18"/>
                <w:szCs w:val="18"/>
              </w:rPr>
            </w:pPr>
            <w:r w:rsidRPr="00CA6E28">
              <w:rPr>
                <w:rFonts w:ascii="Arial" w:hAnsi="Arial" w:cs="Arial"/>
                <w:b/>
                <w:bCs/>
                <w:sz w:val="18"/>
                <w:szCs w:val="18"/>
              </w:rPr>
              <w:t>363</w:t>
            </w:r>
            <w:r w:rsidR="003B452A" w:rsidRPr="00CA6E28">
              <w:rPr>
                <w:rFonts w:ascii="Arial" w:hAnsi="Arial" w:cs="Arial"/>
                <w:b/>
                <w:bCs/>
                <w:sz w:val="18"/>
                <w:szCs w:val="18"/>
              </w:rPr>
              <w:t>,</w:t>
            </w:r>
            <w:r w:rsidRPr="00CA6E28">
              <w:rPr>
                <w:rFonts w:ascii="Arial" w:hAnsi="Arial" w:cs="Arial"/>
                <w:b/>
                <w:bCs/>
                <w:sz w:val="18"/>
                <w:szCs w:val="18"/>
              </w:rPr>
              <w:t>7</w:t>
            </w:r>
          </w:p>
        </w:tc>
        <w:tc>
          <w:tcPr>
            <w:tcW w:w="1183" w:type="dxa"/>
            <w:tcBorders>
              <w:top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D9D9D9" w:themeFill="background1" w:themeFillShade="D9"/>
            <w:vAlign w:val="center"/>
          </w:tcPr>
          <w:p w14:paraId="69DB9DA6" w14:textId="511A4426" w:rsidR="00895717" w:rsidRPr="00CA6E28" w:rsidRDefault="00895717" w:rsidP="00895717">
            <w:pPr>
              <w:pStyle w:val="ColorfulList-Accent11"/>
              <w:tabs>
                <w:tab w:val="left" w:pos="0"/>
                <w:tab w:val="left" w:pos="284"/>
              </w:tabs>
              <w:ind w:left="0" w:right="-90"/>
              <w:jc w:val="center"/>
              <w:rPr>
                <w:rFonts w:ascii="Arial" w:hAnsi="Arial" w:cs="Arial"/>
                <w:b/>
                <w:color w:val="FF0000"/>
                <w:sz w:val="18"/>
                <w:szCs w:val="18"/>
              </w:rPr>
            </w:pPr>
            <w:r w:rsidRPr="00CA6E28">
              <w:rPr>
                <w:rFonts w:ascii="Arial" w:hAnsi="Arial" w:cs="Arial"/>
                <w:b/>
                <w:bCs/>
                <w:sz w:val="18"/>
                <w:szCs w:val="18"/>
              </w:rPr>
              <w:t>+2</w:t>
            </w:r>
            <w:r w:rsidR="003B452A" w:rsidRPr="00CA6E28">
              <w:rPr>
                <w:rFonts w:ascii="Arial" w:hAnsi="Arial" w:cs="Arial"/>
                <w:b/>
                <w:bCs/>
                <w:sz w:val="18"/>
                <w:szCs w:val="18"/>
              </w:rPr>
              <w:t>,</w:t>
            </w:r>
            <w:r w:rsidRPr="00CA6E28">
              <w:rPr>
                <w:rFonts w:ascii="Arial" w:hAnsi="Arial" w:cs="Arial"/>
                <w:b/>
                <w:bCs/>
                <w:sz w:val="18"/>
                <w:szCs w:val="18"/>
              </w:rPr>
              <w:t>0%</w:t>
            </w:r>
          </w:p>
        </w:tc>
        <w:tc>
          <w:tcPr>
            <w:tcW w:w="1183"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D9D9D9" w:themeFill="background1" w:themeFillShade="D9"/>
            <w:vAlign w:val="center"/>
          </w:tcPr>
          <w:p w14:paraId="293BC817" w14:textId="34048A38" w:rsidR="00895717" w:rsidRPr="00CA6E28" w:rsidRDefault="00895717" w:rsidP="00895717">
            <w:pPr>
              <w:pStyle w:val="ColorfulList-Accent11"/>
              <w:tabs>
                <w:tab w:val="left" w:pos="0"/>
                <w:tab w:val="left" w:pos="284"/>
              </w:tabs>
              <w:ind w:left="0" w:right="-90"/>
              <w:jc w:val="center"/>
              <w:rPr>
                <w:rFonts w:ascii="Arial" w:hAnsi="Arial" w:cs="Arial"/>
                <w:b/>
                <w:bCs/>
                <w:sz w:val="18"/>
                <w:szCs w:val="18"/>
              </w:rPr>
            </w:pPr>
            <w:r w:rsidRPr="00CA6E28">
              <w:rPr>
                <w:rFonts w:ascii="Arial" w:hAnsi="Arial" w:cs="Arial"/>
                <w:b/>
                <w:bCs/>
                <w:sz w:val="18"/>
                <w:szCs w:val="18"/>
              </w:rPr>
              <w:t>1</w:t>
            </w:r>
            <w:r w:rsidR="003B452A" w:rsidRPr="00CA6E28">
              <w:rPr>
                <w:rFonts w:ascii="Arial" w:hAnsi="Arial" w:cs="Arial"/>
                <w:b/>
                <w:bCs/>
                <w:sz w:val="18"/>
                <w:szCs w:val="18"/>
              </w:rPr>
              <w:t>.</w:t>
            </w:r>
            <w:r w:rsidRPr="00CA6E28">
              <w:rPr>
                <w:rFonts w:ascii="Arial" w:hAnsi="Arial" w:cs="Arial"/>
                <w:b/>
                <w:bCs/>
                <w:sz w:val="18"/>
                <w:szCs w:val="18"/>
              </w:rPr>
              <w:t>038</w:t>
            </w:r>
            <w:r w:rsidR="003B452A" w:rsidRPr="00CA6E28">
              <w:rPr>
                <w:rFonts w:ascii="Arial" w:hAnsi="Arial" w:cs="Arial"/>
                <w:b/>
                <w:bCs/>
                <w:sz w:val="18"/>
                <w:szCs w:val="18"/>
              </w:rPr>
              <w:t>,</w:t>
            </w:r>
            <w:r w:rsidRPr="00CA6E28">
              <w:rPr>
                <w:rFonts w:ascii="Arial" w:hAnsi="Arial" w:cs="Arial"/>
                <w:b/>
                <w:bCs/>
                <w:sz w:val="18"/>
                <w:szCs w:val="18"/>
              </w:rPr>
              <w:t>3</w:t>
            </w:r>
          </w:p>
        </w:tc>
        <w:tc>
          <w:tcPr>
            <w:tcW w:w="1183" w:type="dxa"/>
            <w:tcBorders>
              <w:top w:val="single" w:sz="2" w:space="0" w:color="808080" w:themeColor="background1" w:themeShade="80"/>
              <w:bottom w:val="single" w:sz="2" w:space="0" w:color="808080" w:themeColor="background1" w:themeShade="80"/>
            </w:tcBorders>
            <w:shd w:val="clear" w:color="auto" w:fill="D9D9D9" w:themeFill="background1" w:themeFillShade="D9"/>
            <w:vAlign w:val="center"/>
          </w:tcPr>
          <w:p w14:paraId="7577EB93" w14:textId="2D3750D3" w:rsidR="00895717" w:rsidRPr="00CA6E28" w:rsidRDefault="00895717" w:rsidP="00895717">
            <w:pPr>
              <w:pStyle w:val="ColorfulList-Accent11"/>
              <w:tabs>
                <w:tab w:val="left" w:pos="0"/>
                <w:tab w:val="left" w:pos="284"/>
              </w:tabs>
              <w:ind w:left="0" w:right="-90"/>
              <w:jc w:val="center"/>
              <w:rPr>
                <w:rFonts w:ascii="Arial" w:hAnsi="Arial" w:cs="Arial"/>
                <w:b/>
                <w:bCs/>
                <w:sz w:val="18"/>
                <w:szCs w:val="18"/>
              </w:rPr>
            </w:pPr>
            <w:r w:rsidRPr="00CA6E28">
              <w:rPr>
                <w:rFonts w:ascii="Arial" w:hAnsi="Arial" w:cs="Arial"/>
                <w:b/>
                <w:bCs/>
                <w:sz w:val="18"/>
                <w:szCs w:val="18"/>
              </w:rPr>
              <w:t>1</w:t>
            </w:r>
            <w:r w:rsidR="003B452A" w:rsidRPr="00CA6E28">
              <w:rPr>
                <w:rFonts w:ascii="Arial" w:hAnsi="Arial" w:cs="Arial"/>
                <w:b/>
                <w:bCs/>
                <w:sz w:val="18"/>
                <w:szCs w:val="18"/>
              </w:rPr>
              <w:t>.</w:t>
            </w:r>
            <w:r w:rsidRPr="00CA6E28">
              <w:rPr>
                <w:rFonts w:ascii="Arial" w:hAnsi="Arial" w:cs="Arial"/>
                <w:b/>
                <w:bCs/>
                <w:sz w:val="18"/>
                <w:szCs w:val="18"/>
              </w:rPr>
              <w:t>012</w:t>
            </w:r>
            <w:r w:rsidR="003B452A" w:rsidRPr="00CA6E28">
              <w:rPr>
                <w:rFonts w:ascii="Arial" w:hAnsi="Arial" w:cs="Arial"/>
                <w:b/>
                <w:bCs/>
                <w:sz w:val="18"/>
                <w:szCs w:val="18"/>
              </w:rPr>
              <w:t>,</w:t>
            </w:r>
            <w:r w:rsidRPr="00CA6E28">
              <w:rPr>
                <w:rFonts w:ascii="Arial" w:hAnsi="Arial" w:cs="Arial"/>
                <w:b/>
                <w:bCs/>
                <w:sz w:val="18"/>
                <w:szCs w:val="18"/>
              </w:rPr>
              <w:t>8</w:t>
            </w:r>
          </w:p>
        </w:tc>
        <w:tc>
          <w:tcPr>
            <w:tcW w:w="1183" w:type="dxa"/>
            <w:tcBorders>
              <w:top w:val="single" w:sz="2" w:space="0" w:color="808080" w:themeColor="background1" w:themeShade="80"/>
              <w:bottom w:val="single" w:sz="2" w:space="0" w:color="808080" w:themeColor="background1" w:themeShade="80"/>
            </w:tcBorders>
            <w:shd w:val="clear" w:color="auto" w:fill="D9D9D9" w:themeFill="background1" w:themeFillShade="D9"/>
            <w:vAlign w:val="center"/>
          </w:tcPr>
          <w:p w14:paraId="149562B6" w14:textId="340F3B3E" w:rsidR="00895717" w:rsidRPr="00CA6E28" w:rsidRDefault="00895717" w:rsidP="00895717">
            <w:pPr>
              <w:pStyle w:val="ColorfulList-Accent11"/>
              <w:tabs>
                <w:tab w:val="left" w:pos="0"/>
                <w:tab w:val="left" w:pos="284"/>
              </w:tabs>
              <w:ind w:left="0" w:right="-90"/>
              <w:jc w:val="center"/>
              <w:rPr>
                <w:rFonts w:ascii="Arial" w:hAnsi="Arial" w:cs="Arial"/>
                <w:b/>
                <w:bCs/>
                <w:sz w:val="18"/>
                <w:szCs w:val="18"/>
              </w:rPr>
            </w:pPr>
            <w:r w:rsidRPr="00CA6E28">
              <w:rPr>
                <w:rFonts w:ascii="Arial" w:hAnsi="Arial" w:cs="Arial"/>
                <w:b/>
                <w:bCs/>
                <w:sz w:val="18"/>
                <w:szCs w:val="18"/>
              </w:rPr>
              <w:t>+2</w:t>
            </w:r>
            <w:r w:rsidR="003B452A" w:rsidRPr="00CA6E28">
              <w:rPr>
                <w:rFonts w:ascii="Arial" w:hAnsi="Arial" w:cs="Arial"/>
                <w:b/>
                <w:bCs/>
                <w:sz w:val="18"/>
                <w:szCs w:val="18"/>
              </w:rPr>
              <w:t>,</w:t>
            </w:r>
            <w:r w:rsidRPr="00CA6E28">
              <w:rPr>
                <w:rFonts w:ascii="Arial" w:hAnsi="Arial" w:cs="Arial"/>
                <w:b/>
                <w:bCs/>
                <w:sz w:val="18"/>
                <w:szCs w:val="18"/>
              </w:rPr>
              <w:t>5%</w:t>
            </w:r>
          </w:p>
        </w:tc>
      </w:tr>
      <w:tr w:rsidR="00895717" w:rsidRPr="00CA6E28" w14:paraId="19708827" w14:textId="77777777" w:rsidTr="00AA2930">
        <w:trPr>
          <w:trHeight w:val="219"/>
        </w:trPr>
        <w:tc>
          <w:tcPr>
            <w:tcW w:w="3495" w:type="dxa"/>
            <w:tcBorders>
              <w:top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vAlign w:val="center"/>
          </w:tcPr>
          <w:p w14:paraId="4703B705" w14:textId="67A55F15" w:rsidR="00895717" w:rsidRPr="00CA6E28" w:rsidRDefault="00895717" w:rsidP="00895717">
            <w:pPr>
              <w:pStyle w:val="ColorfulList-Accent11"/>
              <w:tabs>
                <w:tab w:val="left" w:pos="0"/>
                <w:tab w:val="left" w:pos="284"/>
              </w:tabs>
              <w:ind w:left="0" w:right="-90"/>
              <w:rPr>
                <w:rFonts w:ascii="Arial" w:hAnsi="Arial" w:cs="Arial"/>
                <w:b/>
                <w:sz w:val="18"/>
                <w:szCs w:val="18"/>
                <w:lang w:val="el-GR"/>
              </w:rPr>
            </w:pPr>
            <w:r w:rsidRPr="00CA6E28">
              <w:rPr>
                <w:rFonts w:ascii="Arial" w:hAnsi="Arial" w:cs="Arial"/>
                <w:sz w:val="18"/>
                <w:szCs w:val="18"/>
              </w:rPr>
              <w:t>Απ</w:t>
            </w:r>
            <w:proofErr w:type="spellStart"/>
            <w:r w:rsidRPr="00CA6E28">
              <w:rPr>
                <w:rFonts w:ascii="Arial" w:hAnsi="Arial" w:cs="Arial"/>
                <w:sz w:val="18"/>
                <w:szCs w:val="18"/>
              </w:rPr>
              <w:t>οσ</w:t>
            </w:r>
            <w:proofErr w:type="spellEnd"/>
            <w:r w:rsidRPr="00CA6E28">
              <w:rPr>
                <w:rFonts w:ascii="Arial" w:hAnsi="Arial" w:cs="Arial"/>
                <w:sz w:val="18"/>
                <w:szCs w:val="18"/>
              </w:rPr>
              <w:t>βέσεις και απ</w:t>
            </w:r>
            <w:proofErr w:type="spellStart"/>
            <w:r w:rsidRPr="00CA6E28">
              <w:rPr>
                <w:rFonts w:ascii="Arial" w:hAnsi="Arial" w:cs="Arial"/>
                <w:sz w:val="18"/>
                <w:szCs w:val="18"/>
              </w:rPr>
              <w:t>ομειώσεις</w:t>
            </w:r>
            <w:proofErr w:type="spellEnd"/>
          </w:p>
        </w:tc>
        <w:tc>
          <w:tcPr>
            <w:tcW w:w="1072"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FFFFF" w:themeFill="background1"/>
            <w:vAlign w:val="center"/>
          </w:tcPr>
          <w:p w14:paraId="74911E51" w14:textId="5FAEA0B2" w:rsidR="00895717" w:rsidRPr="00CA6E28" w:rsidRDefault="00895717" w:rsidP="00895717">
            <w:pPr>
              <w:pStyle w:val="ColorfulList-Accent11"/>
              <w:tabs>
                <w:tab w:val="left" w:pos="0"/>
                <w:tab w:val="left" w:pos="284"/>
              </w:tabs>
              <w:ind w:left="0" w:right="-90"/>
              <w:jc w:val="center"/>
              <w:rPr>
                <w:rFonts w:ascii="Arial" w:hAnsi="Arial" w:cs="Arial"/>
                <w:b/>
                <w:bCs/>
                <w:sz w:val="18"/>
                <w:szCs w:val="18"/>
              </w:rPr>
            </w:pPr>
            <w:r w:rsidRPr="00CA6E28">
              <w:rPr>
                <w:rFonts w:ascii="Arial" w:hAnsi="Arial" w:cs="Arial"/>
                <w:sz w:val="18"/>
                <w:szCs w:val="18"/>
              </w:rPr>
              <w:t>(147</w:t>
            </w:r>
            <w:r w:rsidR="003B452A" w:rsidRPr="00CA6E28">
              <w:rPr>
                <w:rFonts w:ascii="Arial" w:hAnsi="Arial" w:cs="Arial"/>
                <w:sz w:val="18"/>
                <w:szCs w:val="18"/>
              </w:rPr>
              <w:t>,</w:t>
            </w:r>
            <w:r w:rsidRPr="00CA6E28">
              <w:rPr>
                <w:rFonts w:ascii="Arial" w:hAnsi="Arial" w:cs="Arial"/>
                <w:sz w:val="18"/>
                <w:szCs w:val="18"/>
              </w:rPr>
              <w:t>6)</w:t>
            </w:r>
          </w:p>
        </w:tc>
        <w:tc>
          <w:tcPr>
            <w:tcW w:w="1103" w:type="dxa"/>
            <w:tcBorders>
              <w:top w:val="single" w:sz="2" w:space="0" w:color="808080" w:themeColor="background1" w:themeShade="80"/>
              <w:bottom w:val="single" w:sz="2" w:space="0" w:color="808080" w:themeColor="background1" w:themeShade="80"/>
            </w:tcBorders>
            <w:shd w:val="clear" w:color="auto" w:fill="FFFFFF" w:themeFill="background1"/>
            <w:vAlign w:val="center"/>
          </w:tcPr>
          <w:p w14:paraId="7E451204" w14:textId="45BA9095" w:rsidR="00895717" w:rsidRPr="00CA6E28" w:rsidRDefault="00895717" w:rsidP="00895717">
            <w:pPr>
              <w:pStyle w:val="ColorfulList-Accent11"/>
              <w:tabs>
                <w:tab w:val="left" w:pos="0"/>
                <w:tab w:val="left" w:pos="284"/>
              </w:tabs>
              <w:ind w:left="0" w:right="-90"/>
              <w:jc w:val="center"/>
              <w:rPr>
                <w:rFonts w:ascii="Arial" w:hAnsi="Arial" w:cs="Arial"/>
                <w:b/>
                <w:bCs/>
                <w:sz w:val="18"/>
                <w:szCs w:val="18"/>
              </w:rPr>
            </w:pPr>
            <w:r w:rsidRPr="00CA6E28">
              <w:rPr>
                <w:rFonts w:ascii="Arial" w:hAnsi="Arial" w:cs="Arial"/>
                <w:sz w:val="18"/>
                <w:szCs w:val="18"/>
              </w:rPr>
              <w:t>(138</w:t>
            </w:r>
            <w:r w:rsidR="003B452A" w:rsidRPr="00CA6E28">
              <w:rPr>
                <w:rFonts w:ascii="Arial" w:hAnsi="Arial" w:cs="Arial"/>
                <w:sz w:val="18"/>
                <w:szCs w:val="18"/>
              </w:rPr>
              <w:t>,</w:t>
            </w:r>
            <w:r w:rsidRPr="00CA6E28">
              <w:rPr>
                <w:rFonts w:ascii="Arial" w:hAnsi="Arial" w:cs="Arial"/>
                <w:sz w:val="18"/>
                <w:szCs w:val="18"/>
              </w:rPr>
              <w:t>6)</w:t>
            </w:r>
          </w:p>
        </w:tc>
        <w:tc>
          <w:tcPr>
            <w:tcW w:w="1183" w:type="dxa"/>
            <w:tcBorders>
              <w:top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vAlign w:val="center"/>
          </w:tcPr>
          <w:p w14:paraId="3AD128C0" w14:textId="1C2A5C7E" w:rsidR="00895717" w:rsidRPr="00CA6E28" w:rsidRDefault="00895717" w:rsidP="00895717">
            <w:pPr>
              <w:pStyle w:val="ColorfulList-Accent11"/>
              <w:tabs>
                <w:tab w:val="left" w:pos="0"/>
                <w:tab w:val="left" w:pos="284"/>
              </w:tabs>
              <w:ind w:left="0" w:right="-90"/>
              <w:jc w:val="center"/>
              <w:rPr>
                <w:rFonts w:ascii="Arial" w:hAnsi="Arial" w:cs="Arial"/>
                <w:b/>
                <w:bCs/>
                <w:sz w:val="18"/>
                <w:szCs w:val="18"/>
              </w:rPr>
            </w:pPr>
            <w:r w:rsidRPr="00CA6E28">
              <w:rPr>
                <w:rFonts w:ascii="Arial" w:hAnsi="Arial" w:cs="Arial"/>
                <w:sz w:val="18"/>
                <w:szCs w:val="18"/>
              </w:rPr>
              <w:t>+6</w:t>
            </w:r>
            <w:r w:rsidR="003B452A" w:rsidRPr="00CA6E28">
              <w:rPr>
                <w:rFonts w:ascii="Arial" w:hAnsi="Arial" w:cs="Arial"/>
                <w:sz w:val="18"/>
                <w:szCs w:val="18"/>
              </w:rPr>
              <w:t>,</w:t>
            </w:r>
            <w:r w:rsidRPr="00CA6E28">
              <w:rPr>
                <w:rFonts w:ascii="Arial" w:hAnsi="Arial" w:cs="Arial"/>
                <w:sz w:val="18"/>
                <w:szCs w:val="18"/>
              </w:rPr>
              <w:t>5%</w:t>
            </w:r>
          </w:p>
        </w:tc>
        <w:tc>
          <w:tcPr>
            <w:tcW w:w="1183"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FFFFF" w:themeFill="background1"/>
            <w:vAlign w:val="center"/>
          </w:tcPr>
          <w:p w14:paraId="05152CFD" w14:textId="2D827E6C" w:rsidR="00895717" w:rsidRPr="00CA6E28" w:rsidRDefault="00895717" w:rsidP="00895717">
            <w:pPr>
              <w:pStyle w:val="ColorfulList-Accent11"/>
              <w:tabs>
                <w:tab w:val="left" w:pos="0"/>
                <w:tab w:val="left" w:pos="284"/>
              </w:tabs>
              <w:ind w:left="0" w:right="-90"/>
              <w:jc w:val="center"/>
              <w:rPr>
                <w:rFonts w:ascii="Arial" w:hAnsi="Arial" w:cs="Arial"/>
                <w:b/>
                <w:bCs/>
                <w:sz w:val="18"/>
                <w:szCs w:val="18"/>
              </w:rPr>
            </w:pPr>
            <w:r w:rsidRPr="00CA6E28">
              <w:rPr>
                <w:rFonts w:ascii="Arial" w:hAnsi="Arial" w:cs="Arial"/>
                <w:sz w:val="18"/>
                <w:szCs w:val="18"/>
              </w:rPr>
              <w:t>(434</w:t>
            </w:r>
            <w:r w:rsidR="003B452A" w:rsidRPr="00CA6E28">
              <w:rPr>
                <w:rFonts w:ascii="Arial" w:hAnsi="Arial" w:cs="Arial"/>
                <w:sz w:val="18"/>
                <w:szCs w:val="18"/>
              </w:rPr>
              <w:t>,</w:t>
            </w:r>
            <w:r w:rsidRPr="00CA6E28">
              <w:rPr>
                <w:rFonts w:ascii="Arial" w:hAnsi="Arial" w:cs="Arial"/>
                <w:sz w:val="18"/>
                <w:szCs w:val="18"/>
              </w:rPr>
              <w:t>9)</w:t>
            </w:r>
          </w:p>
        </w:tc>
        <w:tc>
          <w:tcPr>
            <w:tcW w:w="1183" w:type="dxa"/>
            <w:tcBorders>
              <w:top w:val="single" w:sz="2" w:space="0" w:color="808080" w:themeColor="background1" w:themeShade="80"/>
              <w:bottom w:val="single" w:sz="2" w:space="0" w:color="808080" w:themeColor="background1" w:themeShade="80"/>
            </w:tcBorders>
            <w:shd w:val="clear" w:color="auto" w:fill="FFFFFF" w:themeFill="background1"/>
            <w:vAlign w:val="center"/>
          </w:tcPr>
          <w:p w14:paraId="186B9438" w14:textId="57086D9C" w:rsidR="00895717" w:rsidRPr="00CA6E28" w:rsidRDefault="00895717" w:rsidP="00895717">
            <w:pPr>
              <w:pStyle w:val="ColorfulList-Accent11"/>
              <w:tabs>
                <w:tab w:val="left" w:pos="0"/>
                <w:tab w:val="left" w:pos="284"/>
              </w:tabs>
              <w:ind w:left="0" w:right="-90"/>
              <w:jc w:val="center"/>
              <w:rPr>
                <w:rFonts w:ascii="Arial" w:hAnsi="Arial" w:cs="Arial"/>
                <w:b/>
                <w:bCs/>
                <w:sz w:val="18"/>
                <w:szCs w:val="18"/>
              </w:rPr>
            </w:pPr>
            <w:r w:rsidRPr="00CA6E28">
              <w:rPr>
                <w:rFonts w:ascii="Arial" w:hAnsi="Arial" w:cs="Arial"/>
                <w:sz w:val="18"/>
                <w:szCs w:val="18"/>
              </w:rPr>
              <w:t>(433</w:t>
            </w:r>
            <w:r w:rsidR="003B452A" w:rsidRPr="00CA6E28">
              <w:rPr>
                <w:rFonts w:ascii="Arial" w:hAnsi="Arial" w:cs="Arial"/>
                <w:sz w:val="18"/>
                <w:szCs w:val="18"/>
              </w:rPr>
              <w:t>,</w:t>
            </w:r>
            <w:r w:rsidRPr="00CA6E28">
              <w:rPr>
                <w:rFonts w:ascii="Arial" w:hAnsi="Arial" w:cs="Arial"/>
                <w:sz w:val="18"/>
                <w:szCs w:val="18"/>
              </w:rPr>
              <w:t>3)</w:t>
            </w:r>
          </w:p>
        </w:tc>
        <w:tc>
          <w:tcPr>
            <w:tcW w:w="1183" w:type="dxa"/>
            <w:tcBorders>
              <w:top w:val="single" w:sz="2" w:space="0" w:color="808080" w:themeColor="background1" w:themeShade="80"/>
              <w:bottom w:val="single" w:sz="2" w:space="0" w:color="808080" w:themeColor="background1" w:themeShade="80"/>
            </w:tcBorders>
            <w:shd w:val="clear" w:color="auto" w:fill="FFFFFF" w:themeFill="background1"/>
            <w:vAlign w:val="center"/>
          </w:tcPr>
          <w:p w14:paraId="7221E58F" w14:textId="3AC25CD5" w:rsidR="00895717" w:rsidRPr="00CA6E28" w:rsidRDefault="00895717" w:rsidP="00895717">
            <w:pPr>
              <w:pStyle w:val="ColorfulList-Accent11"/>
              <w:tabs>
                <w:tab w:val="left" w:pos="0"/>
                <w:tab w:val="left" w:pos="284"/>
              </w:tabs>
              <w:ind w:left="0" w:right="-90"/>
              <w:jc w:val="center"/>
              <w:rPr>
                <w:rFonts w:ascii="Arial" w:hAnsi="Arial" w:cs="Arial"/>
                <w:b/>
                <w:bCs/>
                <w:sz w:val="18"/>
                <w:szCs w:val="18"/>
              </w:rPr>
            </w:pPr>
            <w:r w:rsidRPr="00CA6E28">
              <w:rPr>
                <w:rFonts w:ascii="Arial" w:hAnsi="Arial" w:cs="Arial"/>
                <w:sz w:val="18"/>
                <w:szCs w:val="18"/>
              </w:rPr>
              <w:t>+0</w:t>
            </w:r>
            <w:r w:rsidR="003B452A" w:rsidRPr="00CA6E28">
              <w:rPr>
                <w:rFonts w:ascii="Arial" w:hAnsi="Arial" w:cs="Arial"/>
                <w:sz w:val="18"/>
                <w:szCs w:val="18"/>
              </w:rPr>
              <w:t>,</w:t>
            </w:r>
            <w:r w:rsidRPr="00CA6E28">
              <w:rPr>
                <w:rFonts w:ascii="Arial" w:hAnsi="Arial" w:cs="Arial"/>
                <w:sz w:val="18"/>
                <w:szCs w:val="18"/>
              </w:rPr>
              <w:t>4%</w:t>
            </w:r>
          </w:p>
        </w:tc>
      </w:tr>
      <w:tr w:rsidR="00895717" w:rsidRPr="00CA6E28" w14:paraId="68041657" w14:textId="77777777" w:rsidTr="008D392D">
        <w:trPr>
          <w:trHeight w:val="252"/>
        </w:trPr>
        <w:tc>
          <w:tcPr>
            <w:tcW w:w="3495" w:type="dxa"/>
            <w:tcBorders>
              <w:top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D9D9D9" w:themeFill="background1" w:themeFillShade="D9"/>
            <w:vAlign w:val="center"/>
          </w:tcPr>
          <w:p w14:paraId="3E43B187" w14:textId="1F86D6EB" w:rsidR="00895717" w:rsidRPr="00CA6E28" w:rsidRDefault="00895717" w:rsidP="00895717">
            <w:pPr>
              <w:pStyle w:val="ColorfulList-Accent11"/>
              <w:tabs>
                <w:tab w:val="left" w:pos="0"/>
                <w:tab w:val="left" w:pos="284"/>
              </w:tabs>
              <w:ind w:left="0" w:right="-90"/>
              <w:rPr>
                <w:rFonts w:ascii="Arial" w:hAnsi="Arial" w:cs="Arial"/>
                <w:b/>
                <w:sz w:val="18"/>
                <w:szCs w:val="18"/>
                <w:lang w:val="el-GR"/>
              </w:rPr>
            </w:pPr>
            <w:r w:rsidRPr="00CA6E28">
              <w:rPr>
                <w:rFonts w:ascii="Arial" w:hAnsi="Arial" w:cs="Arial"/>
                <w:b/>
                <w:sz w:val="18"/>
                <w:szCs w:val="18"/>
                <w:lang w:val="el-GR"/>
              </w:rPr>
              <w:t xml:space="preserve">Λειτουργικά κέρδη προ </w:t>
            </w:r>
            <w:proofErr w:type="spellStart"/>
            <w:r w:rsidR="00CA6E28">
              <w:rPr>
                <w:rFonts w:ascii="Arial" w:hAnsi="Arial" w:cs="Arial"/>
                <w:b/>
                <w:sz w:val="18"/>
                <w:szCs w:val="18"/>
                <w:lang w:val="el-GR"/>
              </w:rPr>
              <w:t>χρημ</w:t>
            </w:r>
            <w:proofErr w:type="spellEnd"/>
            <w:r w:rsidR="00CA6E28">
              <w:rPr>
                <w:rFonts w:ascii="Arial" w:hAnsi="Arial" w:cs="Arial"/>
                <w:b/>
                <w:sz w:val="18"/>
                <w:szCs w:val="18"/>
                <w:lang w:val="el-GR"/>
              </w:rPr>
              <w:t>/</w:t>
            </w:r>
            <w:proofErr w:type="spellStart"/>
            <w:r w:rsidR="00CA6E28">
              <w:rPr>
                <w:rFonts w:ascii="Arial" w:hAnsi="Arial" w:cs="Arial"/>
                <w:b/>
                <w:sz w:val="18"/>
                <w:szCs w:val="18"/>
                <w:lang w:val="el-GR"/>
              </w:rPr>
              <w:t>κων</w:t>
            </w:r>
            <w:proofErr w:type="spellEnd"/>
            <w:r w:rsidRPr="00CA6E28">
              <w:rPr>
                <w:rFonts w:ascii="Arial" w:hAnsi="Arial" w:cs="Arial"/>
                <w:b/>
                <w:sz w:val="18"/>
                <w:szCs w:val="18"/>
                <w:lang w:val="el-GR"/>
              </w:rPr>
              <w:t xml:space="preserve"> και επενδυτικών δραστηριοτήτων</w:t>
            </w:r>
          </w:p>
        </w:tc>
        <w:tc>
          <w:tcPr>
            <w:tcW w:w="1072"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D9D9D9" w:themeFill="background1" w:themeFillShade="D9"/>
            <w:vAlign w:val="center"/>
          </w:tcPr>
          <w:p w14:paraId="0DC873FA" w14:textId="3E2482C3" w:rsidR="00895717" w:rsidRPr="00CA6E28" w:rsidRDefault="00895717" w:rsidP="00895717">
            <w:pPr>
              <w:pStyle w:val="ColorfulList-Accent11"/>
              <w:tabs>
                <w:tab w:val="left" w:pos="0"/>
                <w:tab w:val="left" w:pos="284"/>
              </w:tabs>
              <w:ind w:left="0" w:right="-90"/>
              <w:jc w:val="center"/>
              <w:rPr>
                <w:rFonts w:ascii="Arial" w:hAnsi="Arial" w:cs="Arial"/>
                <w:b/>
                <w:sz w:val="18"/>
                <w:szCs w:val="18"/>
                <w:lang w:val="el-GR"/>
              </w:rPr>
            </w:pPr>
            <w:r w:rsidRPr="00CA6E28">
              <w:rPr>
                <w:rFonts w:ascii="Arial" w:hAnsi="Arial" w:cs="Arial"/>
                <w:b/>
                <w:bCs/>
                <w:sz w:val="18"/>
                <w:szCs w:val="18"/>
              </w:rPr>
              <w:t>223</w:t>
            </w:r>
            <w:r w:rsidR="003B452A" w:rsidRPr="00CA6E28">
              <w:rPr>
                <w:rFonts w:ascii="Arial" w:hAnsi="Arial" w:cs="Arial"/>
                <w:b/>
                <w:bCs/>
                <w:sz w:val="18"/>
                <w:szCs w:val="18"/>
              </w:rPr>
              <w:t>,</w:t>
            </w:r>
            <w:r w:rsidRPr="00CA6E28">
              <w:rPr>
                <w:rFonts w:ascii="Arial" w:hAnsi="Arial" w:cs="Arial"/>
                <w:b/>
                <w:bCs/>
                <w:sz w:val="18"/>
                <w:szCs w:val="18"/>
              </w:rPr>
              <w:t>5</w:t>
            </w:r>
          </w:p>
        </w:tc>
        <w:tc>
          <w:tcPr>
            <w:tcW w:w="1103" w:type="dxa"/>
            <w:tcBorders>
              <w:top w:val="single" w:sz="2" w:space="0" w:color="808080" w:themeColor="background1" w:themeShade="80"/>
              <w:bottom w:val="single" w:sz="2" w:space="0" w:color="808080" w:themeColor="background1" w:themeShade="80"/>
            </w:tcBorders>
            <w:shd w:val="clear" w:color="auto" w:fill="D9D9D9" w:themeFill="background1" w:themeFillShade="D9"/>
            <w:vAlign w:val="center"/>
          </w:tcPr>
          <w:p w14:paraId="5E160154" w14:textId="19B93557" w:rsidR="00895717" w:rsidRPr="00CA6E28" w:rsidRDefault="00895717" w:rsidP="00895717">
            <w:pPr>
              <w:pStyle w:val="ColorfulList-Accent11"/>
              <w:tabs>
                <w:tab w:val="left" w:pos="0"/>
                <w:tab w:val="left" w:pos="284"/>
              </w:tabs>
              <w:ind w:left="0" w:right="-90"/>
              <w:jc w:val="center"/>
              <w:rPr>
                <w:rFonts w:ascii="Arial" w:hAnsi="Arial" w:cs="Arial"/>
                <w:b/>
                <w:sz w:val="18"/>
                <w:szCs w:val="18"/>
                <w:lang w:val="el-GR"/>
              </w:rPr>
            </w:pPr>
            <w:r w:rsidRPr="00CA6E28">
              <w:rPr>
                <w:rFonts w:ascii="Arial" w:hAnsi="Arial" w:cs="Arial"/>
                <w:b/>
                <w:bCs/>
                <w:sz w:val="18"/>
                <w:szCs w:val="18"/>
              </w:rPr>
              <w:t>225</w:t>
            </w:r>
            <w:r w:rsidR="003B452A" w:rsidRPr="00CA6E28">
              <w:rPr>
                <w:rFonts w:ascii="Arial" w:hAnsi="Arial" w:cs="Arial"/>
                <w:b/>
                <w:bCs/>
                <w:sz w:val="18"/>
                <w:szCs w:val="18"/>
              </w:rPr>
              <w:t>,</w:t>
            </w:r>
            <w:r w:rsidRPr="00CA6E28">
              <w:rPr>
                <w:rFonts w:ascii="Arial" w:hAnsi="Arial" w:cs="Arial"/>
                <w:b/>
                <w:bCs/>
                <w:sz w:val="18"/>
                <w:szCs w:val="18"/>
              </w:rPr>
              <w:t>1</w:t>
            </w:r>
          </w:p>
        </w:tc>
        <w:tc>
          <w:tcPr>
            <w:tcW w:w="1183" w:type="dxa"/>
            <w:tcBorders>
              <w:top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D9D9D9" w:themeFill="background1" w:themeFillShade="D9"/>
            <w:vAlign w:val="center"/>
          </w:tcPr>
          <w:p w14:paraId="0D3DE69C" w14:textId="71B16053" w:rsidR="00895717" w:rsidRPr="00CA6E28" w:rsidRDefault="00895717" w:rsidP="00895717">
            <w:pPr>
              <w:pStyle w:val="ColorfulList-Accent11"/>
              <w:tabs>
                <w:tab w:val="left" w:pos="0"/>
                <w:tab w:val="left" w:pos="284"/>
              </w:tabs>
              <w:ind w:left="0" w:right="-90"/>
              <w:jc w:val="center"/>
              <w:rPr>
                <w:rFonts w:ascii="Arial" w:hAnsi="Arial" w:cs="Arial"/>
                <w:b/>
                <w:sz w:val="18"/>
                <w:szCs w:val="18"/>
                <w:lang w:val="el-GR"/>
              </w:rPr>
            </w:pPr>
            <w:r w:rsidRPr="00CA6E28">
              <w:rPr>
                <w:rFonts w:ascii="Arial" w:hAnsi="Arial" w:cs="Arial"/>
                <w:b/>
                <w:bCs/>
                <w:sz w:val="18"/>
                <w:szCs w:val="18"/>
              </w:rPr>
              <w:t>-0</w:t>
            </w:r>
            <w:r w:rsidR="003B452A" w:rsidRPr="00CA6E28">
              <w:rPr>
                <w:rFonts w:ascii="Arial" w:hAnsi="Arial" w:cs="Arial"/>
                <w:b/>
                <w:bCs/>
                <w:sz w:val="18"/>
                <w:szCs w:val="18"/>
              </w:rPr>
              <w:t>,</w:t>
            </w:r>
            <w:r w:rsidRPr="00CA6E28">
              <w:rPr>
                <w:rFonts w:ascii="Arial" w:hAnsi="Arial" w:cs="Arial"/>
                <w:b/>
                <w:bCs/>
                <w:sz w:val="18"/>
                <w:szCs w:val="18"/>
              </w:rPr>
              <w:t>7%</w:t>
            </w:r>
          </w:p>
        </w:tc>
        <w:tc>
          <w:tcPr>
            <w:tcW w:w="1183"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D9D9D9" w:themeFill="background1" w:themeFillShade="D9"/>
            <w:vAlign w:val="center"/>
          </w:tcPr>
          <w:p w14:paraId="1AC4A226" w14:textId="71401921" w:rsidR="00895717" w:rsidRPr="00CA6E28" w:rsidRDefault="00895717" w:rsidP="00895717">
            <w:pPr>
              <w:pStyle w:val="ColorfulList-Accent11"/>
              <w:tabs>
                <w:tab w:val="left" w:pos="0"/>
                <w:tab w:val="left" w:pos="284"/>
              </w:tabs>
              <w:ind w:left="0" w:right="-90"/>
              <w:jc w:val="center"/>
              <w:rPr>
                <w:rFonts w:ascii="Arial" w:hAnsi="Arial" w:cs="Arial"/>
                <w:b/>
                <w:sz w:val="18"/>
                <w:szCs w:val="18"/>
                <w:lang w:val="el-GR"/>
              </w:rPr>
            </w:pPr>
            <w:r w:rsidRPr="00CA6E28">
              <w:rPr>
                <w:rFonts w:ascii="Arial" w:hAnsi="Arial" w:cs="Arial"/>
                <w:b/>
                <w:bCs/>
                <w:sz w:val="18"/>
                <w:szCs w:val="18"/>
              </w:rPr>
              <w:t>603</w:t>
            </w:r>
            <w:r w:rsidR="003B452A" w:rsidRPr="00CA6E28">
              <w:rPr>
                <w:rFonts w:ascii="Arial" w:hAnsi="Arial" w:cs="Arial"/>
                <w:b/>
                <w:bCs/>
                <w:sz w:val="18"/>
                <w:szCs w:val="18"/>
              </w:rPr>
              <w:t>,</w:t>
            </w:r>
            <w:r w:rsidRPr="00CA6E28">
              <w:rPr>
                <w:rFonts w:ascii="Arial" w:hAnsi="Arial" w:cs="Arial"/>
                <w:b/>
                <w:bCs/>
                <w:sz w:val="18"/>
                <w:szCs w:val="18"/>
              </w:rPr>
              <w:t>4</w:t>
            </w:r>
          </w:p>
        </w:tc>
        <w:tc>
          <w:tcPr>
            <w:tcW w:w="1183" w:type="dxa"/>
            <w:tcBorders>
              <w:top w:val="single" w:sz="2" w:space="0" w:color="808080" w:themeColor="background1" w:themeShade="80"/>
              <w:bottom w:val="single" w:sz="2" w:space="0" w:color="808080" w:themeColor="background1" w:themeShade="80"/>
            </w:tcBorders>
            <w:shd w:val="clear" w:color="auto" w:fill="D9D9D9" w:themeFill="background1" w:themeFillShade="D9"/>
            <w:vAlign w:val="center"/>
          </w:tcPr>
          <w:p w14:paraId="048D5D7B" w14:textId="4310EE9D" w:rsidR="00895717" w:rsidRPr="00CA6E28" w:rsidRDefault="00895717" w:rsidP="00895717">
            <w:pPr>
              <w:pStyle w:val="ColorfulList-Accent11"/>
              <w:tabs>
                <w:tab w:val="left" w:pos="0"/>
                <w:tab w:val="left" w:pos="284"/>
              </w:tabs>
              <w:ind w:left="0" w:right="-90"/>
              <w:jc w:val="center"/>
              <w:rPr>
                <w:rFonts w:ascii="Arial" w:hAnsi="Arial" w:cs="Arial"/>
                <w:b/>
                <w:sz w:val="18"/>
                <w:szCs w:val="18"/>
                <w:lang w:val="el-GR"/>
              </w:rPr>
            </w:pPr>
            <w:r w:rsidRPr="00CA6E28">
              <w:rPr>
                <w:rFonts w:ascii="Arial" w:hAnsi="Arial" w:cs="Arial"/>
                <w:b/>
                <w:bCs/>
                <w:sz w:val="18"/>
                <w:szCs w:val="18"/>
              </w:rPr>
              <w:t>579</w:t>
            </w:r>
            <w:r w:rsidR="003B452A" w:rsidRPr="00CA6E28">
              <w:rPr>
                <w:rFonts w:ascii="Arial" w:hAnsi="Arial" w:cs="Arial"/>
                <w:b/>
                <w:bCs/>
                <w:sz w:val="18"/>
                <w:szCs w:val="18"/>
              </w:rPr>
              <w:t>,</w:t>
            </w:r>
            <w:r w:rsidRPr="00CA6E28">
              <w:rPr>
                <w:rFonts w:ascii="Arial" w:hAnsi="Arial" w:cs="Arial"/>
                <w:b/>
                <w:bCs/>
                <w:sz w:val="18"/>
                <w:szCs w:val="18"/>
              </w:rPr>
              <w:t>5</w:t>
            </w:r>
          </w:p>
        </w:tc>
        <w:tc>
          <w:tcPr>
            <w:tcW w:w="1183" w:type="dxa"/>
            <w:tcBorders>
              <w:top w:val="single" w:sz="2" w:space="0" w:color="808080" w:themeColor="background1" w:themeShade="80"/>
              <w:bottom w:val="single" w:sz="2" w:space="0" w:color="808080" w:themeColor="background1" w:themeShade="80"/>
            </w:tcBorders>
            <w:shd w:val="clear" w:color="auto" w:fill="D9D9D9" w:themeFill="background1" w:themeFillShade="D9"/>
            <w:vAlign w:val="center"/>
          </w:tcPr>
          <w:p w14:paraId="3E47EAB6" w14:textId="6FE6DC47" w:rsidR="00895717" w:rsidRPr="00CA6E28" w:rsidRDefault="00895717" w:rsidP="00895717">
            <w:pPr>
              <w:pStyle w:val="ColorfulList-Accent11"/>
              <w:tabs>
                <w:tab w:val="left" w:pos="0"/>
                <w:tab w:val="left" w:pos="284"/>
              </w:tabs>
              <w:ind w:left="0" w:right="-90"/>
              <w:jc w:val="center"/>
              <w:rPr>
                <w:rFonts w:ascii="Arial" w:hAnsi="Arial" w:cs="Arial"/>
                <w:b/>
                <w:sz w:val="18"/>
                <w:szCs w:val="18"/>
                <w:lang w:val="el-GR"/>
              </w:rPr>
            </w:pPr>
            <w:r w:rsidRPr="00CA6E28">
              <w:rPr>
                <w:rFonts w:ascii="Arial" w:hAnsi="Arial" w:cs="Arial"/>
                <w:b/>
                <w:bCs/>
                <w:sz w:val="18"/>
                <w:szCs w:val="18"/>
              </w:rPr>
              <w:t>+4</w:t>
            </w:r>
            <w:r w:rsidR="003B452A" w:rsidRPr="00CA6E28">
              <w:rPr>
                <w:rFonts w:ascii="Arial" w:hAnsi="Arial" w:cs="Arial"/>
                <w:b/>
                <w:bCs/>
                <w:sz w:val="18"/>
                <w:szCs w:val="18"/>
              </w:rPr>
              <w:t>,</w:t>
            </w:r>
            <w:r w:rsidRPr="00CA6E28">
              <w:rPr>
                <w:rFonts w:ascii="Arial" w:hAnsi="Arial" w:cs="Arial"/>
                <w:b/>
                <w:bCs/>
                <w:sz w:val="18"/>
                <w:szCs w:val="18"/>
              </w:rPr>
              <w:t>1%</w:t>
            </w:r>
          </w:p>
        </w:tc>
      </w:tr>
      <w:tr w:rsidR="00895717" w:rsidRPr="00CA6E28" w14:paraId="1F0551A9" w14:textId="77777777" w:rsidTr="00172C17">
        <w:trPr>
          <w:trHeight w:val="357"/>
        </w:trPr>
        <w:tc>
          <w:tcPr>
            <w:tcW w:w="3495" w:type="dxa"/>
            <w:tcBorders>
              <w:top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05D6AA75" w14:textId="33B3626D" w:rsidR="00895717" w:rsidRPr="00CA6E28" w:rsidRDefault="00895717" w:rsidP="00895717">
            <w:pPr>
              <w:pStyle w:val="ColorfulList-Accent11"/>
              <w:tabs>
                <w:tab w:val="left" w:pos="0"/>
                <w:tab w:val="left" w:pos="284"/>
              </w:tabs>
              <w:ind w:left="0" w:right="-90"/>
              <w:rPr>
                <w:rFonts w:ascii="Arial" w:hAnsi="Arial" w:cs="Arial"/>
                <w:b/>
                <w:sz w:val="18"/>
                <w:szCs w:val="18"/>
                <w:lang w:val="el-GR"/>
              </w:rPr>
            </w:pPr>
            <w:r w:rsidRPr="00CA6E28">
              <w:rPr>
                <w:rFonts w:ascii="Arial" w:hAnsi="Arial" w:cs="Arial"/>
                <w:b/>
                <w:sz w:val="18"/>
                <w:szCs w:val="18"/>
                <w:lang w:val="el-GR"/>
              </w:rPr>
              <w:t xml:space="preserve">Έσοδα και έξοδα από </w:t>
            </w:r>
            <w:proofErr w:type="spellStart"/>
            <w:r w:rsidR="00CA6E28">
              <w:rPr>
                <w:rFonts w:ascii="Arial" w:hAnsi="Arial" w:cs="Arial"/>
                <w:b/>
                <w:sz w:val="18"/>
                <w:szCs w:val="18"/>
                <w:lang w:val="el-GR"/>
              </w:rPr>
              <w:t>χρημ</w:t>
            </w:r>
            <w:proofErr w:type="spellEnd"/>
            <w:r w:rsidR="00CA6E28">
              <w:rPr>
                <w:rFonts w:ascii="Arial" w:hAnsi="Arial" w:cs="Arial"/>
                <w:b/>
                <w:sz w:val="18"/>
                <w:szCs w:val="18"/>
                <w:lang w:val="el-GR"/>
              </w:rPr>
              <w:t>/</w:t>
            </w:r>
            <w:proofErr w:type="spellStart"/>
            <w:r w:rsidR="00CA6E28">
              <w:rPr>
                <w:rFonts w:ascii="Arial" w:hAnsi="Arial" w:cs="Arial"/>
                <w:b/>
                <w:sz w:val="18"/>
                <w:szCs w:val="18"/>
                <w:lang w:val="el-GR"/>
              </w:rPr>
              <w:t>κες</w:t>
            </w:r>
            <w:proofErr w:type="spellEnd"/>
            <w:r w:rsidRPr="00CA6E28">
              <w:rPr>
                <w:rFonts w:ascii="Arial" w:hAnsi="Arial" w:cs="Arial"/>
                <w:b/>
                <w:sz w:val="18"/>
                <w:szCs w:val="18"/>
                <w:lang w:val="el-GR"/>
              </w:rPr>
              <w:t xml:space="preserve"> και επενδυτικές δραστηριότητες</w:t>
            </w:r>
          </w:p>
        </w:tc>
        <w:tc>
          <w:tcPr>
            <w:tcW w:w="1072" w:type="dxa"/>
            <w:tcBorders>
              <w:top w:val="single" w:sz="2" w:space="0" w:color="808080" w:themeColor="background1" w:themeShade="80"/>
              <w:left w:val="single" w:sz="2" w:space="0" w:color="808080" w:themeColor="background1" w:themeShade="80"/>
              <w:bottom w:val="single" w:sz="2" w:space="0" w:color="808080" w:themeColor="background1" w:themeShade="80"/>
            </w:tcBorders>
            <w:vAlign w:val="center"/>
          </w:tcPr>
          <w:p w14:paraId="684DFA2F" w14:textId="024014F9" w:rsidR="00895717" w:rsidRPr="00CA6E28" w:rsidRDefault="00895717" w:rsidP="00895717">
            <w:pPr>
              <w:pStyle w:val="ColorfulList-Accent11"/>
              <w:tabs>
                <w:tab w:val="left" w:pos="0"/>
                <w:tab w:val="left" w:pos="284"/>
              </w:tabs>
              <w:ind w:left="0" w:right="-90"/>
              <w:jc w:val="center"/>
              <w:rPr>
                <w:rFonts w:ascii="Arial" w:hAnsi="Arial" w:cs="Arial"/>
                <w:b/>
                <w:color w:val="FF0000"/>
                <w:sz w:val="18"/>
                <w:szCs w:val="18"/>
                <w:lang w:val="el-GR"/>
              </w:rPr>
            </w:pPr>
          </w:p>
        </w:tc>
        <w:tc>
          <w:tcPr>
            <w:tcW w:w="1103" w:type="dxa"/>
            <w:tcBorders>
              <w:top w:val="single" w:sz="2" w:space="0" w:color="808080" w:themeColor="background1" w:themeShade="80"/>
              <w:bottom w:val="single" w:sz="2" w:space="0" w:color="808080" w:themeColor="background1" w:themeShade="80"/>
            </w:tcBorders>
            <w:vAlign w:val="center"/>
          </w:tcPr>
          <w:p w14:paraId="1283BE1C" w14:textId="3DDDD4F8" w:rsidR="00895717" w:rsidRPr="00CA6E28" w:rsidRDefault="00895717" w:rsidP="00895717">
            <w:pPr>
              <w:pStyle w:val="ColorfulList-Accent11"/>
              <w:tabs>
                <w:tab w:val="left" w:pos="0"/>
                <w:tab w:val="left" w:pos="284"/>
              </w:tabs>
              <w:ind w:left="0" w:right="-90"/>
              <w:jc w:val="center"/>
              <w:rPr>
                <w:rFonts w:ascii="Arial" w:hAnsi="Arial" w:cs="Arial"/>
                <w:b/>
                <w:color w:val="FF0000"/>
                <w:sz w:val="18"/>
                <w:szCs w:val="18"/>
                <w:lang w:val="el-GR"/>
              </w:rPr>
            </w:pPr>
          </w:p>
        </w:tc>
        <w:tc>
          <w:tcPr>
            <w:tcW w:w="1183" w:type="dxa"/>
            <w:tcBorders>
              <w:top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6320F443" w14:textId="052A2BC5" w:rsidR="00895717" w:rsidRPr="00CA6E28" w:rsidRDefault="00895717" w:rsidP="00895717">
            <w:pPr>
              <w:pStyle w:val="ColorfulList-Accent11"/>
              <w:tabs>
                <w:tab w:val="left" w:pos="0"/>
                <w:tab w:val="left" w:pos="284"/>
              </w:tabs>
              <w:ind w:left="0" w:right="-90"/>
              <w:jc w:val="center"/>
              <w:rPr>
                <w:rFonts w:ascii="Arial" w:hAnsi="Arial" w:cs="Arial"/>
                <w:b/>
                <w:color w:val="FF0000"/>
                <w:sz w:val="18"/>
                <w:szCs w:val="18"/>
                <w:lang w:val="el-GR"/>
              </w:rPr>
            </w:pPr>
          </w:p>
        </w:tc>
        <w:tc>
          <w:tcPr>
            <w:tcW w:w="1183" w:type="dxa"/>
            <w:tcBorders>
              <w:top w:val="single" w:sz="2" w:space="0" w:color="808080" w:themeColor="background1" w:themeShade="80"/>
              <w:left w:val="single" w:sz="2" w:space="0" w:color="808080" w:themeColor="background1" w:themeShade="80"/>
              <w:bottom w:val="single" w:sz="2" w:space="0" w:color="808080" w:themeColor="background1" w:themeShade="80"/>
            </w:tcBorders>
            <w:vAlign w:val="center"/>
          </w:tcPr>
          <w:p w14:paraId="0247A21C" w14:textId="0D3A004C" w:rsidR="00895717" w:rsidRPr="00CA6E28" w:rsidRDefault="00895717" w:rsidP="00895717">
            <w:pPr>
              <w:pStyle w:val="ColorfulList-Accent11"/>
              <w:tabs>
                <w:tab w:val="left" w:pos="0"/>
                <w:tab w:val="left" w:pos="284"/>
              </w:tabs>
              <w:ind w:left="0" w:right="-90"/>
              <w:jc w:val="center"/>
              <w:rPr>
                <w:rFonts w:ascii="Arial" w:hAnsi="Arial" w:cs="Arial"/>
                <w:b/>
                <w:bCs/>
                <w:sz w:val="18"/>
                <w:szCs w:val="18"/>
                <w:lang w:val="el-GR"/>
              </w:rPr>
            </w:pPr>
          </w:p>
        </w:tc>
        <w:tc>
          <w:tcPr>
            <w:tcW w:w="1183" w:type="dxa"/>
            <w:tcBorders>
              <w:top w:val="single" w:sz="2" w:space="0" w:color="808080" w:themeColor="background1" w:themeShade="80"/>
              <w:bottom w:val="single" w:sz="2" w:space="0" w:color="808080" w:themeColor="background1" w:themeShade="80"/>
            </w:tcBorders>
            <w:vAlign w:val="center"/>
          </w:tcPr>
          <w:p w14:paraId="1122B1A4" w14:textId="096F486C" w:rsidR="00895717" w:rsidRPr="00CA6E28" w:rsidRDefault="00895717" w:rsidP="00895717">
            <w:pPr>
              <w:pStyle w:val="ColorfulList-Accent11"/>
              <w:tabs>
                <w:tab w:val="left" w:pos="0"/>
                <w:tab w:val="left" w:pos="284"/>
              </w:tabs>
              <w:ind w:left="0" w:right="-90"/>
              <w:jc w:val="center"/>
              <w:rPr>
                <w:rFonts w:ascii="Arial" w:hAnsi="Arial" w:cs="Arial"/>
                <w:b/>
                <w:bCs/>
                <w:sz w:val="18"/>
                <w:szCs w:val="18"/>
                <w:lang w:val="el-GR"/>
              </w:rPr>
            </w:pPr>
          </w:p>
        </w:tc>
        <w:tc>
          <w:tcPr>
            <w:tcW w:w="1183" w:type="dxa"/>
            <w:tcBorders>
              <w:top w:val="single" w:sz="2" w:space="0" w:color="808080" w:themeColor="background1" w:themeShade="80"/>
              <w:bottom w:val="single" w:sz="2" w:space="0" w:color="808080" w:themeColor="background1" w:themeShade="80"/>
            </w:tcBorders>
            <w:vAlign w:val="center"/>
          </w:tcPr>
          <w:p w14:paraId="7B058D29" w14:textId="2AD35BA3" w:rsidR="00895717" w:rsidRPr="00CA6E28" w:rsidRDefault="00895717" w:rsidP="00895717">
            <w:pPr>
              <w:pStyle w:val="ColorfulList-Accent11"/>
              <w:tabs>
                <w:tab w:val="left" w:pos="0"/>
                <w:tab w:val="left" w:pos="284"/>
              </w:tabs>
              <w:ind w:left="0" w:right="-90"/>
              <w:jc w:val="center"/>
              <w:rPr>
                <w:rFonts w:ascii="Arial" w:hAnsi="Arial" w:cs="Arial"/>
                <w:b/>
                <w:bCs/>
                <w:sz w:val="18"/>
                <w:szCs w:val="18"/>
                <w:lang w:val="el-GR"/>
              </w:rPr>
            </w:pPr>
          </w:p>
        </w:tc>
      </w:tr>
      <w:tr w:rsidR="00895717" w:rsidRPr="00CA6E28" w14:paraId="229A1E86" w14:textId="77777777" w:rsidTr="00CA6E28">
        <w:trPr>
          <w:trHeight w:val="211"/>
        </w:trPr>
        <w:tc>
          <w:tcPr>
            <w:tcW w:w="3495" w:type="dxa"/>
            <w:tcBorders>
              <w:right w:val="single" w:sz="2" w:space="0" w:color="808080" w:themeColor="background1" w:themeShade="80"/>
            </w:tcBorders>
            <w:shd w:val="clear" w:color="auto" w:fill="FFFFFF" w:themeFill="background1"/>
            <w:vAlign w:val="center"/>
          </w:tcPr>
          <w:p w14:paraId="51FD7605" w14:textId="164FB0BE" w:rsidR="00895717" w:rsidRPr="00CA6E28" w:rsidRDefault="00895717" w:rsidP="00895717">
            <w:pPr>
              <w:pStyle w:val="ColorfulList-Accent11"/>
              <w:tabs>
                <w:tab w:val="left" w:pos="0"/>
                <w:tab w:val="left" w:pos="284"/>
              </w:tabs>
              <w:ind w:left="0" w:right="-90"/>
              <w:rPr>
                <w:rFonts w:ascii="Arial" w:hAnsi="Arial" w:cs="Arial"/>
                <w:b/>
                <w:sz w:val="18"/>
                <w:szCs w:val="18"/>
              </w:rPr>
            </w:pPr>
            <w:r w:rsidRPr="00CA6E28">
              <w:rPr>
                <w:rFonts w:ascii="Arial" w:hAnsi="Arial" w:cs="Arial"/>
                <w:sz w:val="18"/>
                <w:szCs w:val="18"/>
                <w:lang w:val="el-GR"/>
              </w:rPr>
              <w:t>Χρηματοοικονομικά έσοδα και έξοδα</w:t>
            </w:r>
          </w:p>
        </w:tc>
        <w:tc>
          <w:tcPr>
            <w:tcW w:w="1072" w:type="dxa"/>
            <w:tcBorders>
              <w:left w:val="single" w:sz="2" w:space="0" w:color="808080" w:themeColor="background1" w:themeShade="80"/>
            </w:tcBorders>
            <w:shd w:val="clear" w:color="auto" w:fill="FFFFFF" w:themeFill="background1"/>
            <w:vAlign w:val="center"/>
          </w:tcPr>
          <w:p w14:paraId="57851986" w14:textId="62E3FB40" w:rsidR="00895717" w:rsidRPr="00CA6E28" w:rsidRDefault="00895717" w:rsidP="00895717">
            <w:pPr>
              <w:pStyle w:val="ColorfulList-Accent11"/>
              <w:tabs>
                <w:tab w:val="left" w:pos="0"/>
                <w:tab w:val="left" w:pos="284"/>
              </w:tabs>
              <w:ind w:left="0" w:right="-90"/>
              <w:jc w:val="center"/>
              <w:rPr>
                <w:rFonts w:ascii="Arial" w:hAnsi="Arial" w:cs="Arial"/>
                <w:b/>
                <w:color w:val="FF0000"/>
                <w:sz w:val="18"/>
                <w:szCs w:val="18"/>
              </w:rPr>
            </w:pPr>
            <w:r w:rsidRPr="00CA6E28">
              <w:rPr>
                <w:rFonts w:ascii="Arial" w:hAnsi="Arial" w:cs="Arial"/>
                <w:sz w:val="18"/>
                <w:szCs w:val="18"/>
              </w:rPr>
              <w:t>(4</w:t>
            </w:r>
            <w:r w:rsidR="003B452A" w:rsidRPr="00CA6E28">
              <w:rPr>
                <w:rFonts w:ascii="Arial" w:hAnsi="Arial" w:cs="Arial"/>
                <w:sz w:val="18"/>
                <w:szCs w:val="18"/>
              </w:rPr>
              <w:t>,</w:t>
            </w:r>
            <w:r w:rsidRPr="00CA6E28">
              <w:rPr>
                <w:rFonts w:ascii="Arial" w:hAnsi="Arial" w:cs="Arial"/>
                <w:sz w:val="18"/>
                <w:szCs w:val="18"/>
              </w:rPr>
              <w:t>8)</w:t>
            </w:r>
          </w:p>
        </w:tc>
        <w:tc>
          <w:tcPr>
            <w:tcW w:w="1103" w:type="dxa"/>
            <w:shd w:val="clear" w:color="auto" w:fill="FFFFFF" w:themeFill="background1"/>
            <w:vAlign w:val="center"/>
          </w:tcPr>
          <w:p w14:paraId="28310252" w14:textId="044BE180" w:rsidR="00895717" w:rsidRPr="00CA6E28" w:rsidRDefault="00895717" w:rsidP="00895717">
            <w:pPr>
              <w:pStyle w:val="ColorfulList-Accent11"/>
              <w:tabs>
                <w:tab w:val="left" w:pos="0"/>
                <w:tab w:val="left" w:pos="284"/>
              </w:tabs>
              <w:ind w:left="0" w:right="-90"/>
              <w:jc w:val="center"/>
              <w:rPr>
                <w:rFonts w:ascii="Arial" w:hAnsi="Arial" w:cs="Arial"/>
                <w:b/>
                <w:color w:val="FF0000"/>
                <w:sz w:val="18"/>
                <w:szCs w:val="18"/>
              </w:rPr>
            </w:pPr>
            <w:r w:rsidRPr="00CA6E28">
              <w:rPr>
                <w:rFonts w:ascii="Arial" w:hAnsi="Arial" w:cs="Arial"/>
                <w:sz w:val="18"/>
                <w:szCs w:val="18"/>
              </w:rPr>
              <w:t>(6</w:t>
            </w:r>
            <w:r w:rsidR="003B452A" w:rsidRPr="00CA6E28">
              <w:rPr>
                <w:rFonts w:ascii="Arial" w:hAnsi="Arial" w:cs="Arial"/>
                <w:sz w:val="18"/>
                <w:szCs w:val="18"/>
              </w:rPr>
              <w:t>,</w:t>
            </w:r>
            <w:r w:rsidRPr="00CA6E28">
              <w:rPr>
                <w:rFonts w:ascii="Arial" w:hAnsi="Arial" w:cs="Arial"/>
                <w:sz w:val="18"/>
                <w:szCs w:val="18"/>
              </w:rPr>
              <w:t>3)</w:t>
            </w:r>
          </w:p>
        </w:tc>
        <w:tc>
          <w:tcPr>
            <w:tcW w:w="1183" w:type="dxa"/>
            <w:tcBorders>
              <w:right w:val="single" w:sz="2" w:space="0" w:color="808080" w:themeColor="background1" w:themeShade="80"/>
            </w:tcBorders>
            <w:shd w:val="clear" w:color="auto" w:fill="FFFFFF" w:themeFill="background1"/>
            <w:vAlign w:val="center"/>
          </w:tcPr>
          <w:p w14:paraId="7B32D90E" w14:textId="76A0FA2F" w:rsidR="00895717" w:rsidRPr="00CA6E28" w:rsidRDefault="00895717" w:rsidP="00895717">
            <w:pPr>
              <w:pStyle w:val="ColorfulList-Accent11"/>
              <w:tabs>
                <w:tab w:val="left" w:pos="0"/>
                <w:tab w:val="left" w:pos="284"/>
              </w:tabs>
              <w:ind w:left="0" w:right="-90"/>
              <w:jc w:val="center"/>
              <w:rPr>
                <w:rFonts w:ascii="Arial" w:hAnsi="Arial" w:cs="Arial"/>
                <w:b/>
                <w:color w:val="FF0000"/>
                <w:sz w:val="18"/>
                <w:szCs w:val="18"/>
              </w:rPr>
            </w:pPr>
            <w:r w:rsidRPr="00CA6E28">
              <w:rPr>
                <w:rFonts w:ascii="Arial" w:hAnsi="Arial" w:cs="Arial"/>
                <w:sz w:val="18"/>
                <w:szCs w:val="18"/>
              </w:rPr>
              <w:t>-23</w:t>
            </w:r>
            <w:r w:rsidR="003B452A" w:rsidRPr="00CA6E28">
              <w:rPr>
                <w:rFonts w:ascii="Arial" w:hAnsi="Arial" w:cs="Arial"/>
                <w:sz w:val="18"/>
                <w:szCs w:val="18"/>
              </w:rPr>
              <w:t>,</w:t>
            </w:r>
            <w:r w:rsidRPr="00CA6E28">
              <w:rPr>
                <w:rFonts w:ascii="Arial" w:hAnsi="Arial" w:cs="Arial"/>
                <w:sz w:val="18"/>
                <w:szCs w:val="18"/>
              </w:rPr>
              <w:t>8%</w:t>
            </w:r>
          </w:p>
        </w:tc>
        <w:tc>
          <w:tcPr>
            <w:tcW w:w="1183" w:type="dxa"/>
            <w:tcBorders>
              <w:left w:val="single" w:sz="2" w:space="0" w:color="808080" w:themeColor="background1" w:themeShade="80"/>
            </w:tcBorders>
            <w:shd w:val="clear" w:color="auto" w:fill="FFFFFF" w:themeFill="background1"/>
            <w:vAlign w:val="center"/>
          </w:tcPr>
          <w:p w14:paraId="68BDE30C" w14:textId="6EAFB643" w:rsidR="00895717" w:rsidRPr="00CA6E28" w:rsidRDefault="00895717" w:rsidP="00895717">
            <w:pPr>
              <w:pStyle w:val="ColorfulList-Accent11"/>
              <w:tabs>
                <w:tab w:val="left" w:pos="0"/>
                <w:tab w:val="left" w:pos="284"/>
              </w:tabs>
              <w:ind w:left="0" w:right="-90"/>
              <w:jc w:val="center"/>
              <w:rPr>
                <w:rFonts w:ascii="Arial" w:hAnsi="Arial" w:cs="Arial"/>
                <w:b/>
                <w:color w:val="FF0000"/>
                <w:sz w:val="18"/>
                <w:szCs w:val="18"/>
              </w:rPr>
            </w:pPr>
            <w:r w:rsidRPr="00CA6E28">
              <w:rPr>
                <w:rFonts w:ascii="Arial" w:hAnsi="Arial" w:cs="Arial"/>
                <w:sz w:val="18"/>
                <w:szCs w:val="18"/>
              </w:rPr>
              <w:t>(12</w:t>
            </w:r>
            <w:r w:rsidR="003B452A" w:rsidRPr="00CA6E28">
              <w:rPr>
                <w:rFonts w:ascii="Arial" w:hAnsi="Arial" w:cs="Arial"/>
                <w:sz w:val="18"/>
                <w:szCs w:val="18"/>
              </w:rPr>
              <w:t>,</w:t>
            </w:r>
            <w:r w:rsidRPr="00CA6E28">
              <w:rPr>
                <w:rFonts w:ascii="Arial" w:hAnsi="Arial" w:cs="Arial"/>
                <w:sz w:val="18"/>
                <w:szCs w:val="18"/>
              </w:rPr>
              <w:t>0)</w:t>
            </w:r>
          </w:p>
        </w:tc>
        <w:tc>
          <w:tcPr>
            <w:tcW w:w="1183" w:type="dxa"/>
            <w:shd w:val="clear" w:color="auto" w:fill="FFFFFF" w:themeFill="background1"/>
            <w:vAlign w:val="center"/>
          </w:tcPr>
          <w:p w14:paraId="57BC3207" w14:textId="45427D01" w:rsidR="00895717" w:rsidRPr="00CA6E28" w:rsidRDefault="00895717" w:rsidP="00895717">
            <w:pPr>
              <w:pStyle w:val="ColorfulList-Accent11"/>
              <w:tabs>
                <w:tab w:val="left" w:pos="0"/>
                <w:tab w:val="left" w:pos="284"/>
              </w:tabs>
              <w:ind w:left="0" w:right="-90"/>
              <w:jc w:val="center"/>
              <w:rPr>
                <w:rFonts w:ascii="Arial" w:hAnsi="Arial" w:cs="Arial"/>
                <w:b/>
                <w:color w:val="FF0000"/>
                <w:sz w:val="18"/>
                <w:szCs w:val="18"/>
              </w:rPr>
            </w:pPr>
            <w:r w:rsidRPr="00CA6E28">
              <w:rPr>
                <w:rFonts w:ascii="Arial" w:hAnsi="Arial" w:cs="Arial"/>
                <w:sz w:val="18"/>
                <w:szCs w:val="18"/>
              </w:rPr>
              <w:t>(12</w:t>
            </w:r>
            <w:r w:rsidR="003B452A" w:rsidRPr="00CA6E28">
              <w:rPr>
                <w:rFonts w:ascii="Arial" w:hAnsi="Arial" w:cs="Arial"/>
                <w:sz w:val="18"/>
                <w:szCs w:val="18"/>
              </w:rPr>
              <w:t>,</w:t>
            </w:r>
            <w:r w:rsidRPr="00CA6E28">
              <w:rPr>
                <w:rFonts w:ascii="Arial" w:hAnsi="Arial" w:cs="Arial"/>
                <w:sz w:val="18"/>
                <w:szCs w:val="18"/>
              </w:rPr>
              <w:t>5)</w:t>
            </w:r>
          </w:p>
        </w:tc>
        <w:tc>
          <w:tcPr>
            <w:tcW w:w="1183" w:type="dxa"/>
            <w:shd w:val="clear" w:color="auto" w:fill="FFFFFF" w:themeFill="background1"/>
            <w:vAlign w:val="center"/>
          </w:tcPr>
          <w:p w14:paraId="69D81B3F" w14:textId="180B58E7" w:rsidR="00895717" w:rsidRPr="00CA6E28" w:rsidRDefault="00895717" w:rsidP="00895717">
            <w:pPr>
              <w:pStyle w:val="ColorfulList-Accent11"/>
              <w:tabs>
                <w:tab w:val="left" w:pos="0"/>
                <w:tab w:val="left" w:pos="284"/>
              </w:tabs>
              <w:ind w:left="0" w:right="-90"/>
              <w:jc w:val="center"/>
              <w:rPr>
                <w:rFonts w:ascii="Arial" w:hAnsi="Arial" w:cs="Arial"/>
                <w:b/>
                <w:color w:val="FF0000"/>
                <w:sz w:val="18"/>
                <w:szCs w:val="18"/>
              </w:rPr>
            </w:pPr>
            <w:r w:rsidRPr="00CA6E28">
              <w:rPr>
                <w:rFonts w:ascii="Arial" w:hAnsi="Arial" w:cs="Arial"/>
                <w:sz w:val="18"/>
                <w:szCs w:val="18"/>
              </w:rPr>
              <w:t>-4</w:t>
            </w:r>
            <w:r w:rsidR="003B452A" w:rsidRPr="00CA6E28">
              <w:rPr>
                <w:rFonts w:ascii="Arial" w:hAnsi="Arial" w:cs="Arial"/>
                <w:sz w:val="18"/>
                <w:szCs w:val="18"/>
              </w:rPr>
              <w:t>,</w:t>
            </w:r>
            <w:r w:rsidRPr="00CA6E28">
              <w:rPr>
                <w:rFonts w:ascii="Arial" w:hAnsi="Arial" w:cs="Arial"/>
                <w:sz w:val="18"/>
                <w:szCs w:val="18"/>
              </w:rPr>
              <w:t>0%</w:t>
            </w:r>
          </w:p>
        </w:tc>
      </w:tr>
      <w:tr w:rsidR="00895717" w:rsidRPr="00CA6E28" w14:paraId="458D5576" w14:textId="77777777" w:rsidTr="00AA2930">
        <w:trPr>
          <w:trHeight w:val="263"/>
        </w:trPr>
        <w:tc>
          <w:tcPr>
            <w:tcW w:w="3495" w:type="dxa"/>
            <w:tcBorders>
              <w:right w:val="single" w:sz="2" w:space="0" w:color="808080" w:themeColor="background1" w:themeShade="80"/>
            </w:tcBorders>
            <w:shd w:val="clear" w:color="auto" w:fill="FFFFFF" w:themeFill="background1"/>
            <w:vAlign w:val="center"/>
          </w:tcPr>
          <w:p w14:paraId="2E27429B" w14:textId="58A21289" w:rsidR="00895717" w:rsidRPr="00CA6E28" w:rsidRDefault="00895717" w:rsidP="00895717">
            <w:pPr>
              <w:pStyle w:val="ColorfulList-Accent11"/>
              <w:tabs>
                <w:tab w:val="left" w:pos="0"/>
                <w:tab w:val="left" w:pos="284"/>
              </w:tabs>
              <w:ind w:left="0" w:right="-90"/>
              <w:rPr>
                <w:rFonts w:ascii="Arial" w:hAnsi="Arial" w:cs="Arial"/>
                <w:sz w:val="18"/>
                <w:szCs w:val="18"/>
              </w:rPr>
            </w:pPr>
            <w:r w:rsidRPr="00CA6E28">
              <w:rPr>
                <w:rFonts w:ascii="Arial" w:hAnsi="Arial" w:cs="Arial"/>
                <w:sz w:val="18"/>
                <w:szCs w:val="18"/>
                <w:lang w:val="el-GR"/>
              </w:rPr>
              <w:t>Συναλλαγματικές διαφορές,</w:t>
            </w:r>
            <w:r w:rsidR="00C27100">
              <w:rPr>
                <w:rFonts w:ascii="Arial" w:hAnsi="Arial" w:cs="Arial"/>
                <w:sz w:val="18"/>
                <w:szCs w:val="18"/>
              </w:rPr>
              <w:t xml:space="preserve"> </w:t>
            </w:r>
            <w:r w:rsidRPr="00CA6E28">
              <w:rPr>
                <w:rFonts w:ascii="Arial" w:hAnsi="Arial" w:cs="Arial"/>
                <w:sz w:val="18"/>
                <w:szCs w:val="18"/>
                <w:lang w:val="el-GR"/>
              </w:rPr>
              <w:t>καθαρές</w:t>
            </w:r>
          </w:p>
        </w:tc>
        <w:tc>
          <w:tcPr>
            <w:tcW w:w="1072" w:type="dxa"/>
            <w:tcBorders>
              <w:left w:val="single" w:sz="2" w:space="0" w:color="808080" w:themeColor="background1" w:themeShade="80"/>
            </w:tcBorders>
            <w:shd w:val="clear" w:color="auto" w:fill="FFFFFF" w:themeFill="background1"/>
            <w:vAlign w:val="center"/>
          </w:tcPr>
          <w:p w14:paraId="2B318AEB" w14:textId="2856A359" w:rsidR="00895717" w:rsidRPr="00CA6E28" w:rsidRDefault="003650C4" w:rsidP="00895717">
            <w:pPr>
              <w:pStyle w:val="ColorfulList-Accent11"/>
              <w:tabs>
                <w:tab w:val="left" w:pos="0"/>
                <w:tab w:val="left" w:pos="284"/>
              </w:tabs>
              <w:ind w:left="0" w:right="-90"/>
              <w:jc w:val="center"/>
              <w:rPr>
                <w:rFonts w:ascii="Arial" w:hAnsi="Arial" w:cs="Arial"/>
                <w:b/>
                <w:color w:val="FF0000"/>
                <w:sz w:val="18"/>
                <w:szCs w:val="18"/>
              </w:rPr>
            </w:pPr>
            <w:r>
              <w:rPr>
                <w:rFonts w:ascii="Arial" w:hAnsi="Arial" w:cs="Arial"/>
                <w:sz w:val="18"/>
                <w:szCs w:val="18"/>
              </w:rPr>
              <w:t>-</w:t>
            </w:r>
          </w:p>
        </w:tc>
        <w:tc>
          <w:tcPr>
            <w:tcW w:w="1103" w:type="dxa"/>
            <w:shd w:val="clear" w:color="auto" w:fill="FFFFFF" w:themeFill="background1"/>
            <w:vAlign w:val="center"/>
          </w:tcPr>
          <w:p w14:paraId="26AB1936" w14:textId="18DC9315" w:rsidR="00895717" w:rsidRPr="00CA6E28" w:rsidRDefault="00895717" w:rsidP="00895717">
            <w:pPr>
              <w:pStyle w:val="ColorfulList-Accent11"/>
              <w:tabs>
                <w:tab w:val="left" w:pos="0"/>
                <w:tab w:val="left" w:pos="284"/>
              </w:tabs>
              <w:ind w:left="0" w:right="-90"/>
              <w:jc w:val="center"/>
              <w:rPr>
                <w:rFonts w:ascii="Arial" w:hAnsi="Arial" w:cs="Arial"/>
                <w:b/>
                <w:color w:val="FF0000"/>
                <w:sz w:val="18"/>
                <w:szCs w:val="18"/>
              </w:rPr>
            </w:pPr>
            <w:r w:rsidRPr="00CA6E28">
              <w:rPr>
                <w:rFonts w:ascii="Arial" w:hAnsi="Arial" w:cs="Arial"/>
                <w:sz w:val="18"/>
                <w:szCs w:val="18"/>
              </w:rPr>
              <w:t>0</w:t>
            </w:r>
            <w:r w:rsidR="003B452A" w:rsidRPr="00CA6E28">
              <w:rPr>
                <w:rFonts w:ascii="Arial" w:hAnsi="Arial" w:cs="Arial"/>
                <w:sz w:val="18"/>
                <w:szCs w:val="18"/>
              </w:rPr>
              <w:t>,</w:t>
            </w:r>
            <w:r w:rsidRPr="00CA6E28">
              <w:rPr>
                <w:rFonts w:ascii="Arial" w:hAnsi="Arial" w:cs="Arial"/>
                <w:sz w:val="18"/>
                <w:szCs w:val="18"/>
              </w:rPr>
              <w:t>2</w:t>
            </w:r>
          </w:p>
        </w:tc>
        <w:tc>
          <w:tcPr>
            <w:tcW w:w="1183" w:type="dxa"/>
            <w:tcBorders>
              <w:right w:val="single" w:sz="2" w:space="0" w:color="808080" w:themeColor="background1" w:themeShade="80"/>
            </w:tcBorders>
            <w:shd w:val="clear" w:color="auto" w:fill="FFFFFF" w:themeFill="background1"/>
            <w:vAlign w:val="center"/>
          </w:tcPr>
          <w:p w14:paraId="0CF2FD2B" w14:textId="15E016FD" w:rsidR="00895717" w:rsidRPr="00CA6E28" w:rsidRDefault="003650C4" w:rsidP="00895717">
            <w:pPr>
              <w:pStyle w:val="ColorfulList-Accent11"/>
              <w:tabs>
                <w:tab w:val="left" w:pos="0"/>
                <w:tab w:val="left" w:pos="284"/>
              </w:tabs>
              <w:ind w:left="0" w:right="-90"/>
              <w:jc w:val="center"/>
              <w:rPr>
                <w:rFonts w:ascii="Arial" w:hAnsi="Arial" w:cs="Arial"/>
                <w:b/>
                <w:color w:val="FF0000"/>
                <w:sz w:val="18"/>
                <w:szCs w:val="18"/>
              </w:rPr>
            </w:pPr>
            <w:r>
              <w:rPr>
                <w:rFonts w:ascii="Arial" w:hAnsi="Arial" w:cs="Arial"/>
                <w:sz w:val="18"/>
                <w:szCs w:val="18"/>
              </w:rPr>
              <w:t>-</w:t>
            </w:r>
          </w:p>
        </w:tc>
        <w:tc>
          <w:tcPr>
            <w:tcW w:w="1183" w:type="dxa"/>
            <w:tcBorders>
              <w:left w:val="single" w:sz="2" w:space="0" w:color="808080" w:themeColor="background1" w:themeShade="80"/>
            </w:tcBorders>
            <w:shd w:val="clear" w:color="auto" w:fill="FFFFFF" w:themeFill="background1"/>
            <w:vAlign w:val="center"/>
          </w:tcPr>
          <w:p w14:paraId="60E71836" w14:textId="61034F17" w:rsidR="00895717" w:rsidRPr="00CA6E28" w:rsidRDefault="00895717" w:rsidP="00895717">
            <w:pPr>
              <w:pStyle w:val="ColorfulList-Accent11"/>
              <w:tabs>
                <w:tab w:val="left" w:pos="0"/>
                <w:tab w:val="left" w:pos="284"/>
              </w:tabs>
              <w:ind w:left="0" w:right="-90"/>
              <w:jc w:val="center"/>
              <w:rPr>
                <w:rFonts w:ascii="Arial" w:hAnsi="Arial" w:cs="Arial"/>
                <w:sz w:val="18"/>
                <w:szCs w:val="18"/>
              </w:rPr>
            </w:pPr>
            <w:r w:rsidRPr="00CA6E28">
              <w:rPr>
                <w:rFonts w:ascii="Arial" w:hAnsi="Arial" w:cs="Arial"/>
                <w:sz w:val="18"/>
                <w:szCs w:val="18"/>
              </w:rPr>
              <w:t>0</w:t>
            </w:r>
            <w:r w:rsidR="003B452A" w:rsidRPr="00CA6E28">
              <w:rPr>
                <w:rFonts w:ascii="Arial" w:hAnsi="Arial" w:cs="Arial"/>
                <w:sz w:val="18"/>
                <w:szCs w:val="18"/>
              </w:rPr>
              <w:t>,</w:t>
            </w:r>
            <w:r w:rsidRPr="00CA6E28">
              <w:rPr>
                <w:rFonts w:ascii="Arial" w:hAnsi="Arial" w:cs="Arial"/>
                <w:sz w:val="18"/>
                <w:szCs w:val="18"/>
              </w:rPr>
              <w:t>1</w:t>
            </w:r>
          </w:p>
        </w:tc>
        <w:tc>
          <w:tcPr>
            <w:tcW w:w="1183" w:type="dxa"/>
            <w:shd w:val="clear" w:color="auto" w:fill="FFFFFF" w:themeFill="background1"/>
            <w:vAlign w:val="center"/>
          </w:tcPr>
          <w:p w14:paraId="1C98B54C" w14:textId="56FE039D" w:rsidR="00895717" w:rsidRPr="00CA6E28" w:rsidRDefault="00895717" w:rsidP="00895717">
            <w:pPr>
              <w:pStyle w:val="ColorfulList-Accent11"/>
              <w:tabs>
                <w:tab w:val="left" w:pos="0"/>
                <w:tab w:val="left" w:pos="284"/>
              </w:tabs>
              <w:ind w:left="0" w:right="-90"/>
              <w:jc w:val="center"/>
              <w:rPr>
                <w:rFonts w:ascii="Arial" w:hAnsi="Arial" w:cs="Arial"/>
                <w:sz w:val="18"/>
                <w:szCs w:val="18"/>
              </w:rPr>
            </w:pPr>
            <w:r w:rsidRPr="00CA6E28">
              <w:rPr>
                <w:rFonts w:ascii="Arial" w:hAnsi="Arial" w:cs="Arial"/>
                <w:sz w:val="18"/>
                <w:szCs w:val="18"/>
              </w:rPr>
              <w:t>0</w:t>
            </w:r>
            <w:r w:rsidR="003B452A" w:rsidRPr="00CA6E28">
              <w:rPr>
                <w:rFonts w:ascii="Arial" w:hAnsi="Arial" w:cs="Arial"/>
                <w:sz w:val="18"/>
                <w:szCs w:val="18"/>
              </w:rPr>
              <w:t>,</w:t>
            </w:r>
            <w:r w:rsidRPr="00CA6E28">
              <w:rPr>
                <w:rFonts w:ascii="Arial" w:hAnsi="Arial" w:cs="Arial"/>
                <w:sz w:val="18"/>
                <w:szCs w:val="18"/>
              </w:rPr>
              <w:t>6</w:t>
            </w:r>
          </w:p>
        </w:tc>
        <w:tc>
          <w:tcPr>
            <w:tcW w:w="1183" w:type="dxa"/>
            <w:shd w:val="clear" w:color="auto" w:fill="FFFFFF" w:themeFill="background1"/>
            <w:vAlign w:val="center"/>
          </w:tcPr>
          <w:p w14:paraId="296FEABE" w14:textId="7B95E126" w:rsidR="00895717" w:rsidRPr="00CA6E28" w:rsidRDefault="00895717" w:rsidP="00895717">
            <w:pPr>
              <w:pStyle w:val="ColorfulList-Accent11"/>
              <w:tabs>
                <w:tab w:val="left" w:pos="0"/>
                <w:tab w:val="left" w:pos="284"/>
              </w:tabs>
              <w:ind w:left="0" w:right="-90"/>
              <w:jc w:val="center"/>
              <w:rPr>
                <w:rFonts w:ascii="Arial" w:hAnsi="Arial" w:cs="Arial"/>
                <w:sz w:val="18"/>
                <w:szCs w:val="18"/>
              </w:rPr>
            </w:pPr>
            <w:r w:rsidRPr="00CA6E28">
              <w:rPr>
                <w:rFonts w:ascii="Arial" w:hAnsi="Arial" w:cs="Arial"/>
                <w:sz w:val="18"/>
                <w:szCs w:val="18"/>
              </w:rPr>
              <w:t>-83</w:t>
            </w:r>
            <w:r w:rsidR="003B452A" w:rsidRPr="00CA6E28">
              <w:rPr>
                <w:rFonts w:ascii="Arial" w:hAnsi="Arial" w:cs="Arial"/>
                <w:sz w:val="18"/>
                <w:szCs w:val="18"/>
              </w:rPr>
              <w:t>,</w:t>
            </w:r>
            <w:r w:rsidRPr="00CA6E28">
              <w:rPr>
                <w:rFonts w:ascii="Arial" w:hAnsi="Arial" w:cs="Arial"/>
                <w:sz w:val="18"/>
                <w:szCs w:val="18"/>
              </w:rPr>
              <w:t>3%</w:t>
            </w:r>
          </w:p>
        </w:tc>
      </w:tr>
      <w:tr w:rsidR="00895717" w:rsidRPr="00CA6E28" w14:paraId="7243C9CB" w14:textId="77777777" w:rsidTr="00AA2930">
        <w:trPr>
          <w:trHeight w:val="252"/>
        </w:trPr>
        <w:tc>
          <w:tcPr>
            <w:tcW w:w="3495" w:type="dxa"/>
            <w:tcBorders>
              <w:right w:val="single" w:sz="2" w:space="0" w:color="808080" w:themeColor="background1" w:themeShade="80"/>
            </w:tcBorders>
            <w:shd w:val="clear" w:color="auto" w:fill="FFFFFF" w:themeFill="background1"/>
            <w:vAlign w:val="center"/>
          </w:tcPr>
          <w:p w14:paraId="0D33D1D9" w14:textId="7A6641C6" w:rsidR="00895717" w:rsidRPr="00CA6E28" w:rsidRDefault="00895717" w:rsidP="00895717">
            <w:pPr>
              <w:pStyle w:val="ColorfulList-Accent11"/>
              <w:tabs>
                <w:tab w:val="left" w:pos="0"/>
                <w:tab w:val="left" w:pos="284"/>
              </w:tabs>
              <w:ind w:left="0" w:right="-90"/>
              <w:rPr>
                <w:rFonts w:ascii="Arial" w:hAnsi="Arial" w:cs="Arial"/>
                <w:sz w:val="18"/>
                <w:szCs w:val="18"/>
                <w:lang w:val="el-GR"/>
              </w:rPr>
            </w:pPr>
            <w:r w:rsidRPr="00CA6E28">
              <w:rPr>
                <w:rFonts w:ascii="Arial" w:hAnsi="Arial" w:cs="Arial"/>
                <w:sz w:val="18"/>
                <w:szCs w:val="18"/>
                <w:lang w:val="el-GR"/>
              </w:rPr>
              <w:t xml:space="preserve">Κέρδη/(Ζημιές) από συμμετοχές και λοιπά </w:t>
            </w:r>
            <w:proofErr w:type="spellStart"/>
            <w:r w:rsidRPr="00CA6E28">
              <w:rPr>
                <w:rFonts w:ascii="Arial" w:hAnsi="Arial" w:cs="Arial"/>
                <w:sz w:val="18"/>
                <w:szCs w:val="18"/>
                <w:lang w:val="el-GR"/>
              </w:rPr>
              <w:t>χρημ</w:t>
            </w:r>
            <w:proofErr w:type="spellEnd"/>
            <w:r w:rsidR="00CA6E28">
              <w:rPr>
                <w:rFonts w:ascii="Arial" w:hAnsi="Arial" w:cs="Arial"/>
                <w:sz w:val="18"/>
                <w:szCs w:val="18"/>
                <w:lang w:val="el-GR"/>
              </w:rPr>
              <w:t>/κα</w:t>
            </w:r>
            <w:r w:rsidRPr="00CA6E28">
              <w:rPr>
                <w:rFonts w:ascii="Arial" w:hAnsi="Arial" w:cs="Arial"/>
                <w:sz w:val="18"/>
                <w:szCs w:val="18"/>
                <w:lang w:val="el-GR"/>
              </w:rPr>
              <w:t xml:space="preserve"> περιουσιακά στοιχεία - </w:t>
            </w:r>
            <w:proofErr w:type="spellStart"/>
            <w:r w:rsidRPr="00CA6E28">
              <w:rPr>
                <w:rFonts w:ascii="Arial" w:hAnsi="Arial" w:cs="Arial"/>
                <w:sz w:val="18"/>
                <w:szCs w:val="18"/>
                <w:lang w:val="el-GR"/>
              </w:rPr>
              <w:t>Απομειώσεις</w:t>
            </w:r>
            <w:proofErr w:type="spellEnd"/>
          </w:p>
        </w:tc>
        <w:tc>
          <w:tcPr>
            <w:tcW w:w="1072" w:type="dxa"/>
            <w:tcBorders>
              <w:left w:val="single" w:sz="2" w:space="0" w:color="808080" w:themeColor="background1" w:themeShade="80"/>
            </w:tcBorders>
            <w:shd w:val="clear" w:color="auto" w:fill="FFFFFF" w:themeFill="background1"/>
            <w:vAlign w:val="center"/>
          </w:tcPr>
          <w:p w14:paraId="5D89A684" w14:textId="69DD8B34" w:rsidR="00895717" w:rsidRPr="00CA6E28" w:rsidRDefault="00895717" w:rsidP="00895717">
            <w:pPr>
              <w:pStyle w:val="ColorfulList-Accent11"/>
              <w:tabs>
                <w:tab w:val="left" w:pos="0"/>
                <w:tab w:val="left" w:pos="284"/>
              </w:tabs>
              <w:ind w:left="0" w:right="-90"/>
              <w:jc w:val="center"/>
              <w:rPr>
                <w:rFonts w:ascii="Arial" w:hAnsi="Arial" w:cs="Arial"/>
                <w:b/>
                <w:color w:val="FF0000"/>
                <w:sz w:val="18"/>
                <w:szCs w:val="18"/>
                <w:lang w:val="el-GR"/>
              </w:rPr>
            </w:pPr>
            <w:r w:rsidRPr="00CA6E28">
              <w:rPr>
                <w:rFonts w:ascii="Arial" w:hAnsi="Arial" w:cs="Arial"/>
                <w:sz w:val="18"/>
                <w:szCs w:val="18"/>
              </w:rPr>
              <w:t>0</w:t>
            </w:r>
            <w:r w:rsidR="003B452A" w:rsidRPr="00CA6E28">
              <w:rPr>
                <w:rFonts w:ascii="Arial" w:hAnsi="Arial" w:cs="Arial"/>
                <w:sz w:val="18"/>
                <w:szCs w:val="18"/>
              </w:rPr>
              <w:t>,</w:t>
            </w:r>
            <w:r w:rsidRPr="00CA6E28">
              <w:rPr>
                <w:rFonts w:ascii="Arial" w:hAnsi="Arial" w:cs="Arial"/>
                <w:sz w:val="18"/>
                <w:szCs w:val="18"/>
              </w:rPr>
              <w:t>1</w:t>
            </w:r>
          </w:p>
        </w:tc>
        <w:tc>
          <w:tcPr>
            <w:tcW w:w="1103" w:type="dxa"/>
            <w:shd w:val="clear" w:color="auto" w:fill="FFFFFF" w:themeFill="background1"/>
            <w:vAlign w:val="center"/>
          </w:tcPr>
          <w:p w14:paraId="04C60D8B" w14:textId="73323CAE" w:rsidR="00895717" w:rsidRPr="00CA6E28" w:rsidRDefault="00895717" w:rsidP="00895717">
            <w:pPr>
              <w:pStyle w:val="ColorfulList-Accent11"/>
              <w:tabs>
                <w:tab w:val="left" w:pos="0"/>
                <w:tab w:val="left" w:pos="284"/>
              </w:tabs>
              <w:ind w:left="0" w:right="-90"/>
              <w:jc w:val="center"/>
              <w:rPr>
                <w:rFonts w:ascii="Arial" w:hAnsi="Arial" w:cs="Arial"/>
                <w:b/>
                <w:color w:val="FF0000"/>
                <w:sz w:val="18"/>
                <w:szCs w:val="18"/>
              </w:rPr>
            </w:pPr>
            <w:r w:rsidRPr="00CA6E28">
              <w:rPr>
                <w:rFonts w:ascii="Arial" w:hAnsi="Arial" w:cs="Arial"/>
                <w:sz w:val="18"/>
                <w:szCs w:val="18"/>
              </w:rPr>
              <w:t>29</w:t>
            </w:r>
            <w:r w:rsidR="003B452A" w:rsidRPr="00CA6E28">
              <w:rPr>
                <w:rFonts w:ascii="Arial" w:hAnsi="Arial" w:cs="Arial"/>
                <w:sz w:val="18"/>
                <w:szCs w:val="18"/>
              </w:rPr>
              <w:t>,</w:t>
            </w:r>
            <w:r w:rsidRPr="00CA6E28">
              <w:rPr>
                <w:rFonts w:ascii="Arial" w:hAnsi="Arial" w:cs="Arial"/>
                <w:sz w:val="18"/>
                <w:szCs w:val="18"/>
              </w:rPr>
              <w:t>1</w:t>
            </w:r>
          </w:p>
        </w:tc>
        <w:tc>
          <w:tcPr>
            <w:tcW w:w="1183" w:type="dxa"/>
            <w:tcBorders>
              <w:right w:val="single" w:sz="2" w:space="0" w:color="808080" w:themeColor="background1" w:themeShade="80"/>
            </w:tcBorders>
            <w:shd w:val="clear" w:color="auto" w:fill="FFFFFF" w:themeFill="background1"/>
            <w:vAlign w:val="center"/>
          </w:tcPr>
          <w:p w14:paraId="3D023D13" w14:textId="2896D885" w:rsidR="00895717" w:rsidRPr="00CA6E28" w:rsidRDefault="00895717" w:rsidP="00895717">
            <w:pPr>
              <w:pStyle w:val="ColorfulList-Accent11"/>
              <w:tabs>
                <w:tab w:val="left" w:pos="0"/>
                <w:tab w:val="left" w:pos="284"/>
              </w:tabs>
              <w:ind w:left="0" w:right="-90"/>
              <w:jc w:val="center"/>
              <w:rPr>
                <w:rFonts w:ascii="Arial" w:hAnsi="Arial" w:cs="Arial"/>
                <w:color w:val="FF0000"/>
                <w:sz w:val="18"/>
                <w:szCs w:val="18"/>
              </w:rPr>
            </w:pPr>
            <w:r w:rsidRPr="00CA6E28">
              <w:rPr>
                <w:rFonts w:ascii="Arial" w:hAnsi="Arial" w:cs="Arial"/>
                <w:sz w:val="18"/>
                <w:szCs w:val="18"/>
              </w:rPr>
              <w:t>-99</w:t>
            </w:r>
            <w:r w:rsidR="003B452A" w:rsidRPr="00CA6E28">
              <w:rPr>
                <w:rFonts w:ascii="Arial" w:hAnsi="Arial" w:cs="Arial"/>
                <w:sz w:val="18"/>
                <w:szCs w:val="18"/>
              </w:rPr>
              <w:t>,</w:t>
            </w:r>
            <w:r w:rsidRPr="00CA6E28">
              <w:rPr>
                <w:rFonts w:ascii="Arial" w:hAnsi="Arial" w:cs="Arial"/>
                <w:sz w:val="18"/>
                <w:szCs w:val="18"/>
              </w:rPr>
              <w:t>7%</w:t>
            </w:r>
          </w:p>
        </w:tc>
        <w:tc>
          <w:tcPr>
            <w:tcW w:w="1183" w:type="dxa"/>
            <w:tcBorders>
              <w:left w:val="single" w:sz="2" w:space="0" w:color="808080" w:themeColor="background1" w:themeShade="80"/>
            </w:tcBorders>
            <w:shd w:val="clear" w:color="auto" w:fill="FFFFFF" w:themeFill="background1"/>
            <w:vAlign w:val="center"/>
          </w:tcPr>
          <w:p w14:paraId="19EDE8DB" w14:textId="694EC38A" w:rsidR="00895717" w:rsidRPr="00CA6E28" w:rsidRDefault="00895717" w:rsidP="00895717">
            <w:pPr>
              <w:pStyle w:val="ColorfulList-Accent11"/>
              <w:tabs>
                <w:tab w:val="left" w:pos="0"/>
                <w:tab w:val="left" w:pos="284"/>
              </w:tabs>
              <w:ind w:left="0" w:right="-90"/>
              <w:jc w:val="center"/>
              <w:rPr>
                <w:rFonts w:ascii="Arial" w:hAnsi="Arial" w:cs="Arial"/>
                <w:sz w:val="18"/>
                <w:szCs w:val="18"/>
              </w:rPr>
            </w:pPr>
            <w:r w:rsidRPr="00CA6E28">
              <w:rPr>
                <w:rFonts w:ascii="Arial" w:hAnsi="Arial" w:cs="Arial"/>
                <w:sz w:val="18"/>
                <w:szCs w:val="18"/>
              </w:rPr>
              <w:t>0</w:t>
            </w:r>
            <w:r w:rsidR="003B452A" w:rsidRPr="00CA6E28">
              <w:rPr>
                <w:rFonts w:ascii="Arial" w:hAnsi="Arial" w:cs="Arial"/>
                <w:sz w:val="18"/>
                <w:szCs w:val="18"/>
              </w:rPr>
              <w:t>,</w:t>
            </w:r>
            <w:r w:rsidRPr="00CA6E28">
              <w:rPr>
                <w:rFonts w:ascii="Arial" w:hAnsi="Arial" w:cs="Arial"/>
                <w:sz w:val="18"/>
                <w:szCs w:val="18"/>
              </w:rPr>
              <w:t>5</w:t>
            </w:r>
          </w:p>
        </w:tc>
        <w:tc>
          <w:tcPr>
            <w:tcW w:w="1183" w:type="dxa"/>
            <w:shd w:val="clear" w:color="auto" w:fill="FFFFFF" w:themeFill="background1"/>
            <w:vAlign w:val="center"/>
          </w:tcPr>
          <w:p w14:paraId="570AE310" w14:textId="0DB0675E" w:rsidR="00895717" w:rsidRPr="00CA6E28" w:rsidRDefault="00895717" w:rsidP="00895717">
            <w:pPr>
              <w:pStyle w:val="ColorfulList-Accent11"/>
              <w:tabs>
                <w:tab w:val="left" w:pos="0"/>
                <w:tab w:val="left" w:pos="284"/>
              </w:tabs>
              <w:ind w:left="0" w:right="-90"/>
              <w:jc w:val="center"/>
              <w:rPr>
                <w:rFonts w:ascii="Arial" w:hAnsi="Arial" w:cs="Arial"/>
                <w:sz w:val="18"/>
                <w:szCs w:val="18"/>
              </w:rPr>
            </w:pPr>
            <w:r w:rsidRPr="00CA6E28">
              <w:rPr>
                <w:rFonts w:ascii="Arial" w:hAnsi="Arial" w:cs="Arial"/>
                <w:sz w:val="18"/>
                <w:szCs w:val="18"/>
              </w:rPr>
              <w:t>29</w:t>
            </w:r>
            <w:r w:rsidR="003B452A" w:rsidRPr="00CA6E28">
              <w:rPr>
                <w:rFonts w:ascii="Arial" w:hAnsi="Arial" w:cs="Arial"/>
                <w:sz w:val="18"/>
                <w:szCs w:val="18"/>
              </w:rPr>
              <w:t>,</w:t>
            </w:r>
            <w:r w:rsidRPr="00CA6E28">
              <w:rPr>
                <w:rFonts w:ascii="Arial" w:hAnsi="Arial" w:cs="Arial"/>
                <w:sz w:val="18"/>
                <w:szCs w:val="18"/>
              </w:rPr>
              <w:t>4</w:t>
            </w:r>
          </w:p>
        </w:tc>
        <w:tc>
          <w:tcPr>
            <w:tcW w:w="1183" w:type="dxa"/>
            <w:shd w:val="clear" w:color="auto" w:fill="FFFFFF" w:themeFill="background1"/>
            <w:vAlign w:val="center"/>
          </w:tcPr>
          <w:p w14:paraId="57B5BDEB" w14:textId="688D83EB" w:rsidR="00895717" w:rsidRPr="00CA6E28" w:rsidRDefault="00895717" w:rsidP="00895717">
            <w:pPr>
              <w:pStyle w:val="ColorfulList-Accent11"/>
              <w:tabs>
                <w:tab w:val="left" w:pos="0"/>
                <w:tab w:val="left" w:pos="284"/>
              </w:tabs>
              <w:ind w:left="0" w:right="-90"/>
              <w:jc w:val="center"/>
              <w:rPr>
                <w:rFonts w:ascii="Arial" w:hAnsi="Arial" w:cs="Arial"/>
                <w:sz w:val="18"/>
                <w:szCs w:val="18"/>
              </w:rPr>
            </w:pPr>
            <w:r w:rsidRPr="00CA6E28">
              <w:rPr>
                <w:rFonts w:ascii="Arial" w:hAnsi="Arial" w:cs="Arial"/>
                <w:sz w:val="18"/>
                <w:szCs w:val="18"/>
              </w:rPr>
              <w:t>-98</w:t>
            </w:r>
            <w:r w:rsidR="003B452A" w:rsidRPr="00CA6E28">
              <w:rPr>
                <w:rFonts w:ascii="Arial" w:hAnsi="Arial" w:cs="Arial"/>
                <w:sz w:val="18"/>
                <w:szCs w:val="18"/>
              </w:rPr>
              <w:t>,</w:t>
            </w:r>
            <w:r w:rsidRPr="00CA6E28">
              <w:rPr>
                <w:rFonts w:ascii="Arial" w:hAnsi="Arial" w:cs="Arial"/>
                <w:sz w:val="18"/>
                <w:szCs w:val="18"/>
              </w:rPr>
              <w:t>3%</w:t>
            </w:r>
          </w:p>
        </w:tc>
      </w:tr>
      <w:tr w:rsidR="00895717" w:rsidRPr="00CA6E28" w14:paraId="782ABDA4" w14:textId="77777777" w:rsidTr="00AA2930">
        <w:trPr>
          <w:trHeight w:val="522"/>
        </w:trPr>
        <w:tc>
          <w:tcPr>
            <w:tcW w:w="3495" w:type="dxa"/>
            <w:tcBorders>
              <w:bottom w:val="single" w:sz="2" w:space="0" w:color="808080" w:themeColor="background1" w:themeShade="80"/>
              <w:right w:val="single" w:sz="2" w:space="0" w:color="808080" w:themeColor="background1" w:themeShade="80"/>
            </w:tcBorders>
            <w:shd w:val="clear" w:color="auto" w:fill="D9D9D9" w:themeFill="background1" w:themeFillShade="D9"/>
            <w:vAlign w:val="center"/>
          </w:tcPr>
          <w:p w14:paraId="102EE60E" w14:textId="0C8B58BC" w:rsidR="00895717" w:rsidRPr="00CA6E28" w:rsidRDefault="00895717" w:rsidP="00895717">
            <w:pPr>
              <w:pStyle w:val="ColorfulList-Accent11"/>
              <w:tabs>
                <w:tab w:val="left" w:pos="0"/>
                <w:tab w:val="left" w:pos="284"/>
              </w:tabs>
              <w:ind w:left="0" w:right="-90"/>
              <w:rPr>
                <w:rFonts w:ascii="Arial" w:hAnsi="Arial" w:cs="Arial"/>
                <w:sz w:val="18"/>
                <w:szCs w:val="18"/>
                <w:lang w:val="el-GR"/>
              </w:rPr>
            </w:pPr>
            <w:r w:rsidRPr="00CA6E28">
              <w:rPr>
                <w:rFonts w:ascii="Arial" w:hAnsi="Arial" w:cs="Arial"/>
                <w:b/>
                <w:sz w:val="18"/>
                <w:szCs w:val="18"/>
                <w:lang w:val="el-GR"/>
              </w:rPr>
              <w:t xml:space="preserve">Συνολικά κέρδη/(ζημιές) από </w:t>
            </w:r>
            <w:proofErr w:type="spellStart"/>
            <w:r w:rsidRPr="00CA6E28">
              <w:rPr>
                <w:rFonts w:ascii="Arial" w:hAnsi="Arial" w:cs="Arial"/>
                <w:b/>
                <w:sz w:val="18"/>
                <w:szCs w:val="18"/>
                <w:lang w:val="el-GR"/>
              </w:rPr>
              <w:t>χρημ</w:t>
            </w:r>
            <w:proofErr w:type="spellEnd"/>
            <w:r w:rsidR="00CA6E28">
              <w:rPr>
                <w:rFonts w:ascii="Arial" w:hAnsi="Arial" w:cs="Arial"/>
                <w:b/>
                <w:sz w:val="18"/>
                <w:szCs w:val="18"/>
                <w:lang w:val="el-GR"/>
              </w:rPr>
              <w:t>/</w:t>
            </w:r>
            <w:proofErr w:type="spellStart"/>
            <w:r w:rsidR="00CA6E28">
              <w:rPr>
                <w:rFonts w:ascii="Arial" w:hAnsi="Arial" w:cs="Arial"/>
                <w:b/>
                <w:sz w:val="18"/>
                <w:szCs w:val="18"/>
                <w:lang w:val="el-GR"/>
              </w:rPr>
              <w:t>κες</w:t>
            </w:r>
            <w:proofErr w:type="spellEnd"/>
            <w:r w:rsidRPr="00CA6E28">
              <w:rPr>
                <w:rFonts w:ascii="Arial" w:hAnsi="Arial" w:cs="Arial"/>
                <w:b/>
                <w:sz w:val="18"/>
                <w:szCs w:val="18"/>
                <w:lang w:val="el-GR"/>
              </w:rPr>
              <w:t xml:space="preserve"> και επενδυτικές δραστηριότητες</w:t>
            </w:r>
          </w:p>
        </w:tc>
        <w:tc>
          <w:tcPr>
            <w:tcW w:w="1072" w:type="dxa"/>
            <w:tcBorders>
              <w:left w:val="single" w:sz="2" w:space="0" w:color="808080" w:themeColor="background1" w:themeShade="80"/>
              <w:bottom w:val="single" w:sz="2" w:space="0" w:color="808080" w:themeColor="background1" w:themeShade="80"/>
            </w:tcBorders>
            <w:shd w:val="clear" w:color="auto" w:fill="D9D9D9" w:themeFill="background1" w:themeFillShade="D9"/>
            <w:vAlign w:val="center"/>
          </w:tcPr>
          <w:p w14:paraId="22FBA8AF" w14:textId="70C0994A" w:rsidR="00895717" w:rsidRPr="00CA6E28" w:rsidRDefault="00895717" w:rsidP="00895717">
            <w:pPr>
              <w:pStyle w:val="ColorfulList-Accent11"/>
              <w:tabs>
                <w:tab w:val="left" w:pos="0"/>
                <w:tab w:val="left" w:pos="284"/>
              </w:tabs>
              <w:ind w:left="0" w:right="-90"/>
              <w:jc w:val="center"/>
              <w:rPr>
                <w:rFonts w:ascii="Arial" w:hAnsi="Arial" w:cs="Arial"/>
                <w:b/>
                <w:color w:val="FF0000"/>
                <w:sz w:val="18"/>
                <w:szCs w:val="18"/>
                <w:lang w:val="el-GR"/>
              </w:rPr>
            </w:pPr>
            <w:r w:rsidRPr="00CA6E28">
              <w:rPr>
                <w:rFonts w:ascii="Arial" w:hAnsi="Arial" w:cs="Arial"/>
                <w:b/>
                <w:bCs/>
                <w:sz w:val="18"/>
                <w:szCs w:val="18"/>
              </w:rPr>
              <w:t>(4</w:t>
            </w:r>
            <w:r w:rsidR="003B452A" w:rsidRPr="00CA6E28">
              <w:rPr>
                <w:rFonts w:ascii="Arial" w:hAnsi="Arial" w:cs="Arial"/>
                <w:b/>
                <w:bCs/>
                <w:sz w:val="18"/>
                <w:szCs w:val="18"/>
              </w:rPr>
              <w:t>,</w:t>
            </w:r>
            <w:r w:rsidRPr="00CA6E28">
              <w:rPr>
                <w:rFonts w:ascii="Arial" w:hAnsi="Arial" w:cs="Arial"/>
                <w:b/>
                <w:bCs/>
                <w:sz w:val="18"/>
                <w:szCs w:val="18"/>
              </w:rPr>
              <w:t>7)</w:t>
            </w:r>
          </w:p>
        </w:tc>
        <w:tc>
          <w:tcPr>
            <w:tcW w:w="1103" w:type="dxa"/>
            <w:tcBorders>
              <w:bottom w:val="single" w:sz="2" w:space="0" w:color="808080" w:themeColor="background1" w:themeShade="80"/>
            </w:tcBorders>
            <w:shd w:val="clear" w:color="auto" w:fill="D9D9D9" w:themeFill="background1" w:themeFillShade="D9"/>
            <w:vAlign w:val="center"/>
          </w:tcPr>
          <w:p w14:paraId="2B82F893" w14:textId="437A39A5" w:rsidR="00895717" w:rsidRPr="00CA6E28" w:rsidRDefault="00895717" w:rsidP="00895717">
            <w:pPr>
              <w:pStyle w:val="ColorfulList-Accent11"/>
              <w:tabs>
                <w:tab w:val="left" w:pos="0"/>
                <w:tab w:val="left" w:pos="284"/>
              </w:tabs>
              <w:ind w:left="0" w:right="-90"/>
              <w:jc w:val="center"/>
              <w:rPr>
                <w:rFonts w:ascii="Arial" w:hAnsi="Arial" w:cs="Arial"/>
                <w:b/>
                <w:color w:val="FF0000"/>
                <w:sz w:val="18"/>
                <w:szCs w:val="18"/>
                <w:lang w:val="el-GR"/>
              </w:rPr>
            </w:pPr>
            <w:r w:rsidRPr="00CA6E28">
              <w:rPr>
                <w:rFonts w:ascii="Arial" w:hAnsi="Arial" w:cs="Arial"/>
                <w:b/>
                <w:bCs/>
                <w:sz w:val="18"/>
                <w:szCs w:val="18"/>
              </w:rPr>
              <w:t>23</w:t>
            </w:r>
            <w:r w:rsidR="003B452A" w:rsidRPr="00CA6E28">
              <w:rPr>
                <w:rFonts w:ascii="Arial" w:hAnsi="Arial" w:cs="Arial"/>
                <w:b/>
                <w:bCs/>
                <w:sz w:val="18"/>
                <w:szCs w:val="18"/>
              </w:rPr>
              <w:t>,</w:t>
            </w:r>
            <w:r w:rsidRPr="00CA6E28">
              <w:rPr>
                <w:rFonts w:ascii="Arial" w:hAnsi="Arial" w:cs="Arial"/>
                <w:b/>
                <w:bCs/>
                <w:sz w:val="18"/>
                <w:szCs w:val="18"/>
              </w:rPr>
              <w:t>0</w:t>
            </w:r>
          </w:p>
        </w:tc>
        <w:tc>
          <w:tcPr>
            <w:tcW w:w="1183" w:type="dxa"/>
            <w:tcBorders>
              <w:bottom w:val="single" w:sz="2" w:space="0" w:color="808080" w:themeColor="background1" w:themeShade="80"/>
              <w:right w:val="single" w:sz="2" w:space="0" w:color="808080" w:themeColor="background1" w:themeShade="80"/>
            </w:tcBorders>
            <w:shd w:val="clear" w:color="auto" w:fill="D9D9D9" w:themeFill="background1" w:themeFillShade="D9"/>
            <w:vAlign w:val="center"/>
          </w:tcPr>
          <w:p w14:paraId="5A86DF51" w14:textId="4EF95544" w:rsidR="00895717" w:rsidRPr="00CA6E28" w:rsidRDefault="00895717" w:rsidP="00895717">
            <w:pPr>
              <w:pStyle w:val="ColorfulList-Accent11"/>
              <w:tabs>
                <w:tab w:val="left" w:pos="0"/>
                <w:tab w:val="left" w:pos="284"/>
              </w:tabs>
              <w:ind w:left="0" w:right="-90"/>
              <w:jc w:val="center"/>
              <w:rPr>
                <w:rFonts w:ascii="Arial" w:hAnsi="Arial" w:cs="Arial"/>
                <w:b/>
                <w:color w:val="FF0000"/>
                <w:sz w:val="18"/>
                <w:szCs w:val="18"/>
                <w:lang w:val="el-GR"/>
              </w:rPr>
            </w:pPr>
            <w:r w:rsidRPr="00CA6E28">
              <w:rPr>
                <w:rFonts w:ascii="Arial" w:hAnsi="Arial" w:cs="Arial"/>
                <w:b/>
                <w:bCs/>
                <w:sz w:val="18"/>
                <w:szCs w:val="18"/>
              </w:rPr>
              <w:t>-120</w:t>
            </w:r>
            <w:r w:rsidR="003B452A" w:rsidRPr="00CA6E28">
              <w:rPr>
                <w:rFonts w:ascii="Arial" w:hAnsi="Arial" w:cs="Arial"/>
                <w:b/>
                <w:bCs/>
                <w:sz w:val="18"/>
                <w:szCs w:val="18"/>
              </w:rPr>
              <w:t>,</w:t>
            </w:r>
            <w:r w:rsidRPr="00CA6E28">
              <w:rPr>
                <w:rFonts w:ascii="Arial" w:hAnsi="Arial" w:cs="Arial"/>
                <w:b/>
                <w:bCs/>
                <w:sz w:val="18"/>
                <w:szCs w:val="18"/>
              </w:rPr>
              <w:t>4%</w:t>
            </w:r>
          </w:p>
        </w:tc>
        <w:tc>
          <w:tcPr>
            <w:tcW w:w="1183" w:type="dxa"/>
            <w:tcBorders>
              <w:left w:val="single" w:sz="2" w:space="0" w:color="808080" w:themeColor="background1" w:themeShade="80"/>
              <w:bottom w:val="single" w:sz="2" w:space="0" w:color="808080" w:themeColor="background1" w:themeShade="80"/>
            </w:tcBorders>
            <w:shd w:val="clear" w:color="auto" w:fill="D9D9D9" w:themeFill="background1" w:themeFillShade="D9"/>
            <w:vAlign w:val="center"/>
          </w:tcPr>
          <w:p w14:paraId="0331FDF2" w14:textId="6080AE25" w:rsidR="00895717" w:rsidRPr="00CA6E28" w:rsidRDefault="00895717" w:rsidP="00895717">
            <w:pPr>
              <w:pStyle w:val="ColorfulList-Accent11"/>
              <w:tabs>
                <w:tab w:val="left" w:pos="0"/>
                <w:tab w:val="left" w:pos="284"/>
              </w:tabs>
              <w:ind w:left="0" w:right="-90"/>
              <w:jc w:val="center"/>
              <w:rPr>
                <w:rFonts w:ascii="Arial" w:hAnsi="Arial" w:cs="Arial"/>
                <w:sz w:val="18"/>
                <w:szCs w:val="18"/>
                <w:lang w:val="el-GR"/>
              </w:rPr>
            </w:pPr>
            <w:r w:rsidRPr="00CA6E28">
              <w:rPr>
                <w:rFonts w:ascii="Arial" w:hAnsi="Arial" w:cs="Arial"/>
                <w:b/>
                <w:bCs/>
                <w:sz w:val="18"/>
                <w:szCs w:val="18"/>
              </w:rPr>
              <w:t>(11</w:t>
            </w:r>
            <w:r w:rsidR="003B452A" w:rsidRPr="00CA6E28">
              <w:rPr>
                <w:rFonts w:ascii="Arial" w:hAnsi="Arial" w:cs="Arial"/>
                <w:b/>
                <w:bCs/>
                <w:sz w:val="18"/>
                <w:szCs w:val="18"/>
              </w:rPr>
              <w:t>,</w:t>
            </w:r>
            <w:r w:rsidRPr="00CA6E28">
              <w:rPr>
                <w:rFonts w:ascii="Arial" w:hAnsi="Arial" w:cs="Arial"/>
                <w:b/>
                <w:bCs/>
                <w:sz w:val="18"/>
                <w:szCs w:val="18"/>
              </w:rPr>
              <w:t>4)</w:t>
            </w:r>
          </w:p>
        </w:tc>
        <w:tc>
          <w:tcPr>
            <w:tcW w:w="1183" w:type="dxa"/>
            <w:tcBorders>
              <w:bottom w:val="single" w:sz="2" w:space="0" w:color="808080" w:themeColor="background1" w:themeShade="80"/>
            </w:tcBorders>
            <w:shd w:val="clear" w:color="auto" w:fill="D9D9D9" w:themeFill="background1" w:themeFillShade="D9"/>
            <w:vAlign w:val="center"/>
          </w:tcPr>
          <w:p w14:paraId="2FE7E663" w14:textId="43024722" w:rsidR="00895717" w:rsidRPr="00CA6E28" w:rsidRDefault="00895717" w:rsidP="00895717">
            <w:pPr>
              <w:pStyle w:val="ColorfulList-Accent11"/>
              <w:tabs>
                <w:tab w:val="left" w:pos="0"/>
                <w:tab w:val="left" w:pos="284"/>
              </w:tabs>
              <w:ind w:left="0" w:right="-90"/>
              <w:jc w:val="center"/>
              <w:rPr>
                <w:rFonts w:ascii="Arial" w:hAnsi="Arial" w:cs="Arial"/>
                <w:sz w:val="18"/>
                <w:szCs w:val="18"/>
                <w:lang w:val="el-GR"/>
              </w:rPr>
            </w:pPr>
            <w:r w:rsidRPr="00CA6E28">
              <w:rPr>
                <w:rFonts w:ascii="Arial" w:hAnsi="Arial" w:cs="Arial"/>
                <w:b/>
                <w:bCs/>
                <w:sz w:val="18"/>
                <w:szCs w:val="18"/>
              </w:rPr>
              <w:t>17</w:t>
            </w:r>
            <w:r w:rsidR="003B452A" w:rsidRPr="00CA6E28">
              <w:rPr>
                <w:rFonts w:ascii="Arial" w:hAnsi="Arial" w:cs="Arial"/>
                <w:b/>
                <w:bCs/>
                <w:sz w:val="18"/>
                <w:szCs w:val="18"/>
              </w:rPr>
              <w:t>,</w:t>
            </w:r>
            <w:r w:rsidRPr="00CA6E28">
              <w:rPr>
                <w:rFonts w:ascii="Arial" w:hAnsi="Arial" w:cs="Arial"/>
                <w:b/>
                <w:bCs/>
                <w:sz w:val="18"/>
                <w:szCs w:val="18"/>
              </w:rPr>
              <w:t>5</w:t>
            </w:r>
          </w:p>
        </w:tc>
        <w:tc>
          <w:tcPr>
            <w:tcW w:w="1183" w:type="dxa"/>
            <w:tcBorders>
              <w:bottom w:val="single" w:sz="2" w:space="0" w:color="808080" w:themeColor="background1" w:themeShade="80"/>
            </w:tcBorders>
            <w:shd w:val="clear" w:color="auto" w:fill="D9D9D9" w:themeFill="background1" w:themeFillShade="D9"/>
            <w:vAlign w:val="center"/>
          </w:tcPr>
          <w:p w14:paraId="6E7E23A7" w14:textId="1E6C9E09" w:rsidR="00895717" w:rsidRPr="00CA6E28" w:rsidRDefault="00895717" w:rsidP="00895717">
            <w:pPr>
              <w:pStyle w:val="ColorfulList-Accent11"/>
              <w:tabs>
                <w:tab w:val="left" w:pos="0"/>
                <w:tab w:val="left" w:pos="284"/>
              </w:tabs>
              <w:ind w:left="0" w:right="-90"/>
              <w:jc w:val="center"/>
              <w:rPr>
                <w:rFonts w:ascii="Arial" w:hAnsi="Arial" w:cs="Arial"/>
                <w:sz w:val="18"/>
                <w:szCs w:val="18"/>
                <w:lang w:val="el-GR"/>
              </w:rPr>
            </w:pPr>
            <w:r w:rsidRPr="00CA6E28">
              <w:rPr>
                <w:rFonts w:ascii="Arial" w:hAnsi="Arial" w:cs="Arial"/>
                <w:b/>
                <w:bCs/>
                <w:sz w:val="18"/>
                <w:szCs w:val="18"/>
              </w:rPr>
              <w:t>-165</w:t>
            </w:r>
            <w:r w:rsidR="003B452A" w:rsidRPr="00CA6E28">
              <w:rPr>
                <w:rFonts w:ascii="Arial" w:hAnsi="Arial" w:cs="Arial"/>
                <w:b/>
                <w:bCs/>
                <w:sz w:val="18"/>
                <w:szCs w:val="18"/>
              </w:rPr>
              <w:t>,</w:t>
            </w:r>
            <w:r w:rsidRPr="00CA6E28">
              <w:rPr>
                <w:rFonts w:ascii="Arial" w:hAnsi="Arial" w:cs="Arial"/>
                <w:b/>
                <w:bCs/>
                <w:sz w:val="18"/>
                <w:szCs w:val="18"/>
              </w:rPr>
              <w:t>1%</w:t>
            </w:r>
          </w:p>
        </w:tc>
      </w:tr>
      <w:tr w:rsidR="00895717" w:rsidRPr="00CA6E28" w14:paraId="705A1B6F" w14:textId="77777777" w:rsidTr="008D392D">
        <w:trPr>
          <w:trHeight w:val="263"/>
        </w:trPr>
        <w:tc>
          <w:tcPr>
            <w:tcW w:w="3495" w:type="dxa"/>
            <w:tcBorders>
              <w:top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D9D9D9" w:themeFill="background1" w:themeFillShade="D9"/>
            <w:vAlign w:val="center"/>
          </w:tcPr>
          <w:p w14:paraId="5229F4F0" w14:textId="3AD114B8" w:rsidR="00895717" w:rsidRPr="00CA6E28" w:rsidRDefault="00895717" w:rsidP="00895717">
            <w:pPr>
              <w:pStyle w:val="ColorfulList-Accent11"/>
              <w:tabs>
                <w:tab w:val="left" w:pos="0"/>
                <w:tab w:val="left" w:pos="284"/>
              </w:tabs>
              <w:ind w:left="0" w:right="-90"/>
              <w:rPr>
                <w:rFonts w:ascii="Arial" w:hAnsi="Arial" w:cs="Arial"/>
                <w:b/>
                <w:sz w:val="18"/>
                <w:szCs w:val="18"/>
              </w:rPr>
            </w:pPr>
            <w:proofErr w:type="spellStart"/>
            <w:r w:rsidRPr="00CA6E28">
              <w:rPr>
                <w:rFonts w:ascii="Arial" w:hAnsi="Arial" w:cs="Arial"/>
                <w:b/>
                <w:sz w:val="18"/>
                <w:szCs w:val="18"/>
              </w:rPr>
              <w:t>Κέρδη</w:t>
            </w:r>
            <w:proofErr w:type="spellEnd"/>
            <w:r w:rsidRPr="00CA6E28">
              <w:rPr>
                <w:rFonts w:ascii="Arial" w:hAnsi="Arial" w:cs="Arial"/>
                <w:b/>
                <w:sz w:val="18"/>
                <w:szCs w:val="18"/>
              </w:rPr>
              <w:t xml:space="preserve"> π</w:t>
            </w:r>
            <w:proofErr w:type="spellStart"/>
            <w:r w:rsidRPr="00CA6E28">
              <w:rPr>
                <w:rFonts w:ascii="Arial" w:hAnsi="Arial" w:cs="Arial"/>
                <w:b/>
                <w:sz w:val="18"/>
                <w:szCs w:val="18"/>
              </w:rPr>
              <w:t>ρο</w:t>
            </w:r>
            <w:proofErr w:type="spellEnd"/>
            <w:r w:rsidRPr="00CA6E28">
              <w:rPr>
                <w:rFonts w:ascii="Arial" w:hAnsi="Arial" w:cs="Arial"/>
                <w:b/>
                <w:sz w:val="18"/>
                <w:szCs w:val="18"/>
              </w:rPr>
              <w:t xml:space="preserve"> </w:t>
            </w:r>
            <w:proofErr w:type="spellStart"/>
            <w:r w:rsidRPr="00CA6E28">
              <w:rPr>
                <w:rFonts w:ascii="Arial" w:hAnsi="Arial" w:cs="Arial"/>
                <w:b/>
                <w:sz w:val="18"/>
                <w:szCs w:val="18"/>
              </w:rPr>
              <w:t>φόρων</w:t>
            </w:r>
            <w:proofErr w:type="spellEnd"/>
          </w:p>
        </w:tc>
        <w:tc>
          <w:tcPr>
            <w:tcW w:w="1072"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D9D9D9" w:themeFill="background1" w:themeFillShade="D9"/>
            <w:vAlign w:val="center"/>
          </w:tcPr>
          <w:p w14:paraId="2D66E030" w14:textId="496FB52C" w:rsidR="00895717" w:rsidRPr="00CA6E28" w:rsidRDefault="00895717" w:rsidP="00895717">
            <w:pPr>
              <w:pStyle w:val="ColorfulList-Accent11"/>
              <w:tabs>
                <w:tab w:val="left" w:pos="0"/>
                <w:tab w:val="left" w:pos="284"/>
              </w:tabs>
              <w:ind w:left="0" w:right="-90"/>
              <w:jc w:val="center"/>
              <w:rPr>
                <w:rFonts w:ascii="Arial" w:hAnsi="Arial" w:cs="Arial"/>
                <w:b/>
                <w:color w:val="FF0000"/>
                <w:sz w:val="18"/>
                <w:szCs w:val="18"/>
              </w:rPr>
            </w:pPr>
            <w:r w:rsidRPr="00CA6E28">
              <w:rPr>
                <w:rFonts w:ascii="Arial" w:hAnsi="Arial" w:cs="Arial"/>
                <w:b/>
                <w:bCs/>
                <w:sz w:val="18"/>
                <w:szCs w:val="18"/>
              </w:rPr>
              <w:t>218</w:t>
            </w:r>
            <w:r w:rsidR="003B452A" w:rsidRPr="00CA6E28">
              <w:rPr>
                <w:rFonts w:ascii="Arial" w:hAnsi="Arial" w:cs="Arial"/>
                <w:b/>
                <w:bCs/>
                <w:sz w:val="18"/>
                <w:szCs w:val="18"/>
              </w:rPr>
              <w:t>,</w:t>
            </w:r>
            <w:r w:rsidRPr="00CA6E28">
              <w:rPr>
                <w:rFonts w:ascii="Arial" w:hAnsi="Arial" w:cs="Arial"/>
                <w:b/>
                <w:bCs/>
                <w:sz w:val="18"/>
                <w:szCs w:val="18"/>
              </w:rPr>
              <w:t>8</w:t>
            </w:r>
          </w:p>
        </w:tc>
        <w:tc>
          <w:tcPr>
            <w:tcW w:w="1103" w:type="dxa"/>
            <w:tcBorders>
              <w:top w:val="single" w:sz="2" w:space="0" w:color="808080" w:themeColor="background1" w:themeShade="80"/>
              <w:bottom w:val="single" w:sz="2" w:space="0" w:color="808080" w:themeColor="background1" w:themeShade="80"/>
            </w:tcBorders>
            <w:shd w:val="clear" w:color="auto" w:fill="D9D9D9" w:themeFill="background1" w:themeFillShade="D9"/>
            <w:vAlign w:val="center"/>
          </w:tcPr>
          <w:p w14:paraId="5EB3644F" w14:textId="5D86404F" w:rsidR="00895717" w:rsidRPr="00CA6E28" w:rsidRDefault="00895717" w:rsidP="00895717">
            <w:pPr>
              <w:pStyle w:val="ColorfulList-Accent11"/>
              <w:tabs>
                <w:tab w:val="left" w:pos="0"/>
                <w:tab w:val="left" w:pos="284"/>
              </w:tabs>
              <w:ind w:left="0" w:right="-90"/>
              <w:jc w:val="center"/>
              <w:rPr>
                <w:rFonts w:ascii="Arial" w:hAnsi="Arial" w:cs="Arial"/>
                <w:b/>
                <w:color w:val="FF0000"/>
                <w:sz w:val="18"/>
                <w:szCs w:val="18"/>
              </w:rPr>
            </w:pPr>
            <w:r w:rsidRPr="00CA6E28">
              <w:rPr>
                <w:rFonts w:ascii="Arial" w:hAnsi="Arial" w:cs="Arial"/>
                <w:b/>
                <w:bCs/>
                <w:sz w:val="18"/>
                <w:szCs w:val="18"/>
              </w:rPr>
              <w:t>248</w:t>
            </w:r>
            <w:r w:rsidR="003B452A" w:rsidRPr="00CA6E28">
              <w:rPr>
                <w:rFonts w:ascii="Arial" w:hAnsi="Arial" w:cs="Arial"/>
                <w:b/>
                <w:bCs/>
                <w:sz w:val="18"/>
                <w:szCs w:val="18"/>
              </w:rPr>
              <w:t>,</w:t>
            </w:r>
            <w:r w:rsidRPr="00CA6E28">
              <w:rPr>
                <w:rFonts w:ascii="Arial" w:hAnsi="Arial" w:cs="Arial"/>
                <w:b/>
                <w:bCs/>
                <w:sz w:val="18"/>
                <w:szCs w:val="18"/>
              </w:rPr>
              <w:t>1</w:t>
            </w:r>
          </w:p>
        </w:tc>
        <w:tc>
          <w:tcPr>
            <w:tcW w:w="1183" w:type="dxa"/>
            <w:tcBorders>
              <w:top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D9D9D9" w:themeFill="background1" w:themeFillShade="D9"/>
            <w:vAlign w:val="center"/>
          </w:tcPr>
          <w:p w14:paraId="231C007F" w14:textId="679051FD" w:rsidR="00895717" w:rsidRPr="00CA6E28" w:rsidRDefault="00895717" w:rsidP="00895717">
            <w:pPr>
              <w:pStyle w:val="ColorfulList-Accent11"/>
              <w:tabs>
                <w:tab w:val="left" w:pos="0"/>
                <w:tab w:val="left" w:pos="284"/>
              </w:tabs>
              <w:ind w:left="0" w:right="-90"/>
              <w:jc w:val="center"/>
              <w:rPr>
                <w:rFonts w:ascii="Arial" w:hAnsi="Arial" w:cs="Arial"/>
                <w:b/>
                <w:color w:val="FF0000"/>
                <w:sz w:val="18"/>
                <w:szCs w:val="18"/>
              </w:rPr>
            </w:pPr>
            <w:r w:rsidRPr="00CA6E28">
              <w:rPr>
                <w:rFonts w:ascii="Arial" w:hAnsi="Arial" w:cs="Arial"/>
                <w:b/>
                <w:bCs/>
                <w:sz w:val="18"/>
                <w:szCs w:val="18"/>
              </w:rPr>
              <w:t>-11</w:t>
            </w:r>
            <w:r w:rsidR="003B452A" w:rsidRPr="00CA6E28">
              <w:rPr>
                <w:rFonts w:ascii="Arial" w:hAnsi="Arial" w:cs="Arial"/>
                <w:b/>
                <w:bCs/>
                <w:sz w:val="18"/>
                <w:szCs w:val="18"/>
              </w:rPr>
              <w:t>,</w:t>
            </w:r>
            <w:r w:rsidRPr="00CA6E28">
              <w:rPr>
                <w:rFonts w:ascii="Arial" w:hAnsi="Arial" w:cs="Arial"/>
                <w:b/>
                <w:bCs/>
                <w:sz w:val="18"/>
                <w:szCs w:val="18"/>
              </w:rPr>
              <w:t>8%</w:t>
            </w:r>
          </w:p>
        </w:tc>
        <w:tc>
          <w:tcPr>
            <w:tcW w:w="1183"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D9D9D9" w:themeFill="background1" w:themeFillShade="D9"/>
            <w:vAlign w:val="center"/>
          </w:tcPr>
          <w:p w14:paraId="044BBACB" w14:textId="025E030D" w:rsidR="00895717" w:rsidRPr="00CA6E28" w:rsidRDefault="00895717" w:rsidP="00895717">
            <w:pPr>
              <w:pStyle w:val="ColorfulList-Accent11"/>
              <w:tabs>
                <w:tab w:val="left" w:pos="0"/>
                <w:tab w:val="left" w:pos="284"/>
              </w:tabs>
              <w:ind w:left="0" w:right="-90"/>
              <w:jc w:val="center"/>
              <w:rPr>
                <w:rFonts w:ascii="Arial" w:hAnsi="Arial" w:cs="Arial"/>
                <w:b/>
                <w:color w:val="FF0000"/>
                <w:sz w:val="18"/>
                <w:szCs w:val="18"/>
              </w:rPr>
            </w:pPr>
            <w:r w:rsidRPr="00CA6E28">
              <w:rPr>
                <w:rFonts w:ascii="Arial" w:hAnsi="Arial" w:cs="Arial"/>
                <w:b/>
                <w:bCs/>
                <w:sz w:val="18"/>
                <w:szCs w:val="18"/>
              </w:rPr>
              <w:t>592</w:t>
            </w:r>
            <w:r w:rsidR="003B452A" w:rsidRPr="00CA6E28">
              <w:rPr>
                <w:rFonts w:ascii="Arial" w:hAnsi="Arial" w:cs="Arial"/>
                <w:b/>
                <w:bCs/>
                <w:sz w:val="18"/>
                <w:szCs w:val="18"/>
              </w:rPr>
              <w:t>,</w:t>
            </w:r>
            <w:r w:rsidRPr="00CA6E28">
              <w:rPr>
                <w:rFonts w:ascii="Arial" w:hAnsi="Arial" w:cs="Arial"/>
                <w:b/>
                <w:bCs/>
                <w:sz w:val="18"/>
                <w:szCs w:val="18"/>
              </w:rPr>
              <w:t>0</w:t>
            </w:r>
          </w:p>
        </w:tc>
        <w:tc>
          <w:tcPr>
            <w:tcW w:w="1183" w:type="dxa"/>
            <w:tcBorders>
              <w:top w:val="single" w:sz="2" w:space="0" w:color="808080" w:themeColor="background1" w:themeShade="80"/>
              <w:bottom w:val="single" w:sz="2" w:space="0" w:color="808080" w:themeColor="background1" w:themeShade="80"/>
            </w:tcBorders>
            <w:shd w:val="clear" w:color="auto" w:fill="D9D9D9" w:themeFill="background1" w:themeFillShade="D9"/>
            <w:vAlign w:val="center"/>
          </w:tcPr>
          <w:p w14:paraId="6849A921" w14:textId="6BA7AFDC" w:rsidR="00895717" w:rsidRPr="00CA6E28" w:rsidRDefault="00895717" w:rsidP="00895717">
            <w:pPr>
              <w:pStyle w:val="ColorfulList-Accent11"/>
              <w:tabs>
                <w:tab w:val="left" w:pos="0"/>
                <w:tab w:val="left" w:pos="284"/>
              </w:tabs>
              <w:ind w:left="0" w:right="-90"/>
              <w:jc w:val="center"/>
              <w:rPr>
                <w:rFonts w:ascii="Arial" w:hAnsi="Arial" w:cs="Arial"/>
                <w:b/>
                <w:color w:val="FF0000"/>
                <w:sz w:val="18"/>
                <w:szCs w:val="18"/>
              </w:rPr>
            </w:pPr>
            <w:r w:rsidRPr="00CA6E28">
              <w:rPr>
                <w:rFonts w:ascii="Arial" w:hAnsi="Arial" w:cs="Arial"/>
                <w:b/>
                <w:bCs/>
                <w:sz w:val="18"/>
                <w:szCs w:val="18"/>
              </w:rPr>
              <w:t>597</w:t>
            </w:r>
            <w:r w:rsidR="003B452A" w:rsidRPr="00CA6E28">
              <w:rPr>
                <w:rFonts w:ascii="Arial" w:hAnsi="Arial" w:cs="Arial"/>
                <w:b/>
                <w:bCs/>
                <w:sz w:val="18"/>
                <w:szCs w:val="18"/>
              </w:rPr>
              <w:t>,</w:t>
            </w:r>
            <w:r w:rsidRPr="00CA6E28">
              <w:rPr>
                <w:rFonts w:ascii="Arial" w:hAnsi="Arial" w:cs="Arial"/>
                <w:b/>
                <w:bCs/>
                <w:sz w:val="18"/>
                <w:szCs w:val="18"/>
              </w:rPr>
              <w:t>0</w:t>
            </w:r>
          </w:p>
        </w:tc>
        <w:tc>
          <w:tcPr>
            <w:tcW w:w="1183" w:type="dxa"/>
            <w:tcBorders>
              <w:top w:val="single" w:sz="2" w:space="0" w:color="808080" w:themeColor="background1" w:themeShade="80"/>
              <w:bottom w:val="single" w:sz="2" w:space="0" w:color="808080" w:themeColor="background1" w:themeShade="80"/>
            </w:tcBorders>
            <w:shd w:val="clear" w:color="auto" w:fill="D9D9D9" w:themeFill="background1" w:themeFillShade="D9"/>
            <w:vAlign w:val="center"/>
          </w:tcPr>
          <w:p w14:paraId="6CEA3758" w14:textId="7179CABC" w:rsidR="00895717" w:rsidRPr="00CA6E28" w:rsidRDefault="00895717" w:rsidP="00895717">
            <w:pPr>
              <w:pStyle w:val="ColorfulList-Accent11"/>
              <w:tabs>
                <w:tab w:val="left" w:pos="0"/>
                <w:tab w:val="left" w:pos="284"/>
              </w:tabs>
              <w:ind w:left="0" w:right="-90"/>
              <w:jc w:val="center"/>
              <w:rPr>
                <w:rFonts w:ascii="Arial" w:hAnsi="Arial" w:cs="Arial"/>
                <w:b/>
                <w:color w:val="FF0000"/>
                <w:sz w:val="18"/>
                <w:szCs w:val="18"/>
              </w:rPr>
            </w:pPr>
            <w:r w:rsidRPr="00CA6E28">
              <w:rPr>
                <w:rFonts w:ascii="Arial" w:hAnsi="Arial" w:cs="Arial"/>
                <w:b/>
                <w:bCs/>
                <w:sz w:val="18"/>
                <w:szCs w:val="18"/>
              </w:rPr>
              <w:t>-0</w:t>
            </w:r>
            <w:r w:rsidR="003B452A" w:rsidRPr="00CA6E28">
              <w:rPr>
                <w:rFonts w:ascii="Arial" w:hAnsi="Arial" w:cs="Arial"/>
                <w:b/>
                <w:bCs/>
                <w:sz w:val="18"/>
                <w:szCs w:val="18"/>
              </w:rPr>
              <w:t>,</w:t>
            </w:r>
            <w:r w:rsidRPr="00CA6E28">
              <w:rPr>
                <w:rFonts w:ascii="Arial" w:hAnsi="Arial" w:cs="Arial"/>
                <w:b/>
                <w:bCs/>
                <w:sz w:val="18"/>
                <w:szCs w:val="18"/>
              </w:rPr>
              <w:t>8%</w:t>
            </w:r>
          </w:p>
        </w:tc>
      </w:tr>
      <w:tr w:rsidR="00895717" w:rsidRPr="00CA6E28" w14:paraId="4B68F6A1" w14:textId="77777777" w:rsidTr="00AA2930">
        <w:trPr>
          <w:trHeight w:val="252"/>
        </w:trPr>
        <w:tc>
          <w:tcPr>
            <w:tcW w:w="3495" w:type="dxa"/>
            <w:tcBorders>
              <w:top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79B27A5B" w14:textId="0214AAFE" w:rsidR="00895717" w:rsidRPr="00CA6E28" w:rsidRDefault="00895717" w:rsidP="00895717">
            <w:pPr>
              <w:pStyle w:val="ColorfulList-Accent11"/>
              <w:tabs>
                <w:tab w:val="left" w:pos="0"/>
                <w:tab w:val="left" w:pos="284"/>
              </w:tabs>
              <w:ind w:left="0" w:right="-90"/>
              <w:rPr>
                <w:rFonts w:ascii="Arial" w:hAnsi="Arial" w:cs="Arial"/>
                <w:b/>
                <w:sz w:val="18"/>
                <w:szCs w:val="18"/>
              </w:rPr>
            </w:pPr>
            <w:proofErr w:type="spellStart"/>
            <w:r w:rsidRPr="00CA6E28">
              <w:rPr>
                <w:rFonts w:ascii="Arial" w:hAnsi="Arial" w:cs="Arial"/>
                <w:sz w:val="18"/>
                <w:szCs w:val="18"/>
              </w:rPr>
              <w:t>Φόρος</w:t>
            </w:r>
            <w:proofErr w:type="spellEnd"/>
            <w:r w:rsidRPr="00CA6E28">
              <w:rPr>
                <w:rFonts w:ascii="Arial" w:hAnsi="Arial" w:cs="Arial"/>
                <w:sz w:val="18"/>
                <w:szCs w:val="18"/>
              </w:rPr>
              <w:t xml:space="preserve"> </w:t>
            </w:r>
            <w:proofErr w:type="spellStart"/>
            <w:r w:rsidRPr="00CA6E28">
              <w:rPr>
                <w:rFonts w:ascii="Arial" w:hAnsi="Arial" w:cs="Arial"/>
                <w:sz w:val="18"/>
                <w:szCs w:val="18"/>
              </w:rPr>
              <w:t>εισοδήμ</w:t>
            </w:r>
            <w:proofErr w:type="spellEnd"/>
            <w:r w:rsidRPr="00CA6E28">
              <w:rPr>
                <w:rFonts w:ascii="Arial" w:hAnsi="Arial" w:cs="Arial"/>
                <w:sz w:val="18"/>
                <w:szCs w:val="18"/>
              </w:rPr>
              <w:t>ατος</w:t>
            </w:r>
          </w:p>
        </w:tc>
        <w:tc>
          <w:tcPr>
            <w:tcW w:w="1072" w:type="dxa"/>
            <w:tcBorders>
              <w:top w:val="single" w:sz="2" w:space="0" w:color="808080" w:themeColor="background1" w:themeShade="80"/>
              <w:left w:val="single" w:sz="2" w:space="0" w:color="808080" w:themeColor="background1" w:themeShade="80"/>
              <w:bottom w:val="single" w:sz="2" w:space="0" w:color="808080" w:themeColor="background1" w:themeShade="80"/>
            </w:tcBorders>
            <w:vAlign w:val="center"/>
          </w:tcPr>
          <w:p w14:paraId="3A93F154" w14:textId="1B127639" w:rsidR="00895717" w:rsidRPr="00CA6E28" w:rsidRDefault="00895717" w:rsidP="00895717">
            <w:pPr>
              <w:pStyle w:val="ColorfulList-Accent11"/>
              <w:tabs>
                <w:tab w:val="left" w:pos="0"/>
                <w:tab w:val="left" w:pos="284"/>
              </w:tabs>
              <w:ind w:left="0" w:right="-90"/>
              <w:jc w:val="center"/>
              <w:rPr>
                <w:rFonts w:ascii="Arial" w:hAnsi="Arial" w:cs="Arial"/>
                <w:b/>
                <w:color w:val="FF0000"/>
                <w:sz w:val="18"/>
                <w:szCs w:val="18"/>
              </w:rPr>
            </w:pPr>
            <w:r w:rsidRPr="00CA6E28">
              <w:rPr>
                <w:rFonts w:ascii="Arial" w:hAnsi="Arial" w:cs="Arial"/>
                <w:sz w:val="18"/>
                <w:szCs w:val="18"/>
              </w:rPr>
              <w:t>52</w:t>
            </w:r>
            <w:r w:rsidR="003B452A" w:rsidRPr="00CA6E28">
              <w:rPr>
                <w:rFonts w:ascii="Arial" w:hAnsi="Arial" w:cs="Arial"/>
                <w:sz w:val="18"/>
                <w:szCs w:val="18"/>
              </w:rPr>
              <w:t>,</w:t>
            </w:r>
            <w:r w:rsidRPr="00CA6E28">
              <w:rPr>
                <w:rFonts w:ascii="Arial" w:hAnsi="Arial" w:cs="Arial"/>
                <w:sz w:val="18"/>
                <w:szCs w:val="18"/>
              </w:rPr>
              <w:t>7</w:t>
            </w:r>
          </w:p>
        </w:tc>
        <w:tc>
          <w:tcPr>
            <w:tcW w:w="1103" w:type="dxa"/>
            <w:tcBorders>
              <w:top w:val="single" w:sz="2" w:space="0" w:color="808080" w:themeColor="background1" w:themeShade="80"/>
              <w:bottom w:val="single" w:sz="2" w:space="0" w:color="808080" w:themeColor="background1" w:themeShade="80"/>
            </w:tcBorders>
            <w:vAlign w:val="center"/>
          </w:tcPr>
          <w:p w14:paraId="589DF2A4" w14:textId="2E4C50CB" w:rsidR="00895717" w:rsidRPr="00CA6E28" w:rsidRDefault="00895717" w:rsidP="00895717">
            <w:pPr>
              <w:pStyle w:val="ColorfulList-Accent11"/>
              <w:tabs>
                <w:tab w:val="left" w:pos="0"/>
                <w:tab w:val="left" w:pos="284"/>
              </w:tabs>
              <w:ind w:left="0" w:right="-90"/>
              <w:jc w:val="center"/>
              <w:rPr>
                <w:rFonts w:ascii="Arial" w:hAnsi="Arial" w:cs="Arial"/>
                <w:b/>
                <w:color w:val="FF0000"/>
                <w:sz w:val="18"/>
                <w:szCs w:val="18"/>
              </w:rPr>
            </w:pPr>
            <w:r w:rsidRPr="00CA6E28">
              <w:rPr>
                <w:rFonts w:ascii="Arial" w:hAnsi="Arial" w:cs="Arial"/>
                <w:sz w:val="18"/>
                <w:szCs w:val="18"/>
              </w:rPr>
              <w:t>(48</w:t>
            </w:r>
            <w:r w:rsidR="003B452A" w:rsidRPr="00CA6E28">
              <w:rPr>
                <w:rFonts w:ascii="Arial" w:hAnsi="Arial" w:cs="Arial"/>
                <w:sz w:val="18"/>
                <w:szCs w:val="18"/>
              </w:rPr>
              <w:t>,</w:t>
            </w:r>
            <w:r w:rsidRPr="00CA6E28">
              <w:rPr>
                <w:rFonts w:ascii="Arial" w:hAnsi="Arial" w:cs="Arial"/>
                <w:sz w:val="18"/>
                <w:szCs w:val="18"/>
              </w:rPr>
              <w:t>5)</w:t>
            </w:r>
          </w:p>
        </w:tc>
        <w:tc>
          <w:tcPr>
            <w:tcW w:w="1183" w:type="dxa"/>
            <w:tcBorders>
              <w:top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3E725039" w14:textId="46C1FE91" w:rsidR="00895717" w:rsidRPr="00CA6E28" w:rsidRDefault="00F82DE5" w:rsidP="00895717">
            <w:pPr>
              <w:pStyle w:val="ColorfulList-Accent11"/>
              <w:tabs>
                <w:tab w:val="left" w:pos="0"/>
                <w:tab w:val="left" w:pos="284"/>
              </w:tabs>
              <w:ind w:left="0" w:right="-90"/>
              <w:jc w:val="center"/>
              <w:rPr>
                <w:rFonts w:ascii="Arial" w:hAnsi="Arial" w:cs="Arial"/>
                <w:b/>
                <w:color w:val="FF0000"/>
                <w:sz w:val="18"/>
                <w:szCs w:val="18"/>
              </w:rPr>
            </w:pPr>
            <w:r>
              <w:rPr>
                <w:rFonts w:ascii="Arial" w:hAnsi="Arial" w:cs="Arial"/>
                <w:sz w:val="18"/>
                <w:szCs w:val="18"/>
              </w:rPr>
              <w:t>-</w:t>
            </w:r>
          </w:p>
        </w:tc>
        <w:tc>
          <w:tcPr>
            <w:tcW w:w="1183" w:type="dxa"/>
            <w:tcBorders>
              <w:top w:val="single" w:sz="2" w:space="0" w:color="808080" w:themeColor="background1" w:themeShade="80"/>
              <w:left w:val="single" w:sz="2" w:space="0" w:color="808080" w:themeColor="background1" w:themeShade="80"/>
              <w:bottom w:val="single" w:sz="2" w:space="0" w:color="808080" w:themeColor="background1" w:themeShade="80"/>
            </w:tcBorders>
            <w:vAlign w:val="center"/>
          </w:tcPr>
          <w:p w14:paraId="427C81F5" w14:textId="2557D923" w:rsidR="00895717" w:rsidRPr="00CA6E28" w:rsidRDefault="00895717" w:rsidP="00895717">
            <w:pPr>
              <w:pStyle w:val="ColorfulList-Accent11"/>
              <w:tabs>
                <w:tab w:val="left" w:pos="0"/>
                <w:tab w:val="left" w:pos="284"/>
              </w:tabs>
              <w:ind w:left="0" w:right="-90"/>
              <w:jc w:val="center"/>
              <w:rPr>
                <w:rFonts w:ascii="Arial" w:hAnsi="Arial" w:cs="Arial"/>
                <w:b/>
                <w:bCs/>
                <w:sz w:val="18"/>
                <w:szCs w:val="18"/>
              </w:rPr>
            </w:pPr>
            <w:r w:rsidRPr="00CA6E28">
              <w:rPr>
                <w:rFonts w:ascii="Arial" w:hAnsi="Arial" w:cs="Arial"/>
                <w:sz w:val="18"/>
                <w:szCs w:val="18"/>
              </w:rPr>
              <w:t>(39</w:t>
            </w:r>
            <w:r w:rsidR="003B452A" w:rsidRPr="00CA6E28">
              <w:rPr>
                <w:rFonts w:ascii="Arial" w:hAnsi="Arial" w:cs="Arial"/>
                <w:sz w:val="18"/>
                <w:szCs w:val="18"/>
              </w:rPr>
              <w:t>,</w:t>
            </w:r>
            <w:r w:rsidRPr="00CA6E28">
              <w:rPr>
                <w:rFonts w:ascii="Arial" w:hAnsi="Arial" w:cs="Arial"/>
                <w:sz w:val="18"/>
                <w:szCs w:val="18"/>
              </w:rPr>
              <w:t>5)</w:t>
            </w:r>
          </w:p>
        </w:tc>
        <w:tc>
          <w:tcPr>
            <w:tcW w:w="1183" w:type="dxa"/>
            <w:tcBorders>
              <w:top w:val="single" w:sz="2" w:space="0" w:color="808080" w:themeColor="background1" w:themeShade="80"/>
              <w:bottom w:val="single" w:sz="2" w:space="0" w:color="808080" w:themeColor="background1" w:themeShade="80"/>
            </w:tcBorders>
            <w:vAlign w:val="center"/>
          </w:tcPr>
          <w:p w14:paraId="3D927962" w14:textId="2F90CA84" w:rsidR="00895717" w:rsidRPr="00CA6E28" w:rsidRDefault="00895717" w:rsidP="00895717">
            <w:pPr>
              <w:pStyle w:val="ColorfulList-Accent11"/>
              <w:tabs>
                <w:tab w:val="left" w:pos="0"/>
                <w:tab w:val="left" w:pos="284"/>
              </w:tabs>
              <w:ind w:left="0" w:right="-90"/>
              <w:jc w:val="center"/>
              <w:rPr>
                <w:rFonts w:ascii="Arial" w:hAnsi="Arial" w:cs="Arial"/>
                <w:b/>
                <w:bCs/>
                <w:sz w:val="18"/>
                <w:szCs w:val="18"/>
              </w:rPr>
            </w:pPr>
            <w:r w:rsidRPr="00CA6E28">
              <w:rPr>
                <w:rFonts w:ascii="Arial" w:hAnsi="Arial" w:cs="Arial"/>
                <w:sz w:val="18"/>
                <w:szCs w:val="18"/>
              </w:rPr>
              <w:t>(134</w:t>
            </w:r>
            <w:r w:rsidR="003B452A" w:rsidRPr="00CA6E28">
              <w:rPr>
                <w:rFonts w:ascii="Arial" w:hAnsi="Arial" w:cs="Arial"/>
                <w:sz w:val="18"/>
                <w:szCs w:val="18"/>
              </w:rPr>
              <w:t>,</w:t>
            </w:r>
            <w:r w:rsidRPr="00CA6E28">
              <w:rPr>
                <w:rFonts w:ascii="Arial" w:hAnsi="Arial" w:cs="Arial"/>
                <w:sz w:val="18"/>
                <w:szCs w:val="18"/>
              </w:rPr>
              <w:t>5)</w:t>
            </w:r>
          </w:p>
        </w:tc>
        <w:tc>
          <w:tcPr>
            <w:tcW w:w="1183" w:type="dxa"/>
            <w:tcBorders>
              <w:top w:val="single" w:sz="2" w:space="0" w:color="808080" w:themeColor="background1" w:themeShade="80"/>
              <w:bottom w:val="single" w:sz="2" w:space="0" w:color="808080" w:themeColor="background1" w:themeShade="80"/>
            </w:tcBorders>
            <w:vAlign w:val="center"/>
          </w:tcPr>
          <w:p w14:paraId="3747753A" w14:textId="401B872C" w:rsidR="00895717" w:rsidRPr="00CA6E28" w:rsidRDefault="00895717" w:rsidP="00895717">
            <w:pPr>
              <w:pStyle w:val="ColorfulList-Accent11"/>
              <w:tabs>
                <w:tab w:val="left" w:pos="0"/>
                <w:tab w:val="left" w:pos="284"/>
              </w:tabs>
              <w:ind w:left="0" w:right="-90"/>
              <w:jc w:val="center"/>
              <w:rPr>
                <w:rFonts w:ascii="Arial" w:hAnsi="Arial" w:cs="Arial"/>
                <w:b/>
                <w:bCs/>
                <w:sz w:val="18"/>
                <w:szCs w:val="18"/>
              </w:rPr>
            </w:pPr>
            <w:r w:rsidRPr="00CA6E28">
              <w:rPr>
                <w:rFonts w:ascii="Arial" w:hAnsi="Arial" w:cs="Arial"/>
                <w:sz w:val="18"/>
                <w:szCs w:val="18"/>
              </w:rPr>
              <w:t>-70</w:t>
            </w:r>
            <w:r w:rsidR="003B452A" w:rsidRPr="00CA6E28">
              <w:rPr>
                <w:rFonts w:ascii="Arial" w:hAnsi="Arial" w:cs="Arial"/>
                <w:sz w:val="18"/>
                <w:szCs w:val="18"/>
              </w:rPr>
              <w:t>,</w:t>
            </w:r>
            <w:r w:rsidRPr="00CA6E28">
              <w:rPr>
                <w:rFonts w:ascii="Arial" w:hAnsi="Arial" w:cs="Arial"/>
                <w:sz w:val="18"/>
                <w:szCs w:val="18"/>
              </w:rPr>
              <w:t>6%</w:t>
            </w:r>
          </w:p>
        </w:tc>
      </w:tr>
      <w:tr w:rsidR="00764283" w:rsidRPr="00CA6E28" w14:paraId="2DF39EB1" w14:textId="77777777" w:rsidTr="00172C17">
        <w:trPr>
          <w:trHeight w:val="252"/>
        </w:trPr>
        <w:tc>
          <w:tcPr>
            <w:tcW w:w="3495" w:type="dxa"/>
            <w:tcBorders>
              <w:top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7A219279" w14:textId="59963C6B" w:rsidR="00764283" w:rsidRPr="00506BBE" w:rsidRDefault="00764283" w:rsidP="00764283">
            <w:pPr>
              <w:pStyle w:val="ColorfulList-Accent11"/>
              <w:tabs>
                <w:tab w:val="left" w:pos="0"/>
                <w:tab w:val="left" w:pos="284"/>
              </w:tabs>
              <w:ind w:left="0" w:right="-90"/>
              <w:rPr>
                <w:rFonts w:ascii="Arial" w:hAnsi="Arial" w:cs="Arial"/>
                <w:sz w:val="18"/>
                <w:szCs w:val="18"/>
                <w:lang w:val="el-GR"/>
              </w:rPr>
            </w:pPr>
            <w:r w:rsidRPr="00506BBE">
              <w:rPr>
                <w:rFonts w:ascii="Arial" w:hAnsi="Arial" w:cs="Arial"/>
                <w:sz w:val="18"/>
                <w:szCs w:val="18"/>
                <w:lang w:val="el-GR"/>
              </w:rPr>
              <w:t>Κέρδη χρήσης από συνεχιζόμενες δραστηριότητες</w:t>
            </w:r>
          </w:p>
        </w:tc>
        <w:tc>
          <w:tcPr>
            <w:tcW w:w="1072"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74FD1AC6" w14:textId="2E4E3775" w:rsidR="00764283" w:rsidRPr="00CA6E28" w:rsidRDefault="00764283" w:rsidP="00764283">
            <w:pPr>
              <w:pStyle w:val="ColorfulList-Accent11"/>
              <w:tabs>
                <w:tab w:val="left" w:pos="0"/>
                <w:tab w:val="left" w:pos="284"/>
              </w:tabs>
              <w:ind w:left="0" w:right="-90"/>
              <w:jc w:val="center"/>
              <w:rPr>
                <w:rFonts w:ascii="Arial" w:hAnsi="Arial" w:cs="Arial"/>
                <w:sz w:val="18"/>
                <w:szCs w:val="18"/>
                <w:lang w:val="el-GR"/>
              </w:rPr>
            </w:pPr>
            <w:r w:rsidRPr="00506BBE">
              <w:rPr>
                <w:rFonts w:ascii="Arial" w:hAnsi="Arial" w:cs="Arial"/>
                <w:sz w:val="18"/>
                <w:szCs w:val="18"/>
              </w:rPr>
              <w:t>271</w:t>
            </w:r>
            <w:r w:rsidR="003B452A" w:rsidRPr="00506BBE">
              <w:rPr>
                <w:rFonts w:ascii="Arial" w:hAnsi="Arial" w:cs="Arial"/>
                <w:sz w:val="18"/>
                <w:szCs w:val="18"/>
              </w:rPr>
              <w:t>,</w:t>
            </w:r>
            <w:r w:rsidRPr="00506BBE">
              <w:rPr>
                <w:rFonts w:ascii="Arial" w:hAnsi="Arial" w:cs="Arial"/>
                <w:sz w:val="18"/>
                <w:szCs w:val="18"/>
              </w:rPr>
              <w:t>5</w:t>
            </w:r>
          </w:p>
        </w:tc>
        <w:tc>
          <w:tcPr>
            <w:tcW w:w="1103" w:type="dxa"/>
            <w:tcBorders>
              <w:top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2CF910A5" w14:textId="09B259AD" w:rsidR="00764283" w:rsidRPr="00CA6E28" w:rsidRDefault="00764283" w:rsidP="00764283">
            <w:pPr>
              <w:pStyle w:val="ColorfulList-Accent11"/>
              <w:tabs>
                <w:tab w:val="left" w:pos="0"/>
                <w:tab w:val="left" w:pos="284"/>
              </w:tabs>
              <w:ind w:left="0" w:right="-90"/>
              <w:jc w:val="center"/>
              <w:rPr>
                <w:rFonts w:ascii="Arial" w:hAnsi="Arial" w:cs="Arial"/>
                <w:sz w:val="18"/>
                <w:szCs w:val="18"/>
                <w:lang w:val="el-GR"/>
              </w:rPr>
            </w:pPr>
            <w:r w:rsidRPr="00506BBE">
              <w:rPr>
                <w:rFonts w:ascii="Arial" w:hAnsi="Arial" w:cs="Arial"/>
                <w:sz w:val="18"/>
                <w:szCs w:val="18"/>
              </w:rPr>
              <w:t>199</w:t>
            </w:r>
            <w:r w:rsidR="003B452A" w:rsidRPr="00506BBE">
              <w:rPr>
                <w:rFonts w:ascii="Arial" w:hAnsi="Arial" w:cs="Arial"/>
                <w:sz w:val="18"/>
                <w:szCs w:val="18"/>
              </w:rPr>
              <w:t>,</w:t>
            </w:r>
            <w:r w:rsidRPr="00506BBE">
              <w:rPr>
                <w:rFonts w:ascii="Arial" w:hAnsi="Arial" w:cs="Arial"/>
                <w:sz w:val="18"/>
                <w:szCs w:val="18"/>
              </w:rPr>
              <w:t>6</w:t>
            </w:r>
          </w:p>
        </w:tc>
        <w:tc>
          <w:tcPr>
            <w:tcW w:w="1183" w:type="dxa"/>
            <w:tcBorders>
              <w:top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6A006760" w14:textId="5BFB4027" w:rsidR="00764283" w:rsidRPr="00CA6E28" w:rsidRDefault="00764283" w:rsidP="00764283">
            <w:pPr>
              <w:pStyle w:val="ColorfulList-Accent11"/>
              <w:tabs>
                <w:tab w:val="left" w:pos="0"/>
                <w:tab w:val="left" w:pos="284"/>
              </w:tabs>
              <w:ind w:left="0" w:right="-90"/>
              <w:jc w:val="center"/>
              <w:rPr>
                <w:rFonts w:ascii="Arial" w:hAnsi="Arial" w:cs="Arial"/>
                <w:sz w:val="18"/>
                <w:szCs w:val="18"/>
                <w:lang w:val="el-GR"/>
              </w:rPr>
            </w:pPr>
            <w:r w:rsidRPr="00506BBE">
              <w:rPr>
                <w:rFonts w:ascii="Arial" w:hAnsi="Arial" w:cs="Arial"/>
                <w:sz w:val="18"/>
                <w:szCs w:val="18"/>
              </w:rPr>
              <w:t>+36</w:t>
            </w:r>
            <w:r w:rsidR="003B452A" w:rsidRPr="00506BBE">
              <w:rPr>
                <w:rFonts w:ascii="Arial" w:hAnsi="Arial" w:cs="Arial"/>
                <w:sz w:val="18"/>
                <w:szCs w:val="18"/>
              </w:rPr>
              <w:t>,</w:t>
            </w:r>
            <w:r w:rsidRPr="00506BBE">
              <w:rPr>
                <w:rFonts w:ascii="Arial" w:hAnsi="Arial" w:cs="Arial"/>
                <w:sz w:val="18"/>
                <w:szCs w:val="18"/>
              </w:rPr>
              <w:t>0%</w:t>
            </w:r>
          </w:p>
        </w:tc>
        <w:tc>
          <w:tcPr>
            <w:tcW w:w="1183"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2C8ABB1F" w14:textId="1A26F0FB" w:rsidR="00764283" w:rsidRPr="00CA6E28" w:rsidRDefault="00764283" w:rsidP="00764283">
            <w:pPr>
              <w:pStyle w:val="ColorfulList-Accent11"/>
              <w:tabs>
                <w:tab w:val="left" w:pos="0"/>
                <w:tab w:val="left" w:pos="284"/>
              </w:tabs>
              <w:ind w:left="0" w:right="-90"/>
              <w:jc w:val="center"/>
              <w:rPr>
                <w:rFonts w:ascii="Arial" w:hAnsi="Arial" w:cs="Arial"/>
                <w:sz w:val="18"/>
                <w:szCs w:val="18"/>
                <w:lang w:val="el-GR"/>
              </w:rPr>
            </w:pPr>
            <w:r w:rsidRPr="00506BBE">
              <w:rPr>
                <w:rFonts w:ascii="Arial" w:hAnsi="Arial" w:cs="Arial"/>
                <w:sz w:val="18"/>
                <w:szCs w:val="18"/>
              </w:rPr>
              <w:t>552</w:t>
            </w:r>
            <w:r w:rsidR="003B452A" w:rsidRPr="00506BBE">
              <w:rPr>
                <w:rFonts w:ascii="Arial" w:hAnsi="Arial" w:cs="Arial"/>
                <w:sz w:val="18"/>
                <w:szCs w:val="18"/>
              </w:rPr>
              <w:t>,</w:t>
            </w:r>
            <w:r w:rsidRPr="00506BBE">
              <w:rPr>
                <w:rFonts w:ascii="Arial" w:hAnsi="Arial" w:cs="Arial"/>
                <w:sz w:val="18"/>
                <w:szCs w:val="18"/>
              </w:rPr>
              <w:t>5</w:t>
            </w:r>
          </w:p>
        </w:tc>
        <w:tc>
          <w:tcPr>
            <w:tcW w:w="1183" w:type="dxa"/>
            <w:tcBorders>
              <w:top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613967A8" w14:textId="62F78A53" w:rsidR="00764283" w:rsidRPr="00CA6E28" w:rsidRDefault="00764283" w:rsidP="00764283">
            <w:pPr>
              <w:pStyle w:val="ColorfulList-Accent11"/>
              <w:tabs>
                <w:tab w:val="left" w:pos="0"/>
                <w:tab w:val="left" w:pos="284"/>
              </w:tabs>
              <w:ind w:left="0" w:right="-90"/>
              <w:jc w:val="center"/>
              <w:rPr>
                <w:rFonts w:ascii="Arial" w:hAnsi="Arial" w:cs="Arial"/>
                <w:sz w:val="18"/>
                <w:szCs w:val="18"/>
                <w:lang w:val="el-GR"/>
              </w:rPr>
            </w:pPr>
            <w:r w:rsidRPr="00506BBE">
              <w:rPr>
                <w:rFonts w:ascii="Arial" w:hAnsi="Arial" w:cs="Arial"/>
                <w:sz w:val="18"/>
                <w:szCs w:val="18"/>
              </w:rPr>
              <w:t>462</w:t>
            </w:r>
            <w:r w:rsidR="003B452A" w:rsidRPr="00506BBE">
              <w:rPr>
                <w:rFonts w:ascii="Arial" w:hAnsi="Arial" w:cs="Arial"/>
                <w:sz w:val="18"/>
                <w:szCs w:val="18"/>
              </w:rPr>
              <w:t>,</w:t>
            </w:r>
            <w:r w:rsidRPr="00506BBE">
              <w:rPr>
                <w:rFonts w:ascii="Arial" w:hAnsi="Arial" w:cs="Arial"/>
                <w:sz w:val="18"/>
                <w:szCs w:val="18"/>
              </w:rPr>
              <w:t>5</w:t>
            </w:r>
          </w:p>
        </w:tc>
        <w:tc>
          <w:tcPr>
            <w:tcW w:w="1183" w:type="dxa"/>
            <w:tcBorders>
              <w:top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724A783D" w14:textId="65B06D3A" w:rsidR="00764283" w:rsidRPr="00CA6E28" w:rsidRDefault="00764283" w:rsidP="00764283">
            <w:pPr>
              <w:pStyle w:val="ColorfulList-Accent11"/>
              <w:tabs>
                <w:tab w:val="left" w:pos="0"/>
                <w:tab w:val="left" w:pos="284"/>
              </w:tabs>
              <w:ind w:left="0" w:right="-90"/>
              <w:jc w:val="center"/>
              <w:rPr>
                <w:rFonts w:ascii="Arial" w:hAnsi="Arial" w:cs="Arial"/>
                <w:sz w:val="18"/>
                <w:szCs w:val="18"/>
                <w:lang w:val="el-GR"/>
              </w:rPr>
            </w:pPr>
            <w:r w:rsidRPr="00506BBE">
              <w:rPr>
                <w:rFonts w:ascii="Arial" w:hAnsi="Arial" w:cs="Arial"/>
                <w:sz w:val="18"/>
                <w:szCs w:val="18"/>
              </w:rPr>
              <w:t>+19</w:t>
            </w:r>
            <w:r w:rsidR="003B452A" w:rsidRPr="00506BBE">
              <w:rPr>
                <w:rFonts w:ascii="Arial" w:hAnsi="Arial" w:cs="Arial"/>
                <w:sz w:val="18"/>
                <w:szCs w:val="18"/>
              </w:rPr>
              <w:t>,</w:t>
            </w:r>
            <w:r w:rsidRPr="00506BBE">
              <w:rPr>
                <w:rFonts w:ascii="Arial" w:hAnsi="Arial" w:cs="Arial"/>
                <w:sz w:val="18"/>
                <w:szCs w:val="18"/>
              </w:rPr>
              <w:t>5%</w:t>
            </w:r>
          </w:p>
        </w:tc>
      </w:tr>
      <w:tr w:rsidR="00764283" w:rsidRPr="00CA6E28" w14:paraId="2EF923A9" w14:textId="77777777" w:rsidTr="00172C17">
        <w:trPr>
          <w:trHeight w:val="252"/>
        </w:trPr>
        <w:tc>
          <w:tcPr>
            <w:tcW w:w="3495" w:type="dxa"/>
            <w:tcBorders>
              <w:top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74040D8A" w14:textId="7DAF344B" w:rsidR="00764283" w:rsidRPr="00CA6E28" w:rsidRDefault="00764283" w:rsidP="00764283">
            <w:pPr>
              <w:pStyle w:val="ColorfulList-Accent11"/>
              <w:tabs>
                <w:tab w:val="left" w:pos="0"/>
                <w:tab w:val="left" w:pos="284"/>
              </w:tabs>
              <w:ind w:left="0" w:right="-90"/>
              <w:rPr>
                <w:rFonts w:ascii="Arial" w:hAnsi="Arial" w:cs="Arial"/>
                <w:sz w:val="18"/>
                <w:szCs w:val="18"/>
                <w:lang w:val="el-GR"/>
              </w:rPr>
            </w:pPr>
            <w:r w:rsidRPr="00506BBE">
              <w:rPr>
                <w:rFonts w:ascii="Arial" w:hAnsi="Arial" w:cs="Arial"/>
                <w:sz w:val="18"/>
                <w:szCs w:val="18"/>
                <w:lang w:val="el-GR"/>
              </w:rPr>
              <w:t>Ζημιές</w:t>
            </w:r>
            <w:r w:rsidRPr="00CA6E28">
              <w:rPr>
                <w:rFonts w:ascii="Arial" w:hAnsi="Arial" w:cs="Arial"/>
                <w:sz w:val="18"/>
                <w:szCs w:val="18"/>
                <w:lang w:val="el-GR"/>
              </w:rPr>
              <w:t xml:space="preserve"> από διακοπείσες δραστηριότητες</w:t>
            </w:r>
          </w:p>
        </w:tc>
        <w:tc>
          <w:tcPr>
            <w:tcW w:w="1072"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5A885859" w14:textId="152BF1E1" w:rsidR="00764283" w:rsidRPr="00CA6E28" w:rsidRDefault="00764283" w:rsidP="00764283">
            <w:pPr>
              <w:pStyle w:val="ColorfulList-Accent11"/>
              <w:tabs>
                <w:tab w:val="left" w:pos="0"/>
                <w:tab w:val="left" w:pos="284"/>
              </w:tabs>
              <w:ind w:left="0" w:right="-90"/>
              <w:jc w:val="center"/>
              <w:rPr>
                <w:rFonts w:ascii="Arial" w:hAnsi="Arial" w:cs="Arial"/>
                <w:sz w:val="18"/>
                <w:szCs w:val="18"/>
                <w:lang w:val="el-GR"/>
              </w:rPr>
            </w:pPr>
            <w:r w:rsidRPr="00CA6E28">
              <w:rPr>
                <w:rFonts w:ascii="Arial" w:hAnsi="Arial" w:cs="Arial"/>
                <w:sz w:val="18"/>
                <w:szCs w:val="18"/>
              </w:rPr>
              <w:t>(14</w:t>
            </w:r>
            <w:r w:rsidR="003B452A" w:rsidRPr="00CA6E28">
              <w:rPr>
                <w:rFonts w:ascii="Arial" w:hAnsi="Arial" w:cs="Arial"/>
                <w:sz w:val="18"/>
                <w:szCs w:val="18"/>
              </w:rPr>
              <w:t>,</w:t>
            </w:r>
            <w:r w:rsidRPr="00CA6E28">
              <w:rPr>
                <w:rFonts w:ascii="Arial" w:hAnsi="Arial" w:cs="Arial"/>
                <w:sz w:val="18"/>
                <w:szCs w:val="18"/>
              </w:rPr>
              <w:t>0)</w:t>
            </w:r>
          </w:p>
        </w:tc>
        <w:tc>
          <w:tcPr>
            <w:tcW w:w="1103" w:type="dxa"/>
            <w:tcBorders>
              <w:top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3BB239DB" w14:textId="41E47DC0" w:rsidR="00764283" w:rsidRPr="00CA6E28" w:rsidRDefault="00764283" w:rsidP="00764283">
            <w:pPr>
              <w:pStyle w:val="ColorfulList-Accent11"/>
              <w:tabs>
                <w:tab w:val="left" w:pos="0"/>
                <w:tab w:val="left" w:pos="284"/>
              </w:tabs>
              <w:ind w:left="0" w:right="-90"/>
              <w:jc w:val="center"/>
              <w:rPr>
                <w:rFonts w:ascii="Arial" w:hAnsi="Arial" w:cs="Arial"/>
                <w:sz w:val="18"/>
                <w:szCs w:val="18"/>
                <w:lang w:val="el-GR"/>
              </w:rPr>
            </w:pPr>
            <w:r w:rsidRPr="00CA6E28">
              <w:rPr>
                <w:rFonts w:ascii="Arial" w:hAnsi="Arial" w:cs="Arial"/>
                <w:sz w:val="18"/>
                <w:szCs w:val="18"/>
              </w:rPr>
              <w:t>(46</w:t>
            </w:r>
            <w:r w:rsidR="003B452A" w:rsidRPr="00CA6E28">
              <w:rPr>
                <w:rFonts w:ascii="Arial" w:hAnsi="Arial" w:cs="Arial"/>
                <w:sz w:val="18"/>
                <w:szCs w:val="18"/>
              </w:rPr>
              <w:t>,</w:t>
            </w:r>
            <w:r w:rsidRPr="00CA6E28">
              <w:rPr>
                <w:rFonts w:ascii="Arial" w:hAnsi="Arial" w:cs="Arial"/>
                <w:sz w:val="18"/>
                <w:szCs w:val="18"/>
              </w:rPr>
              <w:t>0)</w:t>
            </w:r>
          </w:p>
        </w:tc>
        <w:tc>
          <w:tcPr>
            <w:tcW w:w="1183" w:type="dxa"/>
            <w:tcBorders>
              <w:top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3F625323" w14:textId="57998E5F" w:rsidR="00764283" w:rsidRPr="00CA6E28" w:rsidRDefault="00764283" w:rsidP="00764283">
            <w:pPr>
              <w:pStyle w:val="ColorfulList-Accent11"/>
              <w:tabs>
                <w:tab w:val="left" w:pos="0"/>
                <w:tab w:val="left" w:pos="284"/>
              </w:tabs>
              <w:ind w:left="0" w:right="-90"/>
              <w:jc w:val="center"/>
              <w:rPr>
                <w:rFonts w:ascii="Arial" w:hAnsi="Arial" w:cs="Arial"/>
                <w:sz w:val="18"/>
                <w:szCs w:val="18"/>
                <w:lang w:val="el-GR"/>
              </w:rPr>
            </w:pPr>
            <w:r w:rsidRPr="00CA6E28">
              <w:rPr>
                <w:rFonts w:ascii="Arial" w:hAnsi="Arial" w:cs="Arial"/>
                <w:sz w:val="18"/>
                <w:szCs w:val="18"/>
              </w:rPr>
              <w:t>-69</w:t>
            </w:r>
            <w:r w:rsidR="003B452A" w:rsidRPr="00CA6E28">
              <w:rPr>
                <w:rFonts w:ascii="Arial" w:hAnsi="Arial" w:cs="Arial"/>
                <w:sz w:val="18"/>
                <w:szCs w:val="18"/>
              </w:rPr>
              <w:t>,</w:t>
            </w:r>
            <w:r w:rsidRPr="00CA6E28">
              <w:rPr>
                <w:rFonts w:ascii="Arial" w:hAnsi="Arial" w:cs="Arial"/>
                <w:sz w:val="18"/>
                <w:szCs w:val="18"/>
              </w:rPr>
              <w:t>6%</w:t>
            </w:r>
          </w:p>
        </w:tc>
        <w:tc>
          <w:tcPr>
            <w:tcW w:w="1183"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3A1C319E" w14:textId="0FFAD19D" w:rsidR="00764283" w:rsidRPr="00CA6E28" w:rsidRDefault="00764283" w:rsidP="00764283">
            <w:pPr>
              <w:pStyle w:val="ColorfulList-Accent11"/>
              <w:tabs>
                <w:tab w:val="left" w:pos="0"/>
                <w:tab w:val="left" w:pos="284"/>
              </w:tabs>
              <w:ind w:left="0" w:right="-90"/>
              <w:jc w:val="center"/>
              <w:rPr>
                <w:rFonts w:ascii="Arial" w:hAnsi="Arial" w:cs="Arial"/>
                <w:sz w:val="18"/>
                <w:szCs w:val="18"/>
                <w:lang w:val="el-GR"/>
              </w:rPr>
            </w:pPr>
            <w:r w:rsidRPr="00CA6E28">
              <w:rPr>
                <w:rFonts w:ascii="Arial" w:hAnsi="Arial" w:cs="Arial"/>
                <w:sz w:val="18"/>
                <w:szCs w:val="18"/>
              </w:rPr>
              <w:t>(65</w:t>
            </w:r>
            <w:r w:rsidR="003B452A" w:rsidRPr="00CA6E28">
              <w:rPr>
                <w:rFonts w:ascii="Arial" w:hAnsi="Arial" w:cs="Arial"/>
                <w:sz w:val="18"/>
                <w:szCs w:val="18"/>
              </w:rPr>
              <w:t>,</w:t>
            </w:r>
            <w:r w:rsidRPr="00CA6E28">
              <w:rPr>
                <w:rFonts w:ascii="Arial" w:hAnsi="Arial" w:cs="Arial"/>
                <w:sz w:val="18"/>
                <w:szCs w:val="18"/>
              </w:rPr>
              <w:t>1)</w:t>
            </w:r>
          </w:p>
        </w:tc>
        <w:tc>
          <w:tcPr>
            <w:tcW w:w="1183" w:type="dxa"/>
            <w:tcBorders>
              <w:top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66A8544F" w14:textId="7F265E00" w:rsidR="00764283" w:rsidRPr="00CA6E28" w:rsidRDefault="00764283" w:rsidP="00764283">
            <w:pPr>
              <w:pStyle w:val="ColorfulList-Accent11"/>
              <w:tabs>
                <w:tab w:val="left" w:pos="0"/>
                <w:tab w:val="left" w:pos="284"/>
              </w:tabs>
              <w:ind w:left="0" w:right="-90"/>
              <w:jc w:val="center"/>
              <w:rPr>
                <w:rFonts w:ascii="Arial" w:hAnsi="Arial" w:cs="Arial"/>
                <w:sz w:val="18"/>
                <w:szCs w:val="18"/>
                <w:lang w:val="el-GR"/>
              </w:rPr>
            </w:pPr>
            <w:r w:rsidRPr="00CA6E28">
              <w:rPr>
                <w:rFonts w:ascii="Arial" w:hAnsi="Arial" w:cs="Arial"/>
                <w:sz w:val="18"/>
                <w:szCs w:val="18"/>
              </w:rPr>
              <w:t>(48</w:t>
            </w:r>
            <w:r w:rsidR="003B452A" w:rsidRPr="00CA6E28">
              <w:rPr>
                <w:rFonts w:ascii="Arial" w:hAnsi="Arial" w:cs="Arial"/>
                <w:sz w:val="18"/>
                <w:szCs w:val="18"/>
              </w:rPr>
              <w:t>,</w:t>
            </w:r>
            <w:r w:rsidRPr="00CA6E28">
              <w:rPr>
                <w:rFonts w:ascii="Arial" w:hAnsi="Arial" w:cs="Arial"/>
                <w:sz w:val="18"/>
                <w:szCs w:val="18"/>
              </w:rPr>
              <w:t>2)</w:t>
            </w:r>
          </w:p>
        </w:tc>
        <w:tc>
          <w:tcPr>
            <w:tcW w:w="1183" w:type="dxa"/>
            <w:tcBorders>
              <w:top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62B759B3" w14:textId="2605F9A4" w:rsidR="00764283" w:rsidRPr="00CA6E28" w:rsidRDefault="00764283" w:rsidP="00764283">
            <w:pPr>
              <w:pStyle w:val="ColorfulList-Accent11"/>
              <w:tabs>
                <w:tab w:val="left" w:pos="0"/>
                <w:tab w:val="left" w:pos="284"/>
              </w:tabs>
              <w:ind w:left="0" w:right="-90"/>
              <w:jc w:val="center"/>
              <w:rPr>
                <w:rFonts w:ascii="Arial" w:hAnsi="Arial" w:cs="Arial"/>
                <w:sz w:val="18"/>
                <w:szCs w:val="18"/>
                <w:lang w:val="el-GR"/>
              </w:rPr>
            </w:pPr>
            <w:r w:rsidRPr="00CA6E28">
              <w:rPr>
                <w:rFonts w:ascii="Arial" w:hAnsi="Arial" w:cs="Arial"/>
                <w:sz w:val="18"/>
                <w:szCs w:val="18"/>
              </w:rPr>
              <w:t>+35</w:t>
            </w:r>
            <w:r w:rsidR="003B452A" w:rsidRPr="00CA6E28">
              <w:rPr>
                <w:rFonts w:ascii="Arial" w:hAnsi="Arial" w:cs="Arial"/>
                <w:sz w:val="18"/>
                <w:szCs w:val="18"/>
              </w:rPr>
              <w:t>,</w:t>
            </w:r>
            <w:r w:rsidRPr="00CA6E28">
              <w:rPr>
                <w:rFonts w:ascii="Arial" w:hAnsi="Arial" w:cs="Arial"/>
                <w:sz w:val="18"/>
                <w:szCs w:val="18"/>
              </w:rPr>
              <w:t>1%</w:t>
            </w:r>
          </w:p>
        </w:tc>
      </w:tr>
      <w:tr w:rsidR="00764283" w:rsidRPr="00CA6E28" w14:paraId="775D906F" w14:textId="77777777" w:rsidTr="00172C17">
        <w:trPr>
          <w:trHeight w:val="252"/>
        </w:trPr>
        <w:tc>
          <w:tcPr>
            <w:tcW w:w="3495" w:type="dxa"/>
            <w:tcBorders>
              <w:top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D9D9D9" w:themeFill="background1" w:themeFillShade="D9"/>
            <w:vAlign w:val="center"/>
          </w:tcPr>
          <w:p w14:paraId="060F17DE" w14:textId="7F74F68A" w:rsidR="00764283" w:rsidRPr="00CA6E28" w:rsidRDefault="00764283" w:rsidP="00764283">
            <w:pPr>
              <w:pStyle w:val="ColorfulList-Accent11"/>
              <w:tabs>
                <w:tab w:val="left" w:pos="0"/>
                <w:tab w:val="left" w:pos="284"/>
              </w:tabs>
              <w:ind w:left="0" w:right="-90"/>
              <w:rPr>
                <w:rFonts w:ascii="Arial" w:hAnsi="Arial" w:cs="Arial"/>
                <w:b/>
                <w:bCs/>
                <w:sz w:val="18"/>
                <w:szCs w:val="18"/>
                <w:lang w:val="el-GR"/>
              </w:rPr>
            </w:pPr>
            <w:r w:rsidRPr="00CA6E28">
              <w:rPr>
                <w:rFonts w:ascii="Arial" w:hAnsi="Arial" w:cs="Arial"/>
                <w:b/>
                <w:bCs/>
                <w:sz w:val="18"/>
                <w:szCs w:val="18"/>
                <w:lang w:val="el-GR"/>
              </w:rPr>
              <w:t>Κέρδη χρήσης</w:t>
            </w:r>
          </w:p>
        </w:tc>
        <w:tc>
          <w:tcPr>
            <w:tcW w:w="1072"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D9D9D9" w:themeFill="background1" w:themeFillShade="D9"/>
            <w:vAlign w:val="center"/>
          </w:tcPr>
          <w:p w14:paraId="0C13487D" w14:textId="4D827462" w:rsidR="00764283" w:rsidRPr="00506BBE" w:rsidRDefault="00764283" w:rsidP="00764283">
            <w:pPr>
              <w:pStyle w:val="ColorfulList-Accent11"/>
              <w:tabs>
                <w:tab w:val="left" w:pos="0"/>
                <w:tab w:val="left" w:pos="284"/>
              </w:tabs>
              <w:ind w:left="0" w:right="-90"/>
              <w:jc w:val="center"/>
              <w:rPr>
                <w:rFonts w:ascii="Arial" w:hAnsi="Arial" w:cs="Arial"/>
                <w:b/>
                <w:sz w:val="18"/>
                <w:szCs w:val="18"/>
                <w:lang w:val="el-GR"/>
              </w:rPr>
            </w:pPr>
            <w:r w:rsidRPr="00CA6E28">
              <w:rPr>
                <w:rFonts w:ascii="Arial" w:hAnsi="Arial" w:cs="Arial"/>
                <w:b/>
                <w:bCs/>
                <w:sz w:val="18"/>
                <w:szCs w:val="18"/>
              </w:rPr>
              <w:t>257</w:t>
            </w:r>
            <w:r w:rsidR="003B452A" w:rsidRPr="00CA6E28">
              <w:rPr>
                <w:rFonts w:ascii="Arial" w:hAnsi="Arial" w:cs="Arial"/>
                <w:b/>
                <w:bCs/>
                <w:sz w:val="18"/>
                <w:szCs w:val="18"/>
              </w:rPr>
              <w:t>,</w:t>
            </w:r>
            <w:r w:rsidRPr="00CA6E28">
              <w:rPr>
                <w:rFonts w:ascii="Arial" w:hAnsi="Arial" w:cs="Arial"/>
                <w:b/>
                <w:bCs/>
                <w:sz w:val="18"/>
                <w:szCs w:val="18"/>
              </w:rPr>
              <w:t>5</w:t>
            </w:r>
          </w:p>
        </w:tc>
        <w:tc>
          <w:tcPr>
            <w:tcW w:w="1103" w:type="dxa"/>
            <w:tcBorders>
              <w:top w:val="single" w:sz="2" w:space="0" w:color="808080" w:themeColor="background1" w:themeShade="80"/>
              <w:bottom w:val="single" w:sz="2" w:space="0" w:color="808080" w:themeColor="background1" w:themeShade="80"/>
            </w:tcBorders>
            <w:shd w:val="clear" w:color="auto" w:fill="D9D9D9" w:themeFill="background1" w:themeFillShade="D9"/>
            <w:vAlign w:val="center"/>
          </w:tcPr>
          <w:p w14:paraId="5AD096A9" w14:textId="20B7B277" w:rsidR="00764283" w:rsidRPr="00506BBE" w:rsidRDefault="00764283" w:rsidP="00764283">
            <w:pPr>
              <w:pStyle w:val="ColorfulList-Accent11"/>
              <w:tabs>
                <w:tab w:val="left" w:pos="0"/>
                <w:tab w:val="left" w:pos="284"/>
              </w:tabs>
              <w:ind w:left="0" w:right="-90"/>
              <w:jc w:val="center"/>
              <w:rPr>
                <w:rFonts w:ascii="Arial" w:hAnsi="Arial" w:cs="Arial"/>
                <w:b/>
                <w:sz w:val="18"/>
                <w:szCs w:val="18"/>
                <w:lang w:val="el-GR"/>
              </w:rPr>
            </w:pPr>
            <w:r w:rsidRPr="00CA6E28">
              <w:rPr>
                <w:rFonts w:ascii="Arial" w:hAnsi="Arial" w:cs="Arial"/>
                <w:b/>
                <w:bCs/>
                <w:sz w:val="18"/>
                <w:szCs w:val="18"/>
              </w:rPr>
              <w:t>153</w:t>
            </w:r>
            <w:r w:rsidR="003B452A" w:rsidRPr="00CA6E28">
              <w:rPr>
                <w:rFonts w:ascii="Arial" w:hAnsi="Arial" w:cs="Arial"/>
                <w:b/>
                <w:bCs/>
                <w:sz w:val="18"/>
                <w:szCs w:val="18"/>
              </w:rPr>
              <w:t>,</w:t>
            </w:r>
            <w:r w:rsidRPr="00CA6E28">
              <w:rPr>
                <w:rFonts w:ascii="Arial" w:hAnsi="Arial" w:cs="Arial"/>
                <w:b/>
                <w:bCs/>
                <w:sz w:val="18"/>
                <w:szCs w:val="18"/>
              </w:rPr>
              <w:t>6</w:t>
            </w:r>
          </w:p>
        </w:tc>
        <w:tc>
          <w:tcPr>
            <w:tcW w:w="1183" w:type="dxa"/>
            <w:tcBorders>
              <w:top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D9D9D9" w:themeFill="background1" w:themeFillShade="D9"/>
            <w:vAlign w:val="center"/>
          </w:tcPr>
          <w:p w14:paraId="0F30B487" w14:textId="47E303BA" w:rsidR="00764283" w:rsidRPr="00506BBE" w:rsidRDefault="00764283" w:rsidP="00764283">
            <w:pPr>
              <w:pStyle w:val="ColorfulList-Accent11"/>
              <w:tabs>
                <w:tab w:val="left" w:pos="0"/>
                <w:tab w:val="left" w:pos="284"/>
              </w:tabs>
              <w:ind w:left="0" w:right="-90"/>
              <w:jc w:val="center"/>
              <w:rPr>
                <w:rFonts w:ascii="Arial" w:hAnsi="Arial" w:cs="Arial"/>
                <w:b/>
                <w:sz w:val="18"/>
                <w:szCs w:val="18"/>
                <w:lang w:val="el-GR"/>
              </w:rPr>
            </w:pPr>
            <w:r w:rsidRPr="00CA6E28">
              <w:rPr>
                <w:rFonts w:ascii="Arial" w:hAnsi="Arial" w:cs="Arial"/>
                <w:b/>
                <w:bCs/>
                <w:sz w:val="18"/>
                <w:szCs w:val="18"/>
              </w:rPr>
              <w:t>+67</w:t>
            </w:r>
            <w:r w:rsidR="003B452A" w:rsidRPr="00CA6E28">
              <w:rPr>
                <w:rFonts w:ascii="Arial" w:hAnsi="Arial" w:cs="Arial"/>
                <w:b/>
                <w:bCs/>
                <w:sz w:val="18"/>
                <w:szCs w:val="18"/>
              </w:rPr>
              <w:t>,</w:t>
            </w:r>
            <w:r w:rsidRPr="00CA6E28">
              <w:rPr>
                <w:rFonts w:ascii="Arial" w:hAnsi="Arial" w:cs="Arial"/>
                <w:b/>
                <w:bCs/>
                <w:sz w:val="18"/>
                <w:szCs w:val="18"/>
              </w:rPr>
              <w:t>6%</w:t>
            </w:r>
          </w:p>
        </w:tc>
        <w:tc>
          <w:tcPr>
            <w:tcW w:w="1183"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D9D9D9" w:themeFill="background1" w:themeFillShade="D9"/>
            <w:vAlign w:val="center"/>
          </w:tcPr>
          <w:p w14:paraId="5A8A5E6E" w14:textId="4246310F" w:rsidR="00764283" w:rsidRPr="00506BBE" w:rsidRDefault="00764283" w:rsidP="00764283">
            <w:pPr>
              <w:pStyle w:val="ColorfulList-Accent11"/>
              <w:tabs>
                <w:tab w:val="left" w:pos="0"/>
                <w:tab w:val="left" w:pos="284"/>
              </w:tabs>
              <w:ind w:left="0" w:right="-90"/>
              <w:jc w:val="center"/>
              <w:rPr>
                <w:rFonts w:ascii="Arial" w:hAnsi="Arial" w:cs="Arial"/>
                <w:b/>
                <w:sz w:val="18"/>
                <w:szCs w:val="18"/>
                <w:lang w:val="el-GR"/>
              </w:rPr>
            </w:pPr>
            <w:r w:rsidRPr="00CA6E28">
              <w:rPr>
                <w:rFonts w:ascii="Arial" w:hAnsi="Arial" w:cs="Arial"/>
                <w:b/>
                <w:bCs/>
                <w:sz w:val="18"/>
                <w:szCs w:val="18"/>
              </w:rPr>
              <w:t>487</w:t>
            </w:r>
            <w:r w:rsidR="003B452A" w:rsidRPr="00CA6E28">
              <w:rPr>
                <w:rFonts w:ascii="Arial" w:hAnsi="Arial" w:cs="Arial"/>
                <w:b/>
                <w:bCs/>
                <w:sz w:val="18"/>
                <w:szCs w:val="18"/>
              </w:rPr>
              <w:t>,</w:t>
            </w:r>
            <w:r w:rsidRPr="00CA6E28">
              <w:rPr>
                <w:rFonts w:ascii="Arial" w:hAnsi="Arial" w:cs="Arial"/>
                <w:b/>
                <w:bCs/>
                <w:sz w:val="18"/>
                <w:szCs w:val="18"/>
              </w:rPr>
              <w:t>4</w:t>
            </w:r>
          </w:p>
        </w:tc>
        <w:tc>
          <w:tcPr>
            <w:tcW w:w="1183" w:type="dxa"/>
            <w:tcBorders>
              <w:top w:val="single" w:sz="2" w:space="0" w:color="808080" w:themeColor="background1" w:themeShade="80"/>
              <w:bottom w:val="single" w:sz="2" w:space="0" w:color="808080" w:themeColor="background1" w:themeShade="80"/>
            </w:tcBorders>
            <w:shd w:val="clear" w:color="auto" w:fill="D9D9D9" w:themeFill="background1" w:themeFillShade="D9"/>
            <w:vAlign w:val="center"/>
          </w:tcPr>
          <w:p w14:paraId="0955956E" w14:textId="19D4DE46" w:rsidR="00764283" w:rsidRPr="00506BBE" w:rsidRDefault="00764283" w:rsidP="00764283">
            <w:pPr>
              <w:pStyle w:val="ColorfulList-Accent11"/>
              <w:tabs>
                <w:tab w:val="left" w:pos="0"/>
                <w:tab w:val="left" w:pos="284"/>
              </w:tabs>
              <w:ind w:left="0" w:right="-90"/>
              <w:jc w:val="center"/>
              <w:rPr>
                <w:rFonts w:ascii="Arial" w:hAnsi="Arial" w:cs="Arial"/>
                <w:b/>
                <w:sz w:val="18"/>
                <w:szCs w:val="18"/>
                <w:lang w:val="el-GR"/>
              </w:rPr>
            </w:pPr>
            <w:r w:rsidRPr="00CA6E28">
              <w:rPr>
                <w:rFonts w:ascii="Arial" w:hAnsi="Arial" w:cs="Arial"/>
                <w:b/>
                <w:bCs/>
                <w:sz w:val="18"/>
                <w:szCs w:val="18"/>
              </w:rPr>
              <w:t>414</w:t>
            </w:r>
            <w:r w:rsidR="003B452A" w:rsidRPr="00CA6E28">
              <w:rPr>
                <w:rFonts w:ascii="Arial" w:hAnsi="Arial" w:cs="Arial"/>
                <w:b/>
                <w:bCs/>
                <w:sz w:val="18"/>
                <w:szCs w:val="18"/>
              </w:rPr>
              <w:t>,</w:t>
            </w:r>
            <w:r w:rsidRPr="00CA6E28">
              <w:rPr>
                <w:rFonts w:ascii="Arial" w:hAnsi="Arial" w:cs="Arial"/>
                <w:b/>
                <w:bCs/>
                <w:sz w:val="18"/>
                <w:szCs w:val="18"/>
              </w:rPr>
              <w:t>3</w:t>
            </w:r>
          </w:p>
        </w:tc>
        <w:tc>
          <w:tcPr>
            <w:tcW w:w="1183" w:type="dxa"/>
            <w:tcBorders>
              <w:top w:val="single" w:sz="2" w:space="0" w:color="808080" w:themeColor="background1" w:themeShade="80"/>
              <w:bottom w:val="single" w:sz="2" w:space="0" w:color="808080" w:themeColor="background1" w:themeShade="80"/>
            </w:tcBorders>
            <w:shd w:val="clear" w:color="auto" w:fill="D9D9D9" w:themeFill="background1" w:themeFillShade="D9"/>
            <w:vAlign w:val="center"/>
          </w:tcPr>
          <w:p w14:paraId="33524CEB" w14:textId="00712688" w:rsidR="00764283" w:rsidRPr="00506BBE" w:rsidRDefault="00764283" w:rsidP="00764283">
            <w:pPr>
              <w:pStyle w:val="ColorfulList-Accent11"/>
              <w:tabs>
                <w:tab w:val="left" w:pos="0"/>
                <w:tab w:val="left" w:pos="284"/>
              </w:tabs>
              <w:ind w:left="0" w:right="-90"/>
              <w:jc w:val="center"/>
              <w:rPr>
                <w:rFonts w:ascii="Arial" w:hAnsi="Arial" w:cs="Arial"/>
                <w:b/>
                <w:sz w:val="18"/>
                <w:szCs w:val="18"/>
                <w:lang w:val="el-GR"/>
              </w:rPr>
            </w:pPr>
            <w:r w:rsidRPr="00CA6E28">
              <w:rPr>
                <w:rFonts w:ascii="Arial" w:hAnsi="Arial" w:cs="Arial"/>
                <w:b/>
                <w:bCs/>
                <w:sz w:val="18"/>
                <w:szCs w:val="18"/>
              </w:rPr>
              <w:t>+17</w:t>
            </w:r>
            <w:r w:rsidR="003B452A" w:rsidRPr="00CA6E28">
              <w:rPr>
                <w:rFonts w:ascii="Arial" w:hAnsi="Arial" w:cs="Arial"/>
                <w:b/>
                <w:bCs/>
                <w:sz w:val="18"/>
                <w:szCs w:val="18"/>
              </w:rPr>
              <w:t>,</w:t>
            </w:r>
            <w:r w:rsidRPr="00CA6E28">
              <w:rPr>
                <w:rFonts w:ascii="Arial" w:hAnsi="Arial" w:cs="Arial"/>
                <w:b/>
                <w:bCs/>
                <w:sz w:val="18"/>
                <w:szCs w:val="18"/>
              </w:rPr>
              <w:t>6%</w:t>
            </w:r>
          </w:p>
        </w:tc>
      </w:tr>
      <w:tr w:rsidR="00764283" w:rsidRPr="00CA6E28" w14:paraId="3BA1059E" w14:textId="77777777" w:rsidTr="00AA2930">
        <w:trPr>
          <w:trHeight w:val="252"/>
        </w:trPr>
        <w:tc>
          <w:tcPr>
            <w:tcW w:w="3495" w:type="dxa"/>
            <w:tcBorders>
              <w:top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386A4D71" w14:textId="310D1BA7" w:rsidR="00764283" w:rsidRPr="00CA6E28" w:rsidRDefault="00764283" w:rsidP="00764283">
            <w:pPr>
              <w:pStyle w:val="ColorfulList-Accent11"/>
              <w:tabs>
                <w:tab w:val="left" w:pos="0"/>
                <w:tab w:val="left" w:pos="284"/>
              </w:tabs>
              <w:ind w:left="0" w:right="-90"/>
              <w:rPr>
                <w:rFonts w:ascii="Arial" w:hAnsi="Arial" w:cs="Arial"/>
                <w:sz w:val="18"/>
                <w:szCs w:val="18"/>
              </w:rPr>
            </w:pPr>
            <w:proofErr w:type="spellStart"/>
            <w:r w:rsidRPr="00CA6E28">
              <w:rPr>
                <w:rFonts w:ascii="Arial" w:hAnsi="Arial" w:cs="Arial"/>
                <w:sz w:val="18"/>
                <w:szCs w:val="18"/>
                <w:lang w:val="el-GR"/>
              </w:rPr>
              <w:t>Κατανεμόμενα</w:t>
            </w:r>
            <w:proofErr w:type="spellEnd"/>
            <w:r w:rsidRPr="00CA6E28">
              <w:rPr>
                <w:rFonts w:ascii="Arial" w:hAnsi="Arial" w:cs="Arial"/>
                <w:sz w:val="18"/>
                <w:szCs w:val="18"/>
                <w:lang w:val="el-GR"/>
              </w:rPr>
              <w:t xml:space="preserve"> σε</w:t>
            </w:r>
            <w:r w:rsidRPr="00CA6E28">
              <w:rPr>
                <w:rFonts w:ascii="Arial" w:hAnsi="Arial" w:cs="Arial"/>
                <w:sz w:val="18"/>
                <w:szCs w:val="18"/>
              </w:rPr>
              <w:t>:</w:t>
            </w:r>
          </w:p>
        </w:tc>
        <w:tc>
          <w:tcPr>
            <w:tcW w:w="1072" w:type="dxa"/>
            <w:tcBorders>
              <w:top w:val="single" w:sz="2" w:space="0" w:color="808080" w:themeColor="background1" w:themeShade="80"/>
              <w:left w:val="single" w:sz="2" w:space="0" w:color="808080" w:themeColor="background1" w:themeShade="80"/>
              <w:bottom w:val="single" w:sz="2" w:space="0" w:color="808080" w:themeColor="background1" w:themeShade="80"/>
            </w:tcBorders>
            <w:vAlign w:val="center"/>
          </w:tcPr>
          <w:p w14:paraId="6129A99D" w14:textId="77777777" w:rsidR="00764283" w:rsidRPr="00CA6E28" w:rsidRDefault="00764283" w:rsidP="00764283">
            <w:pPr>
              <w:pStyle w:val="ColorfulList-Accent11"/>
              <w:tabs>
                <w:tab w:val="left" w:pos="0"/>
                <w:tab w:val="left" w:pos="284"/>
              </w:tabs>
              <w:ind w:left="0" w:right="-90"/>
              <w:jc w:val="center"/>
              <w:rPr>
                <w:rFonts w:ascii="Arial" w:hAnsi="Arial" w:cs="Arial"/>
                <w:sz w:val="18"/>
                <w:szCs w:val="18"/>
                <w:lang w:val="el-GR"/>
              </w:rPr>
            </w:pPr>
          </w:p>
        </w:tc>
        <w:tc>
          <w:tcPr>
            <w:tcW w:w="1103" w:type="dxa"/>
            <w:tcBorders>
              <w:top w:val="single" w:sz="2" w:space="0" w:color="808080" w:themeColor="background1" w:themeShade="80"/>
              <w:bottom w:val="single" w:sz="2" w:space="0" w:color="808080" w:themeColor="background1" w:themeShade="80"/>
            </w:tcBorders>
            <w:vAlign w:val="center"/>
          </w:tcPr>
          <w:p w14:paraId="165CC368" w14:textId="77777777" w:rsidR="00764283" w:rsidRPr="00CA6E28" w:rsidRDefault="00764283" w:rsidP="00764283">
            <w:pPr>
              <w:pStyle w:val="ColorfulList-Accent11"/>
              <w:tabs>
                <w:tab w:val="left" w:pos="0"/>
                <w:tab w:val="left" w:pos="284"/>
              </w:tabs>
              <w:ind w:left="0" w:right="-90"/>
              <w:jc w:val="center"/>
              <w:rPr>
                <w:rFonts w:ascii="Arial" w:hAnsi="Arial" w:cs="Arial"/>
                <w:sz w:val="18"/>
                <w:szCs w:val="18"/>
                <w:lang w:val="el-GR"/>
              </w:rPr>
            </w:pPr>
          </w:p>
        </w:tc>
        <w:tc>
          <w:tcPr>
            <w:tcW w:w="1183" w:type="dxa"/>
            <w:tcBorders>
              <w:top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7FC11850" w14:textId="77777777" w:rsidR="00764283" w:rsidRPr="00CA6E28" w:rsidRDefault="00764283" w:rsidP="00764283">
            <w:pPr>
              <w:pStyle w:val="ColorfulList-Accent11"/>
              <w:tabs>
                <w:tab w:val="left" w:pos="0"/>
                <w:tab w:val="left" w:pos="284"/>
              </w:tabs>
              <w:ind w:left="0" w:right="-90"/>
              <w:jc w:val="center"/>
              <w:rPr>
                <w:rFonts w:ascii="Arial" w:hAnsi="Arial" w:cs="Arial"/>
                <w:sz w:val="18"/>
                <w:szCs w:val="18"/>
                <w:lang w:val="el-GR"/>
              </w:rPr>
            </w:pPr>
          </w:p>
        </w:tc>
        <w:tc>
          <w:tcPr>
            <w:tcW w:w="1183" w:type="dxa"/>
            <w:tcBorders>
              <w:top w:val="single" w:sz="2" w:space="0" w:color="808080" w:themeColor="background1" w:themeShade="80"/>
              <w:left w:val="single" w:sz="2" w:space="0" w:color="808080" w:themeColor="background1" w:themeShade="80"/>
              <w:bottom w:val="single" w:sz="2" w:space="0" w:color="808080" w:themeColor="background1" w:themeShade="80"/>
            </w:tcBorders>
            <w:vAlign w:val="center"/>
          </w:tcPr>
          <w:p w14:paraId="2DCEA35C" w14:textId="77777777" w:rsidR="00764283" w:rsidRPr="00CA6E28" w:rsidRDefault="00764283" w:rsidP="00764283">
            <w:pPr>
              <w:pStyle w:val="ColorfulList-Accent11"/>
              <w:tabs>
                <w:tab w:val="left" w:pos="0"/>
                <w:tab w:val="left" w:pos="284"/>
              </w:tabs>
              <w:ind w:left="0" w:right="-90"/>
              <w:jc w:val="center"/>
              <w:rPr>
                <w:rFonts w:ascii="Arial" w:hAnsi="Arial" w:cs="Arial"/>
                <w:sz w:val="18"/>
                <w:szCs w:val="18"/>
                <w:lang w:val="el-GR"/>
              </w:rPr>
            </w:pPr>
          </w:p>
        </w:tc>
        <w:tc>
          <w:tcPr>
            <w:tcW w:w="1183" w:type="dxa"/>
            <w:tcBorders>
              <w:top w:val="single" w:sz="2" w:space="0" w:color="808080" w:themeColor="background1" w:themeShade="80"/>
              <w:bottom w:val="single" w:sz="2" w:space="0" w:color="808080" w:themeColor="background1" w:themeShade="80"/>
            </w:tcBorders>
            <w:vAlign w:val="center"/>
          </w:tcPr>
          <w:p w14:paraId="6B5DC248" w14:textId="77777777" w:rsidR="00764283" w:rsidRPr="00CA6E28" w:rsidRDefault="00764283" w:rsidP="00764283">
            <w:pPr>
              <w:pStyle w:val="ColorfulList-Accent11"/>
              <w:tabs>
                <w:tab w:val="left" w:pos="0"/>
                <w:tab w:val="left" w:pos="284"/>
              </w:tabs>
              <w:ind w:left="0" w:right="-90"/>
              <w:jc w:val="center"/>
              <w:rPr>
                <w:rFonts w:ascii="Arial" w:hAnsi="Arial" w:cs="Arial"/>
                <w:sz w:val="18"/>
                <w:szCs w:val="18"/>
                <w:lang w:val="el-GR"/>
              </w:rPr>
            </w:pPr>
          </w:p>
        </w:tc>
        <w:tc>
          <w:tcPr>
            <w:tcW w:w="1183" w:type="dxa"/>
            <w:tcBorders>
              <w:top w:val="single" w:sz="2" w:space="0" w:color="808080" w:themeColor="background1" w:themeShade="80"/>
              <w:bottom w:val="single" w:sz="2" w:space="0" w:color="808080" w:themeColor="background1" w:themeShade="80"/>
            </w:tcBorders>
            <w:vAlign w:val="center"/>
          </w:tcPr>
          <w:p w14:paraId="06F33766" w14:textId="77777777" w:rsidR="00764283" w:rsidRPr="00CA6E28" w:rsidRDefault="00764283" w:rsidP="00764283">
            <w:pPr>
              <w:pStyle w:val="ColorfulList-Accent11"/>
              <w:tabs>
                <w:tab w:val="left" w:pos="0"/>
                <w:tab w:val="left" w:pos="284"/>
              </w:tabs>
              <w:ind w:left="0" w:right="-90"/>
              <w:jc w:val="center"/>
              <w:rPr>
                <w:rFonts w:ascii="Arial" w:hAnsi="Arial" w:cs="Arial"/>
                <w:sz w:val="18"/>
                <w:szCs w:val="18"/>
                <w:lang w:val="el-GR"/>
              </w:rPr>
            </w:pPr>
          </w:p>
        </w:tc>
      </w:tr>
      <w:tr w:rsidR="00764283" w:rsidRPr="00CA6E28" w14:paraId="419F6C9B" w14:textId="77777777" w:rsidTr="00172C17">
        <w:trPr>
          <w:trHeight w:val="252"/>
        </w:trPr>
        <w:tc>
          <w:tcPr>
            <w:tcW w:w="3495" w:type="dxa"/>
            <w:tcBorders>
              <w:top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D9D9D9" w:themeFill="background1" w:themeFillShade="D9"/>
            <w:vAlign w:val="center"/>
          </w:tcPr>
          <w:p w14:paraId="29A1F2F3" w14:textId="54894C92" w:rsidR="00764283" w:rsidRPr="00CA6E28" w:rsidRDefault="00764283" w:rsidP="00764283">
            <w:pPr>
              <w:pStyle w:val="ColorfulList-Accent11"/>
              <w:tabs>
                <w:tab w:val="left" w:pos="0"/>
                <w:tab w:val="left" w:pos="284"/>
              </w:tabs>
              <w:ind w:left="0" w:right="-90"/>
              <w:rPr>
                <w:rFonts w:ascii="Arial" w:hAnsi="Arial" w:cs="Arial"/>
                <w:sz w:val="18"/>
                <w:szCs w:val="18"/>
                <w:lang w:val="el-GR"/>
              </w:rPr>
            </w:pPr>
            <w:r w:rsidRPr="00CA6E28">
              <w:rPr>
                <w:rFonts w:ascii="Arial" w:hAnsi="Arial" w:cs="Arial"/>
                <w:sz w:val="18"/>
                <w:szCs w:val="18"/>
                <w:lang w:val="el-GR"/>
              </w:rPr>
              <w:t xml:space="preserve">Μετόχους της εταιρείας </w:t>
            </w:r>
          </w:p>
        </w:tc>
        <w:tc>
          <w:tcPr>
            <w:tcW w:w="1072"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D9D9D9" w:themeFill="background1" w:themeFillShade="D9"/>
            <w:vAlign w:val="center"/>
          </w:tcPr>
          <w:p w14:paraId="44F21B76" w14:textId="165FE465" w:rsidR="00764283" w:rsidRPr="00CA6E28" w:rsidRDefault="00764283" w:rsidP="00764283">
            <w:pPr>
              <w:pStyle w:val="ColorfulList-Accent11"/>
              <w:tabs>
                <w:tab w:val="left" w:pos="0"/>
                <w:tab w:val="left" w:pos="284"/>
              </w:tabs>
              <w:ind w:left="0" w:right="-90"/>
              <w:jc w:val="center"/>
              <w:rPr>
                <w:rFonts w:ascii="Arial" w:hAnsi="Arial" w:cs="Arial"/>
                <w:sz w:val="18"/>
                <w:szCs w:val="18"/>
                <w:lang w:val="el-GR"/>
              </w:rPr>
            </w:pPr>
            <w:r w:rsidRPr="00CA6E28">
              <w:rPr>
                <w:rFonts w:ascii="Arial" w:hAnsi="Arial" w:cs="Arial"/>
                <w:b/>
                <w:bCs/>
                <w:sz w:val="18"/>
                <w:szCs w:val="18"/>
              </w:rPr>
              <w:t>257</w:t>
            </w:r>
            <w:r w:rsidR="003B452A" w:rsidRPr="00CA6E28">
              <w:rPr>
                <w:rFonts w:ascii="Arial" w:hAnsi="Arial" w:cs="Arial"/>
                <w:b/>
                <w:bCs/>
                <w:sz w:val="18"/>
                <w:szCs w:val="18"/>
              </w:rPr>
              <w:t>,</w:t>
            </w:r>
            <w:r w:rsidRPr="00CA6E28">
              <w:rPr>
                <w:rFonts w:ascii="Arial" w:hAnsi="Arial" w:cs="Arial"/>
                <w:b/>
                <w:bCs/>
                <w:sz w:val="18"/>
                <w:szCs w:val="18"/>
              </w:rPr>
              <w:t>5</w:t>
            </w:r>
          </w:p>
        </w:tc>
        <w:tc>
          <w:tcPr>
            <w:tcW w:w="1103" w:type="dxa"/>
            <w:tcBorders>
              <w:top w:val="single" w:sz="2" w:space="0" w:color="808080" w:themeColor="background1" w:themeShade="80"/>
              <w:bottom w:val="single" w:sz="2" w:space="0" w:color="808080" w:themeColor="background1" w:themeShade="80"/>
            </w:tcBorders>
            <w:shd w:val="clear" w:color="auto" w:fill="D9D9D9" w:themeFill="background1" w:themeFillShade="D9"/>
            <w:vAlign w:val="center"/>
          </w:tcPr>
          <w:p w14:paraId="171446C6" w14:textId="77C9BCAC" w:rsidR="00764283" w:rsidRPr="00CA6E28" w:rsidRDefault="00764283" w:rsidP="00764283">
            <w:pPr>
              <w:pStyle w:val="ColorfulList-Accent11"/>
              <w:tabs>
                <w:tab w:val="left" w:pos="0"/>
                <w:tab w:val="left" w:pos="284"/>
              </w:tabs>
              <w:ind w:left="0" w:right="-90"/>
              <w:jc w:val="center"/>
              <w:rPr>
                <w:rFonts w:ascii="Arial" w:hAnsi="Arial" w:cs="Arial"/>
                <w:sz w:val="18"/>
                <w:szCs w:val="18"/>
                <w:lang w:val="el-GR"/>
              </w:rPr>
            </w:pPr>
            <w:r w:rsidRPr="00CA6E28">
              <w:rPr>
                <w:rFonts w:ascii="Arial" w:hAnsi="Arial" w:cs="Arial"/>
                <w:b/>
                <w:bCs/>
                <w:sz w:val="18"/>
                <w:szCs w:val="18"/>
              </w:rPr>
              <w:t>153</w:t>
            </w:r>
            <w:r w:rsidR="003B452A" w:rsidRPr="00CA6E28">
              <w:rPr>
                <w:rFonts w:ascii="Arial" w:hAnsi="Arial" w:cs="Arial"/>
                <w:b/>
                <w:bCs/>
                <w:sz w:val="18"/>
                <w:szCs w:val="18"/>
              </w:rPr>
              <w:t>,</w:t>
            </w:r>
            <w:r w:rsidRPr="00CA6E28">
              <w:rPr>
                <w:rFonts w:ascii="Arial" w:hAnsi="Arial" w:cs="Arial"/>
                <w:b/>
                <w:bCs/>
                <w:sz w:val="18"/>
                <w:szCs w:val="18"/>
              </w:rPr>
              <w:t>6</w:t>
            </w:r>
          </w:p>
        </w:tc>
        <w:tc>
          <w:tcPr>
            <w:tcW w:w="1183" w:type="dxa"/>
            <w:tcBorders>
              <w:top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D9D9D9" w:themeFill="background1" w:themeFillShade="D9"/>
            <w:vAlign w:val="center"/>
          </w:tcPr>
          <w:p w14:paraId="7FEBE9A6" w14:textId="44FB8E55" w:rsidR="00764283" w:rsidRPr="00CA6E28" w:rsidRDefault="00764283" w:rsidP="00764283">
            <w:pPr>
              <w:pStyle w:val="ColorfulList-Accent11"/>
              <w:tabs>
                <w:tab w:val="left" w:pos="0"/>
                <w:tab w:val="left" w:pos="284"/>
              </w:tabs>
              <w:ind w:left="0" w:right="-90"/>
              <w:jc w:val="center"/>
              <w:rPr>
                <w:rFonts w:ascii="Arial" w:hAnsi="Arial" w:cs="Arial"/>
                <w:sz w:val="18"/>
                <w:szCs w:val="18"/>
                <w:lang w:val="el-GR"/>
              </w:rPr>
            </w:pPr>
            <w:r w:rsidRPr="00CA6E28">
              <w:rPr>
                <w:rFonts w:ascii="Arial" w:hAnsi="Arial" w:cs="Arial"/>
                <w:b/>
                <w:bCs/>
                <w:sz w:val="18"/>
                <w:szCs w:val="18"/>
              </w:rPr>
              <w:t>+67</w:t>
            </w:r>
            <w:r w:rsidR="003B452A" w:rsidRPr="00CA6E28">
              <w:rPr>
                <w:rFonts w:ascii="Arial" w:hAnsi="Arial" w:cs="Arial"/>
                <w:b/>
                <w:bCs/>
                <w:sz w:val="18"/>
                <w:szCs w:val="18"/>
              </w:rPr>
              <w:t>,</w:t>
            </w:r>
            <w:r w:rsidRPr="00CA6E28">
              <w:rPr>
                <w:rFonts w:ascii="Arial" w:hAnsi="Arial" w:cs="Arial"/>
                <w:b/>
                <w:bCs/>
                <w:sz w:val="18"/>
                <w:szCs w:val="18"/>
              </w:rPr>
              <w:t>6%</w:t>
            </w:r>
          </w:p>
        </w:tc>
        <w:tc>
          <w:tcPr>
            <w:tcW w:w="1183"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D9D9D9" w:themeFill="background1" w:themeFillShade="D9"/>
            <w:vAlign w:val="center"/>
          </w:tcPr>
          <w:p w14:paraId="186F8FB3" w14:textId="1158055A" w:rsidR="00764283" w:rsidRPr="00CA6E28" w:rsidRDefault="00764283" w:rsidP="00764283">
            <w:pPr>
              <w:pStyle w:val="ColorfulList-Accent11"/>
              <w:tabs>
                <w:tab w:val="left" w:pos="0"/>
                <w:tab w:val="left" w:pos="284"/>
              </w:tabs>
              <w:ind w:left="0" w:right="-90"/>
              <w:jc w:val="center"/>
              <w:rPr>
                <w:rFonts w:ascii="Arial" w:hAnsi="Arial" w:cs="Arial"/>
                <w:sz w:val="18"/>
                <w:szCs w:val="18"/>
                <w:lang w:val="el-GR"/>
              </w:rPr>
            </w:pPr>
            <w:r w:rsidRPr="00CA6E28">
              <w:rPr>
                <w:rFonts w:ascii="Arial" w:hAnsi="Arial" w:cs="Arial"/>
                <w:b/>
                <w:bCs/>
                <w:sz w:val="18"/>
                <w:szCs w:val="18"/>
              </w:rPr>
              <w:t>487</w:t>
            </w:r>
            <w:r w:rsidR="003B452A" w:rsidRPr="00CA6E28">
              <w:rPr>
                <w:rFonts w:ascii="Arial" w:hAnsi="Arial" w:cs="Arial"/>
                <w:b/>
                <w:bCs/>
                <w:sz w:val="18"/>
                <w:szCs w:val="18"/>
              </w:rPr>
              <w:t>,</w:t>
            </w:r>
            <w:r w:rsidRPr="00CA6E28">
              <w:rPr>
                <w:rFonts w:ascii="Arial" w:hAnsi="Arial" w:cs="Arial"/>
                <w:b/>
                <w:bCs/>
                <w:sz w:val="18"/>
                <w:szCs w:val="18"/>
              </w:rPr>
              <w:t>4</w:t>
            </w:r>
          </w:p>
        </w:tc>
        <w:tc>
          <w:tcPr>
            <w:tcW w:w="1183" w:type="dxa"/>
            <w:tcBorders>
              <w:top w:val="single" w:sz="2" w:space="0" w:color="808080" w:themeColor="background1" w:themeShade="80"/>
              <w:bottom w:val="single" w:sz="2" w:space="0" w:color="808080" w:themeColor="background1" w:themeShade="80"/>
            </w:tcBorders>
            <w:shd w:val="clear" w:color="auto" w:fill="D9D9D9" w:themeFill="background1" w:themeFillShade="D9"/>
            <w:vAlign w:val="center"/>
          </w:tcPr>
          <w:p w14:paraId="0AE88C63" w14:textId="78D212B3" w:rsidR="00764283" w:rsidRPr="00CA6E28" w:rsidRDefault="00764283" w:rsidP="00764283">
            <w:pPr>
              <w:pStyle w:val="ColorfulList-Accent11"/>
              <w:tabs>
                <w:tab w:val="left" w:pos="0"/>
                <w:tab w:val="left" w:pos="284"/>
              </w:tabs>
              <w:ind w:left="0" w:right="-90"/>
              <w:jc w:val="center"/>
              <w:rPr>
                <w:rFonts w:ascii="Arial" w:hAnsi="Arial" w:cs="Arial"/>
                <w:sz w:val="18"/>
                <w:szCs w:val="18"/>
                <w:lang w:val="el-GR"/>
              </w:rPr>
            </w:pPr>
            <w:r w:rsidRPr="00CA6E28">
              <w:rPr>
                <w:rFonts w:ascii="Arial" w:hAnsi="Arial" w:cs="Arial"/>
                <w:b/>
                <w:bCs/>
                <w:sz w:val="18"/>
                <w:szCs w:val="18"/>
              </w:rPr>
              <w:t>414</w:t>
            </w:r>
            <w:r w:rsidR="003B452A" w:rsidRPr="00CA6E28">
              <w:rPr>
                <w:rFonts w:ascii="Arial" w:hAnsi="Arial" w:cs="Arial"/>
                <w:b/>
                <w:bCs/>
                <w:sz w:val="18"/>
                <w:szCs w:val="18"/>
              </w:rPr>
              <w:t>,</w:t>
            </w:r>
            <w:r w:rsidRPr="00CA6E28">
              <w:rPr>
                <w:rFonts w:ascii="Arial" w:hAnsi="Arial" w:cs="Arial"/>
                <w:b/>
                <w:bCs/>
                <w:sz w:val="18"/>
                <w:szCs w:val="18"/>
              </w:rPr>
              <w:t>3</w:t>
            </w:r>
          </w:p>
        </w:tc>
        <w:tc>
          <w:tcPr>
            <w:tcW w:w="1183" w:type="dxa"/>
            <w:tcBorders>
              <w:top w:val="single" w:sz="2" w:space="0" w:color="808080" w:themeColor="background1" w:themeShade="80"/>
              <w:bottom w:val="single" w:sz="2" w:space="0" w:color="808080" w:themeColor="background1" w:themeShade="80"/>
            </w:tcBorders>
            <w:shd w:val="clear" w:color="auto" w:fill="D9D9D9" w:themeFill="background1" w:themeFillShade="D9"/>
            <w:vAlign w:val="center"/>
          </w:tcPr>
          <w:p w14:paraId="165E7AF3" w14:textId="223020E6" w:rsidR="00764283" w:rsidRPr="00CA6E28" w:rsidRDefault="00764283" w:rsidP="00764283">
            <w:pPr>
              <w:pStyle w:val="ColorfulList-Accent11"/>
              <w:tabs>
                <w:tab w:val="left" w:pos="0"/>
                <w:tab w:val="left" w:pos="284"/>
              </w:tabs>
              <w:ind w:left="0" w:right="-90"/>
              <w:jc w:val="center"/>
              <w:rPr>
                <w:rFonts w:ascii="Arial" w:hAnsi="Arial" w:cs="Arial"/>
                <w:sz w:val="18"/>
                <w:szCs w:val="18"/>
                <w:lang w:val="el-GR"/>
              </w:rPr>
            </w:pPr>
            <w:r w:rsidRPr="00CA6E28">
              <w:rPr>
                <w:rFonts w:ascii="Arial" w:hAnsi="Arial" w:cs="Arial"/>
                <w:b/>
                <w:bCs/>
                <w:sz w:val="18"/>
                <w:szCs w:val="18"/>
              </w:rPr>
              <w:t>+17</w:t>
            </w:r>
            <w:r w:rsidR="003B452A" w:rsidRPr="00CA6E28">
              <w:rPr>
                <w:rFonts w:ascii="Arial" w:hAnsi="Arial" w:cs="Arial"/>
                <w:b/>
                <w:bCs/>
                <w:sz w:val="18"/>
                <w:szCs w:val="18"/>
              </w:rPr>
              <w:t>,</w:t>
            </w:r>
            <w:r w:rsidRPr="00CA6E28">
              <w:rPr>
                <w:rFonts w:ascii="Arial" w:hAnsi="Arial" w:cs="Arial"/>
                <w:b/>
                <w:bCs/>
                <w:sz w:val="18"/>
                <w:szCs w:val="18"/>
              </w:rPr>
              <w:t>6%</w:t>
            </w:r>
          </w:p>
        </w:tc>
      </w:tr>
      <w:tr w:rsidR="00764283" w:rsidRPr="00CA6E28" w14:paraId="00A3C4CA" w14:textId="77777777" w:rsidTr="00172C17">
        <w:trPr>
          <w:trHeight w:val="252"/>
        </w:trPr>
        <w:tc>
          <w:tcPr>
            <w:tcW w:w="3495" w:type="dxa"/>
            <w:tcBorders>
              <w:top w:val="single" w:sz="2" w:space="0" w:color="808080" w:themeColor="background1" w:themeShade="80"/>
              <w:right w:val="single" w:sz="2" w:space="0" w:color="808080" w:themeColor="background1" w:themeShade="80"/>
            </w:tcBorders>
            <w:shd w:val="clear" w:color="auto" w:fill="FFFFFF" w:themeFill="background1"/>
            <w:vAlign w:val="center"/>
          </w:tcPr>
          <w:p w14:paraId="66C06DB5" w14:textId="2AFEB8DC" w:rsidR="00764283" w:rsidRPr="00CA6E28" w:rsidRDefault="00764283" w:rsidP="00764283">
            <w:pPr>
              <w:pStyle w:val="ColorfulList-Accent11"/>
              <w:tabs>
                <w:tab w:val="left" w:pos="0"/>
                <w:tab w:val="left" w:pos="284"/>
              </w:tabs>
              <w:ind w:left="0" w:right="-90"/>
              <w:rPr>
                <w:rFonts w:ascii="Arial" w:hAnsi="Arial" w:cs="Arial"/>
                <w:sz w:val="18"/>
                <w:szCs w:val="18"/>
                <w:lang w:val="el-GR"/>
              </w:rPr>
            </w:pPr>
            <w:r w:rsidRPr="00CA6E28">
              <w:rPr>
                <w:rFonts w:ascii="Arial" w:hAnsi="Arial" w:cs="Arial"/>
                <w:sz w:val="18"/>
                <w:szCs w:val="18"/>
                <w:lang w:val="el-GR"/>
              </w:rPr>
              <w:t>Κέρδη χρήσης από συνεχιζόμενες δραστηριότητες</w:t>
            </w:r>
          </w:p>
        </w:tc>
        <w:tc>
          <w:tcPr>
            <w:tcW w:w="1072" w:type="dxa"/>
            <w:tcBorders>
              <w:top w:val="single" w:sz="2" w:space="0" w:color="808080" w:themeColor="background1" w:themeShade="80"/>
              <w:left w:val="single" w:sz="2" w:space="0" w:color="808080" w:themeColor="background1" w:themeShade="80"/>
            </w:tcBorders>
            <w:shd w:val="clear" w:color="auto" w:fill="FFFFFF" w:themeFill="background1"/>
            <w:vAlign w:val="center"/>
          </w:tcPr>
          <w:p w14:paraId="7F3D9FED" w14:textId="27BD8B25" w:rsidR="00764283" w:rsidRPr="00CA6E28" w:rsidRDefault="00764283" w:rsidP="00764283">
            <w:pPr>
              <w:pStyle w:val="ColorfulList-Accent11"/>
              <w:tabs>
                <w:tab w:val="left" w:pos="0"/>
                <w:tab w:val="left" w:pos="284"/>
              </w:tabs>
              <w:ind w:left="0" w:right="-90"/>
              <w:jc w:val="center"/>
              <w:rPr>
                <w:rFonts w:ascii="Arial" w:hAnsi="Arial" w:cs="Arial"/>
                <w:sz w:val="18"/>
                <w:szCs w:val="18"/>
                <w:lang w:val="el-GR"/>
              </w:rPr>
            </w:pPr>
            <w:r w:rsidRPr="00CA6E28">
              <w:rPr>
                <w:rFonts w:ascii="Arial" w:hAnsi="Arial" w:cs="Arial"/>
                <w:sz w:val="18"/>
                <w:szCs w:val="18"/>
              </w:rPr>
              <w:t>271</w:t>
            </w:r>
            <w:r w:rsidR="003B452A" w:rsidRPr="00CA6E28">
              <w:rPr>
                <w:rFonts w:ascii="Arial" w:hAnsi="Arial" w:cs="Arial"/>
                <w:sz w:val="18"/>
                <w:szCs w:val="18"/>
              </w:rPr>
              <w:t>,</w:t>
            </w:r>
            <w:r w:rsidRPr="00CA6E28">
              <w:rPr>
                <w:rFonts w:ascii="Arial" w:hAnsi="Arial" w:cs="Arial"/>
                <w:sz w:val="18"/>
                <w:szCs w:val="18"/>
              </w:rPr>
              <w:t>5</w:t>
            </w:r>
          </w:p>
        </w:tc>
        <w:tc>
          <w:tcPr>
            <w:tcW w:w="1103" w:type="dxa"/>
            <w:tcBorders>
              <w:top w:val="single" w:sz="2" w:space="0" w:color="808080" w:themeColor="background1" w:themeShade="80"/>
            </w:tcBorders>
            <w:shd w:val="clear" w:color="auto" w:fill="FFFFFF" w:themeFill="background1"/>
            <w:vAlign w:val="center"/>
          </w:tcPr>
          <w:p w14:paraId="7A2D4BDE" w14:textId="2D8FD239" w:rsidR="00764283" w:rsidRPr="00CA6E28" w:rsidRDefault="00764283" w:rsidP="00764283">
            <w:pPr>
              <w:pStyle w:val="ColorfulList-Accent11"/>
              <w:tabs>
                <w:tab w:val="left" w:pos="0"/>
                <w:tab w:val="left" w:pos="284"/>
              </w:tabs>
              <w:ind w:left="0" w:right="-90"/>
              <w:jc w:val="center"/>
              <w:rPr>
                <w:rFonts w:ascii="Arial" w:hAnsi="Arial" w:cs="Arial"/>
                <w:sz w:val="18"/>
                <w:szCs w:val="18"/>
                <w:lang w:val="el-GR"/>
              </w:rPr>
            </w:pPr>
            <w:r w:rsidRPr="00CA6E28">
              <w:rPr>
                <w:rFonts w:ascii="Arial" w:hAnsi="Arial" w:cs="Arial"/>
                <w:sz w:val="18"/>
                <w:szCs w:val="18"/>
              </w:rPr>
              <w:t>199</w:t>
            </w:r>
            <w:r w:rsidR="003B452A" w:rsidRPr="00CA6E28">
              <w:rPr>
                <w:rFonts w:ascii="Arial" w:hAnsi="Arial" w:cs="Arial"/>
                <w:sz w:val="18"/>
                <w:szCs w:val="18"/>
              </w:rPr>
              <w:t>,</w:t>
            </w:r>
            <w:r w:rsidRPr="00CA6E28">
              <w:rPr>
                <w:rFonts w:ascii="Arial" w:hAnsi="Arial" w:cs="Arial"/>
                <w:sz w:val="18"/>
                <w:szCs w:val="18"/>
              </w:rPr>
              <w:t>6</w:t>
            </w:r>
          </w:p>
        </w:tc>
        <w:tc>
          <w:tcPr>
            <w:tcW w:w="1183" w:type="dxa"/>
            <w:tcBorders>
              <w:top w:val="single" w:sz="2" w:space="0" w:color="808080" w:themeColor="background1" w:themeShade="80"/>
              <w:right w:val="single" w:sz="2" w:space="0" w:color="808080" w:themeColor="background1" w:themeShade="80"/>
            </w:tcBorders>
            <w:shd w:val="clear" w:color="auto" w:fill="FFFFFF" w:themeFill="background1"/>
            <w:vAlign w:val="center"/>
          </w:tcPr>
          <w:p w14:paraId="36C47EC2" w14:textId="46556476" w:rsidR="00764283" w:rsidRPr="00CA6E28" w:rsidRDefault="00764283" w:rsidP="00764283">
            <w:pPr>
              <w:pStyle w:val="ColorfulList-Accent11"/>
              <w:tabs>
                <w:tab w:val="left" w:pos="0"/>
                <w:tab w:val="left" w:pos="284"/>
              </w:tabs>
              <w:ind w:left="0" w:right="-90"/>
              <w:jc w:val="center"/>
              <w:rPr>
                <w:rFonts w:ascii="Arial" w:hAnsi="Arial" w:cs="Arial"/>
                <w:sz w:val="18"/>
                <w:szCs w:val="18"/>
                <w:lang w:val="el-GR"/>
              </w:rPr>
            </w:pPr>
            <w:r w:rsidRPr="00CA6E28">
              <w:rPr>
                <w:rFonts w:ascii="Arial" w:hAnsi="Arial" w:cs="Arial"/>
                <w:sz w:val="18"/>
                <w:szCs w:val="18"/>
              </w:rPr>
              <w:t>+36</w:t>
            </w:r>
            <w:r w:rsidR="003B452A" w:rsidRPr="00CA6E28">
              <w:rPr>
                <w:rFonts w:ascii="Arial" w:hAnsi="Arial" w:cs="Arial"/>
                <w:sz w:val="18"/>
                <w:szCs w:val="18"/>
              </w:rPr>
              <w:t>,</w:t>
            </w:r>
            <w:r w:rsidRPr="00CA6E28">
              <w:rPr>
                <w:rFonts w:ascii="Arial" w:hAnsi="Arial" w:cs="Arial"/>
                <w:sz w:val="18"/>
                <w:szCs w:val="18"/>
              </w:rPr>
              <w:t>0%</w:t>
            </w:r>
          </w:p>
        </w:tc>
        <w:tc>
          <w:tcPr>
            <w:tcW w:w="1183" w:type="dxa"/>
            <w:tcBorders>
              <w:top w:val="single" w:sz="2" w:space="0" w:color="808080" w:themeColor="background1" w:themeShade="80"/>
              <w:left w:val="single" w:sz="2" w:space="0" w:color="808080" w:themeColor="background1" w:themeShade="80"/>
            </w:tcBorders>
            <w:shd w:val="clear" w:color="auto" w:fill="FFFFFF" w:themeFill="background1"/>
            <w:vAlign w:val="center"/>
          </w:tcPr>
          <w:p w14:paraId="2B3F9CBD" w14:textId="0180AF00" w:rsidR="00764283" w:rsidRPr="00CA6E28" w:rsidRDefault="00764283" w:rsidP="00764283">
            <w:pPr>
              <w:pStyle w:val="ColorfulList-Accent11"/>
              <w:tabs>
                <w:tab w:val="left" w:pos="0"/>
                <w:tab w:val="left" w:pos="284"/>
              </w:tabs>
              <w:ind w:left="0" w:right="-90"/>
              <w:jc w:val="center"/>
              <w:rPr>
                <w:rFonts w:ascii="Arial" w:hAnsi="Arial" w:cs="Arial"/>
                <w:sz w:val="18"/>
                <w:szCs w:val="18"/>
                <w:lang w:val="el-GR"/>
              </w:rPr>
            </w:pPr>
            <w:r w:rsidRPr="00CA6E28">
              <w:rPr>
                <w:rFonts w:ascii="Arial" w:hAnsi="Arial" w:cs="Arial"/>
                <w:sz w:val="18"/>
                <w:szCs w:val="18"/>
              </w:rPr>
              <w:t>552</w:t>
            </w:r>
            <w:r w:rsidR="003B452A" w:rsidRPr="00CA6E28">
              <w:rPr>
                <w:rFonts w:ascii="Arial" w:hAnsi="Arial" w:cs="Arial"/>
                <w:sz w:val="18"/>
                <w:szCs w:val="18"/>
              </w:rPr>
              <w:t>,</w:t>
            </w:r>
            <w:r w:rsidRPr="00CA6E28">
              <w:rPr>
                <w:rFonts w:ascii="Arial" w:hAnsi="Arial" w:cs="Arial"/>
                <w:sz w:val="18"/>
                <w:szCs w:val="18"/>
              </w:rPr>
              <w:t>5</w:t>
            </w:r>
          </w:p>
        </w:tc>
        <w:tc>
          <w:tcPr>
            <w:tcW w:w="1183" w:type="dxa"/>
            <w:tcBorders>
              <w:top w:val="single" w:sz="2" w:space="0" w:color="808080" w:themeColor="background1" w:themeShade="80"/>
            </w:tcBorders>
            <w:shd w:val="clear" w:color="auto" w:fill="FFFFFF" w:themeFill="background1"/>
            <w:vAlign w:val="center"/>
          </w:tcPr>
          <w:p w14:paraId="426CC458" w14:textId="40C641C1" w:rsidR="00764283" w:rsidRPr="00CA6E28" w:rsidRDefault="00764283" w:rsidP="00764283">
            <w:pPr>
              <w:pStyle w:val="ColorfulList-Accent11"/>
              <w:tabs>
                <w:tab w:val="left" w:pos="0"/>
                <w:tab w:val="left" w:pos="284"/>
              </w:tabs>
              <w:ind w:left="0" w:right="-90"/>
              <w:jc w:val="center"/>
              <w:rPr>
                <w:rFonts w:ascii="Arial" w:hAnsi="Arial" w:cs="Arial"/>
                <w:sz w:val="18"/>
                <w:szCs w:val="18"/>
                <w:lang w:val="el-GR"/>
              </w:rPr>
            </w:pPr>
            <w:r w:rsidRPr="00CA6E28">
              <w:rPr>
                <w:rFonts w:ascii="Arial" w:hAnsi="Arial" w:cs="Arial"/>
                <w:sz w:val="18"/>
                <w:szCs w:val="18"/>
              </w:rPr>
              <w:t>462</w:t>
            </w:r>
            <w:r w:rsidR="003B452A" w:rsidRPr="00CA6E28">
              <w:rPr>
                <w:rFonts w:ascii="Arial" w:hAnsi="Arial" w:cs="Arial"/>
                <w:sz w:val="18"/>
                <w:szCs w:val="18"/>
              </w:rPr>
              <w:t>,</w:t>
            </w:r>
            <w:r w:rsidRPr="00CA6E28">
              <w:rPr>
                <w:rFonts w:ascii="Arial" w:hAnsi="Arial" w:cs="Arial"/>
                <w:sz w:val="18"/>
                <w:szCs w:val="18"/>
              </w:rPr>
              <w:t>5</w:t>
            </w:r>
          </w:p>
        </w:tc>
        <w:tc>
          <w:tcPr>
            <w:tcW w:w="1183" w:type="dxa"/>
            <w:tcBorders>
              <w:top w:val="single" w:sz="2" w:space="0" w:color="808080" w:themeColor="background1" w:themeShade="80"/>
            </w:tcBorders>
            <w:shd w:val="clear" w:color="auto" w:fill="FFFFFF" w:themeFill="background1"/>
            <w:vAlign w:val="center"/>
          </w:tcPr>
          <w:p w14:paraId="61B53AF5" w14:textId="476CA5FB" w:rsidR="00764283" w:rsidRPr="00CA6E28" w:rsidRDefault="00764283" w:rsidP="00764283">
            <w:pPr>
              <w:pStyle w:val="ColorfulList-Accent11"/>
              <w:tabs>
                <w:tab w:val="left" w:pos="0"/>
                <w:tab w:val="left" w:pos="284"/>
              </w:tabs>
              <w:ind w:left="0" w:right="-90"/>
              <w:jc w:val="center"/>
              <w:rPr>
                <w:rFonts w:ascii="Arial" w:hAnsi="Arial" w:cs="Arial"/>
                <w:sz w:val="18"/>
                <w:szCs w:val="18"/>
                <w:lang w:val="el-GR"/>
              </w:rPr>
            </w:pPr>
            <w:r w:rsidRPr="00CA6E28">
              <w:rPr>
                <w:rFonts w:ascii="Arial" w:hAnsi="Arial" w:cs="Arial"/>
                <w:sz w:val="18"/>
                <w:szCs w:val="18"/>
              </w:rPr>
              <w:t>+19</w:t>
            </w:r>
            <w:r w:rsidR="003B452A" w:rsidRPr="00CA6E28">
              <w:rPr>
                <w:rFonts w:ascii="Arial" w:hAnsi="Arial" w:cs="Arial"/>
                <w:sz w:val="18"/>
                <w:szCs w:val="18"/>
              </w:rPr>
              <w:t>,</w:t>
            </w:r>
            <w:r w:rsidRPr="00CA6E28">
              <w:rPr>
                <w:rFonts w:ascii="Arial" w:hAnsi="Arial" w:cs="Arial"/>
                <w:sz w:val="18"/>
                <w:szCs w:val="18"/>
              </w:rPr>
              <w:t>5%</w:t>
            </w:r>
          </w:p>
        </w:tc>
      </w:tr>
      <w:tr w:rsidR="00764283" w:rsidRPr="00CA6E28" w14:paraId="0778A54E" w14:textId="77777777" w:rsidTr="00172C17">
        <w:trPr>
          <w:trHeight w:val="252"/>
        </w:trPr>
        <w:tc>
          <w:tcPr>
            <w:tcW w:w="3495" w:type="dxa"/>
            <w:tcBorders>
              <w:bottom w:val="single" w:sz="2" w:space="0" w:color="808080" w:themeColor="background1" w:themeShade="80"/>
              <w:right w:val="single" w:sz="2" w:space="0" w:color="808080" w:themeColor="background1" w:themeShade="80"/>
            </w:tcBorders>
            <w:shd w:val="clear" w:color="auto" w:fill="FFFFFF" w:themeFill="background1"/>
            <w:vAlign w:val="center"/>
          </w:tcPr>
          <w:p w14:paraId="6F039B6B" w14:textId="3836010C" w:rsidR="00764283" w:rsidRPr="00CA6E28" w:rsidRDefault="00764283" w:rsidP="00764283">
            <w:pPr>
              <w:pStyle w:val="ColorfulList-Accent11"/>
              <w:tabs>
                <w:tab w:val="left" w:pos="0"/>
                <w:tab w:val="left" w:pos="284"/>
              </w:tabs>
              <w:ind w:left="0" w:right="-90"/>
              <w:rPr>
                <w:rFonts w:ascii="Arial" w:hAnsi="Arial" w:cs="Arial"/>
                <w:sz w:val="18"/>
                <w:szCs w:val="18"/>
                <w:lang w:val="el-GR"/>
              </w:rPr>
            </w:pPr>
            <w:r w:rsidRPr="00CA6E28">
              <w:rPr>
                <w:rFonts w:ascii="Arial" w:hAnsi="Arial" w:cs="Arial"/>
                <w:sz w:val="18"/>
                <w:szCs w:val="18"/>
                <w:lang w:val="el-GR"/>
              </w:rPr>
              <w:t>Κέρδη χρήσης από διακοπείσες δραστηριότητες</w:t>
            </w:r>
          </w:p>
        </w:tc>
        <w:tc>
          <w:tcPr>
            <w:tcW w:w="1072" w:type="dxa"/>
            <w:tcBorders>
              <w:left w:val="single" w:sz="2" w:space="0" w:color="808080" w:themeColor="background1" w:themeShade="80"/>
              <w:bottom w:val="single" w:sz="2" w:space="0" w:color="808080" w:themeColor="background1" w:themeShade="80"/>
            </w:tcBorders>
            <w:shd w:val="clear" w:color="auto" w:fill="FFFFFF" w:themeFill="background1"/>
            <w:vAlign w:val="center"/>
          </w:tcPr>
          <w:p w14:paraId="786E560C" w14:textId="5F3F9EF2" w:rsidR="00764283" w:rsidRPr="00CA6E28" w:rsidRDefault="00764283" w:rsidP="00764283">
            <w:pPr>
              <w:pStyle w:val="ColorfulList-Accent11"/>
              <w:tabs>
                <w:tab w:val="left" w:pos="0"/>
                <w:tab w:val="left" w:pos="284"/>
              </w:tabs>
              <w:ind w:left="0" w:right="-90"/>
              <w:jc w:val="center"/>
              <w:rPr>
                <w:rFonts w:ascii="Arial" w:hAnsi="Arial" w:cs="Arial"/>
                <w:sz w:val="18"/>
                <w:szCs w:val="18"/>
                <w:lang w:val="el-GR"/>
              </w:rPr>
            </w:pPr>
            <w:r w:rsidRPr="00CA6E28">
              <w:rPr>
                <w:rFonts w:ascii="Arial" w:hAnsi="Arial" w:cs="Arial"/>
                <w:sz w:val="18"/>
                <w:szCs w:val="18"/>
              </w:rPr>
              <w:t>(14</w:t>
            </w:r>
            <w:r w:rsidR="003B452A" w:rsidRPr="00CA6E28">
              <w:rPr>
                <w:rFonts w:ascii="Arial" w:hAnsi="Arial" w:cs="Arial"/>
                <w:sz w:val="18"/>
                <w:szCs w:val="18"/>
              </w:rPr>
              <w:t>,</w:t>
            </w:r>
            <w:r w:rsidRPr="00CA6E28">
              <w:rPr>
                <w:rFonts w:ascii="Arial" w:hAnsi="Arial" w:cs="Arial"/>
                <w:sz w:val="18"/>
                <w:szCs w:val="18"/>
              </w:rPr>
              <w:t>0)</w:t>
            </w:r>
          </w:p>
        </w:tc>
        <w:tc>
          <w:tcPr>
            <w:tcW w:w="1103" w:type="dxa"/>
            <w:tcBorders>
              <w:bottom w:val="single" w:sz="2" w:space="0" w:color="808080" w:themeColor="background1" w:themeShade="80"/>
            </w:tcBorders>
            <w:shd w:val="clear" w:color="auto" w:fill="FFFFFF" w:themeFill="background1"/>
            <w:vAlign w:val="center"/>
          </w:tcPr>
          <w:p w14:paraId="3BE80611" w14:textId="6A442522" w:rsidR="00764283" w:rsidRPr="00CA6E28" w:rsidRDefault="00764283" w:rsidP="00764283">
            <w:pPr>
              <w:pStyle w:val="ColorfulList-Accent11"/>
              <w:tabs>
                <w:tab w:val="left" w:pos="0"/>
                <w:tab w:val="left" w:pos="284"/>
              </w:tabs>
              <w:ind w:left="0" w:right="-90"/>
              <w:jc w:val="center"/>
              <w:rPr>
                <w:rFonts w:ascii="Arial" w:hAnsi="Arial" w:cs="Arial"/>
                <w:sz w:val="18"/>
                <w:szCs w:val="18"/>
                <w:lang w:val="el-GR"/>
              </w:rPr>
            </w:pPr>
            <w:r w:rsidRPr="00CA6E28">
              <w:rPr>
                <w:rFonts w:ascii="Arial" w:hAnsi="Arial" w:cs="Arial"/>
                <w:sz w:val="18"/>
                <w:szCs w:val="18"/>
              </w:rPr>
              <w:t>(46</w:t>
            </w:r>
            <w:r w:rsidR="003B452A" w:rsidRPr="00CA6E28">
              <w:rPr>
                <w:rFonts w:ascii="Arial" w:hAnsi="Arial" w:cs="Arial"/>
                <w:sz w:val="18"/>
                <w:szCs w:val="18"/>
              </w:rPr>
              <w:t>,</w:t>
            </w:r>
            <w:r w:rsidRPr="00CA6E28">
              <w:rPr>
                <w:rFonts w:ascii="Arial" w:hAnsi="Arial" w:cs="Arial"/>
                <w:sz w:val="18"/>
                <w:szCs w:val="18"/>
              </w:rPr>
              <w:t>0)</w:t>
            </w:r>
          </w:p>
        </w:tc>
        <w:tc>
          <w:tcPr>
            <w:tcW w:w="1183" w:type="dxa"/>
            <w:tcBorders>
              <w:bottom w:val="single" w:sz="2" w:space="0" w:color="808080" w:themeColor="background1" w:themeShade="80"/>
              <w:right w:val="single" w:sz="2" w:space="0" w:color="808080" w:themeColor="background1" w:themeShade="80"/>
            </w:tcBorders>
            <w:shd w:val="clear" w:color="auto" w:fill="FFFFFF" w:themeFill="background1"/>
            <w:vAlign w:val="center"/>
          </w:tcPr>
          <w:p w14:paraId="4F3D8FD1" w14:textId="7A087EE7" w:rsidR="00764283" w:rsidRPr="00CA6E28" w:rsidRDefault="00764283" w:rsidP="00764283">
            <w:pPr>
              <w:pStyle w:val="ColorfulList-Accent11"/>
              <w:tabs>
                <w:tab w:val="left" w:pos="0"/>
                <w:tab w:val="left" w:pos="284"/>
              </w:tabs>
              <w:ind w:left="0" w:right="-90"/>
              <w:jc w:val="center"/>
              <w:rPr>
                <w:rFonts w:ascii="Arial" w:hAnsi="Arial" w:cs="Arial"/>
                <w:sz w:val="18"/>
                <w:szCs w:val="18"/>
                <w:lang w:val="el-GR"/>
              </w:rPr>
            </w:pPr>
            <w:r w:rsidRPr="00CA6E28">
              <w:rPr>
                <w:rFonts w:ascii="Arial" w:hAnsi="Arial" w:cs="Arial"/>
                <w:sz w:val="18"/>
                <w:szCs w:val="18"/>
              </w:rPr>
              <w:t>-69</w:t>
            </w:r>
            <w:r w:rsidR="003B452A" w:rsidRPr="00CA6E28">
              <w:rPr>
                <w:rFonts w:ascii="Arial" w:hAnsi="Arial" w:cs="Arial"/>
                <w:sz w:val="18"/>
                <w:szCs w:val="18"/>
              </w:rPr>
              <w:t>,</w:t>
            </w:r>
            <w:r w:rsidRPr="00CA6E28">
              <w:rPr>
                <w:rFonts w:ascii="Arial" w:hAnsi="Arial" w:cs="Arial"/>
                <w:sz w:val="18"/>
                <w:szCs w:val="18"/>
              </w:rPr>
              <w:t>6%</w:t>
            </w:r>
          </w:p>
        </w:tc>
        <w:tc>
          <w:tcPr>
            <w:tcW w:w="1183" w:type="dxa"/>
            <w:tcBorders>
              <w:left w:val="single" w:sz="2" w:space="0" w:color="808080" w:themeColor="background1" w:themeShade="80"/>
              <w:bottom w:val="single" w:sz="2" w:space="0" w:color="808080" w:themeColor="background1" w:themeShade="80"/>
            </w:tcBorders>
            <w:shd w:val="clear" w:color="auto" w:fill="FFFFFF" w:themeFill="background1"/>
            <w:vAlign w:val="center"/>
          </w:tcPr>
          <w:p w14:paraId="07C3365F" w14:textId="21C84A5D" w:rsidR="00764283" w:rsidRPr="00CA6E28" w:rsidRDefault="00764283" w:rsidP="00764283">
            <w:pPr>
              <w:pStyle w:val="ColorfulList-Accent11"/>
              <w:tabs>
                <w:tab w:val="left" w:pos="0"/>
                <w:tab w:val="left" w:pos="284"/>
              </w:tabs>
              <w:ind w:left="0" w:right="-90"/>
              <w:jc w:val="center"/>
              <w:rPr>
                <w:rFonts w:ascii="Arial" w:hAnsi="Arial" w:cs="Arial"/>
                <w:sz w:val="18"/>
                <w:szCs w:val="18"/>
                <w:lang w:val="el-GR"/>
              </w:rPr>
            </w:pPr>
            <w:r w:rsidRPr="00CA6E28">
              <w:rPr>
                <w:rFonts w:ascii="Arial" w:hAnsi="Arial" w:cs="Arial"/>
                <w:sz w:val="18"/>
                <w:szCs w:val="18"/>
              </w:rPr>
              <w:t>(65</w:t>
            </w:r>
            <w:r w:rsidR="003B452A" w:rsidRPr="00CA6E28">
              <w:rPr>
                <w:rFonts w:ascii="Arial" w:hAnsi="Arial" w:cs="Arial"/>
                <w:sz w:val="18"/>
                <w:szCs w:val="18"/>
              </w:rPr>
              <w:t>,</w:t>
            </w:r>
            <w:r w:rsidRPr="00CA6E28">
              <w:rPr>
                <w:rFonts w:ascii="Arial" w:hAnsi="Arial" w:cs="Arial"/>
                <w:sz w:val="18"/>
                <w:szCs w:val="18"/>
              </w:rPr>
              <w:t>1)</w:t>
            </w:r>
          </w:p>
        </w:tc>
        <w:tc>
          <w:tcPr>
            <w:tcW w:w="1183" w:type="dxa"/>
            <w:tcBorders>
              <w:bottom w:val="single" w:sz="2" w:space="0" w:color="808080" w:themeColor="background1" w:themeShade="80"/>
            </w:tcBorders>
            <w:shd w:val="clear" w:color="auto" w:fill="FFFFFF" w:themeFill="background1"/>
            <w:vAlign w:val="center"/>
          </w:tcPr>
          <w:p w14:paraId="67098E23" w14:textId="036146F0" w:rsidR="00764283" w:rsidRPr="00CA6E28" w:rsidRDefault="00764283" w:rsidP="00764283">
            <w:pPr>
              <w:pStyle w:val="ColorfulList-Accent11"/>
              <w:tabs>
                <w:tab w:val="left" w:pos="0"/>
                <w:tab w:val="left" w:pos="284"/>
              </w:tabs>
              <w:ind w:left="0" w:right="-90"/>
              <w:jc w:val="center"/>
              <w:rPr>
                <w:rFonts w:ascii="Arial" w:hAnsi="Arial" w:cs="Arial"/>
                <w:sz w:val="18"/>
                <w:szCs w:val="18"/>
                <w:lang w:val="el-GR"/>
              </w:rPr>
            </w:pPr>
            <w:r w:rsidRPr="00CA6E28">
              <w:rPr>
                <w:rFonts w:ascii="Arial" w:hAnsi="Arial" w:cs="Arial"/>
                <w:sz w:val="18"/>
                <w:szCs w:val="18"/>
              </w:rPr>
              <w:t>(48</w:t>
            </w:r>
            <w:r w:rsidR="003B452A" w:rsidRPr="00CA6E28">
              <w:rPr>
                <w:rFonts w:ascii="Arial" w:hAnsi="Arial" w:cs="Arial"/>
                <w:sz w:val="18"/>
                <w:szCs w:val="18"/>
              </w:rPr>
              <w:t>,</w:t>
            </w:r>
            <w:r w:rsidRPr="00CA6E28">
              <w:rPr>
                <w:rFonts w:ascii="Arial" w:hAnsi="Arial" w:cs="Arial"/>
                <w:sz w:val="18"/>
                <w:szCs w:val="18"/>
              </w:rPr>
              <w:t>2)</w:t>
            </w:r>
          </w:p>
        </w:tc>
        <w:tc>
          <w:tcPr>
            <w:tcW w:w="1183" w:type="dxa"/>
            <w:tcBorders>
              <w:bottom w:val="single" w:sz="2" w:space="0" w:color="808080" w:themeColor="background1" w:themeShade="80"/>
            </w:tcBorders>
            <w:shd w:val="clear" w:color="auto" w:fill="FFFFFF" w:themeFill="background1"/>
            <w:vAlign w:val="center"/>
          </w:tcPr>
          <w:p w14:paraId="749EB452" w14:textId="66C4E770" w:rsidR="00764283" w:rsidRPr="00CA6E28" w:rsidRDefault="00764283" w:rsidP="00764283">
            <w:pPr>
              <w:pStyle w:val="ColorfulList-Accent11"/>
              <w:tabs>
                <w:tab w:val="left" w:pos="0"/>
                <w:tab w:val="left" w:pos="284"/>
              </w:tabs>
              <w:ind w:left="0" w:right="-90"/>
              <w:jc w:val="center"/>
              <w:rPr>
                <w:rFonts w:ascii="Arial" w:hAnsi="Arial" w:cs="Arial"/>
                <w:sz w:val="18"/>
                <w:szCs w:val="18"/>
                <w:lang w:val="el-GR"/>
              </w:rPr>
            </w:pPr>
            <w:r w:rsidRPr="00CA6E28">
              <w:rPr>
                <w:rFonts w:ascii="Arial" w:hAnsi="Arial" w:cs="Arial"/>
                <w:sz w:val="18"/>
                <w:szCs w:val="18"/>
              </w:rPr>
              <w:t>+35</w:t>
            </w:r>
            <w:r w:rsidR="003B452A" w:rsidRPr="00CA6E28">
              <w:rPr>
                <w:rFonts w:ascii="Arial" w:hAnsi="Arial" w:cs="Arial"/>
                <w:sz w:val="18"/>
                <w:szCs w:val="18"/>
              </w:rPr>
              <w:t>,</w:t>
            </w:r>
            <w:r w:rsidRPr="00CA6E28">
              <w:rPr>
                <w:rFonts w:ascii="Arial" w:hAnsi="Arial" w:cs="Arial"/>
                <w:sz w:val="18"/>
                <w:szCs w:val="18"/>
              </w:rPr>
              <w:t>1%</w:t>
            </w:r>
          </w:p>
        </w:tc>
      </w:tr>
      <w:tr w:rsidR="00764283" w:rsidRPr="00CA6E28" w14:paraId="31891570" w14:textId="77777777" w:rsidTr="00172C17">
        <w:trPr>
          <w:trHeight w:val="252"/>
        </w:trPr>
        <w:tc>
          <w:tcPr>
            <w:tcW w:w="3495" w:type="dxa"/>
            <w:tcBorders>
              <w:top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D9D9D9" w:themeFill="background1" w:themeFillShade="D9"/>
            <w:vAlign w:val="center"/>
          </w:tcPr>
          <w:p w14:paraId="3B1771E1" w14:textId="565B4779" w:rsidR="00764283" w:rsidRPr="00CA6E28" w:rsidRDefault="00764283" w:rsidP="00764283">
            <w:pPr>
              <w:pStyle w:val="ColorfulList-Accent11"/>
              <w:tabs>
                <w:tab w:val="left" w:pos="0"/>
                <w:tab w:val="left" w:pos="284"/>
              </w:tabs>
              <w:ind w:left="0" w:right="-90"/>
              <w:rPr>
                <w:rFonts w:ascii="Arial" w:hAnsi="Arial" w:cs="Arial"/>
                <w:b/>
                <w:sz w:val="18"/>
                <w:szCs w:val="18"/>
              </w:rPr>
            </w:pPr>
            <w:proofErr w:type="spellStart"/>
            <w:r w:rsidRPr="00CA6E28">
              <w:rPr>
                <w:rFonts w:ascii="Arial" w:hAnsi="Arial" w:cs="Arial"/>
                <w:b/>
                <w:sz w:val="18"/>
                <w:szCs w:val="18"/>
              </w:rPr>
              <w:t>Μη</w:t>
            </w:r>
            <w:proofErr w:type="spellEnd"/>
            <w:r w:rsidRPr="00CA6E28">
              <w:rPr>
                <w:rFonts w:ascii="Arial" w:hAnsi="Arial" w:cs="Arial"/>
                <w:b/>
                <w:sz w:val="18"/>
                <w:szCs w:val="18"/>
              </w:rPr>
              <w:t xml:space="preserve"> </w:t>
            </w:r>
            <w:proofErr w:type="spellStart"/>
            <w:r w:rsidRPr="00CA6E28">
              <w:rPr>
                <w:rFonts w:ascii="Arial" w:hAnsi="Arial" w:cs="Arial"/>
                <w:b/>
                <w:sz w:val="18"/>
                <w:szCs w:val="18"/>
              </w:rPr>
              <w:t>ελέγχουσες</w:t>
            </w:r>
            <w:proofErr w:type="spellEnd"/>
            <w:r w:rsidRPr="00CA6E28">
              <w:rPr>
                <w:rFonts w:ascii="Arial" w:hAnsi="Arial" w:cs="Arial"/>
                <w:b/>
                <w:sz w:val="18"/>
                <w:szCs w:val="18"/>
              </w:rPr>
              <w:t xml:space="preserve"> </w:t>
            </w:r>
            <w:proofErr w:type="spellStart"/>
            <w:r w:rsidRPr="00CA6E28">
              <w:rPr>
                <w:rFonts w:ascii="Arial" w:hAnsi="Arial" w:cs="Arial"/>
                <w:b/>
                <w:sz w:val="18"/>
                <w:szCs w:val="18"/>
              </w:rPr>
              <w:t>συμμετοχές</w:t>
            </w:r>
            <w:proofErr w:type="spellEnd"/>
          </w:p>
        </w:tc>
        <w:tc>
          <w:tcPr>
            <w:tcW w:w="1072"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D9D9D9" w:themeFill="background1" w:themeFillShade="D9"/>
            <w:vAlign w:val="center"/>
          </w:tcPr>
          <w:p w14:paraId="0D7887A7" w14:textId="44E9D0A2" w:rsidR="00764283" w:rsidRPr="00CA6E28" w:rsidRDefault="00764283" w:rsidP="00764283">
            <w:pPr>
              <w:pStyle w:val="ColorfulList-Accent11"/>
              <w:tabs>
                <w:tab w:val="left" w:pos="0"/>
                <w:tab w:val="left" w:pos="284"/>
              </w:tabs>
              <w:ind w:left="0" w:right="-90"/>
              <w:jc w:val="center"/>
              <w:rPr>
                <w:rFonts w:ascii="Arial" w:hAnsi="Arial" w:cs="Arial"/>
                <w:b/>
                <w:sz w:val="18"/>
                <w:szCs w:val="18"/>
              </w:rPr>
            </w:pPr>
            <w:r w:rsidRPr="00CA6E28">
              <w:rPr>
                <w:rFonts w:ascii="Arial" w:hAnsi="Arial" w:cs="Arial"/>
                <w:b/>
                <w:sz w:val="18"/>
                <w:szCs w:val="18"/>
              </w:rPr>
              <w:t>0</w:t>
            </w:r>
            <w:r w:rsidR="003B452A" w:rsidRPr="00CA6E28">
              <w:rPr>
                <w:rFonts w:ascii="Arial" w:hAnsi="Arial" w:cs="Arial"/>
                <w:b/>
                <w:sz w:val="18"/>
                <w:szCs w:val="18"/>
              </w:rPr>
              <w:t>,</w:t>
            </w:r>
            <w:r w:rsidRPr="00CA6E28">
              <w:rPr>
                <w:rFonts w:ascii="Arial" w:hAnsi="Arial" w:cs="Arial"/>
                <w:b/>
                <w:sz w:val="18"/>
                <w:szCs w:val="18"/>
              </w:rPr>
              <w:t>0</w:t>
            </w:r>
          </w:p>
        </w:tc>
        <w:tc>
          <w:tcPr>
            <w:tcW w:w="1103" w:type="dxa"/>
            <w:tcBorders>
              <w:top w:val="single" w:sz="2" w:space="0" w:color="808080" w:themeColor="background1" w:themeShade="80"/>
              <w:bottom w:val="single" w:sz="2" w:space="0" w:color="808080" w:themeColor="background1" w:themeShade="80"/>
            </w:tcBorders>
            <w:shd w:val="clear" w:color="auto" w:fill="D9D9D9" w:themeFill="background1" w:themeFillShade="D9"/>
            <w:vAlign w:val="center"/>
          </w:tcPr>
          <w:p w14:paraId="63F8CD02" w14:textId="67488849" w:rsidR="00764283" w:rsidRPr="00CA6E28" w:rsidRDefault="00764283" w:rsidP="00764283">
            <w:pPr>
              <w:pStyle w:val="ColorfulList-Accent11"/>
              <w:tabs>
                <w:tab w:val="left" w:pos="0"/>
                <w:tab w:val="left" w:pos="284"/>
              </w:tabs>
              <w:ind w:left="0" w:right="-90"/>
              <w:jc w:val="center"/>
              <w:rPr>
                <w:rFonts w:ascii="Arial" w:hAnsi="Arial" w:cs="Arial"/>
                <w:b/>
                <w:sz w:val="18"/>
                <w:szCs w:val="18"/>
              </w:rPr>
            </w:pPr>
            <w:r w:rsidRPr="00CA6E28">
              <w:rPr>
                <w:rFonts w:ascii="Arial" w:hAnsi="Arial" w:cs="Arial"/>
                <w:b/>
                <w:sz w:val="18"/>
                <w:szCs w:val="18"/>
              </w:rPr>
              <w:t>0</w:t>
            </w:r>
            <w:r w:rsidR="003B452A" w:rsidRPr="00CA6E28">
              <w:rPr>
                <w:rFonts w:ascii="Arial" w:hAnsi="Arial" w:cs="Arial"/>
                <w:b/>
                <w:sz w:val="18"/>
                <w:szCs w:val="18"/>
              </w:rPr>
              <w:t>,</w:t>
            </w:r>
            <w:r w:rsidRPr="00CA6E28">
              <w:rPr>
                <w:rFonts w:ascii="Arial" w:hAnsi="Arial" w:cs="Arial"/>
                <w:b/>
                <w:sz w:val="18"/>
                <w:szCs w:val="18"/>
              </w:rPr>
              <w:t>0</w:t>
            </w:r>
          </w:p>
        </w:tc>
        <w:tc>
          <w:tcPr>
            <w:tcW w:w="1183" w:type="dxa"/>
            <w:tcBorders>
              <w:top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D9D9D9" w:themeFill="background1" w:themeFillShade="D9"/>
            <w:vAlign w:val="center"/>
          </w:tcPr>
          <w:p w14:paraId="5ADDC088" w14:textId="4F143AB7" w:rsidR="00764283" w:rsidRPr="00CA6E28" w:rsidRDefault="00764283" w:rsidP="00764283">
            <w:pPr>
              <w:pStyle w:val="ColorfulList-Accent11"/>
              <w:tabs>
                <w:tab w:val="left" w:pos="0"/>
                <w:tab w:val="left" w:pos="284"/>
              </w:tabs>
              <w:ind w:left="0" w:right="-90"/>
              <w:jc w:val="center"/>
              <w:rPr>
                <w:rFonts w:ascii="Arial" w:hAnsi="Arial" w:cs="Arial"/>
                <w:b/>
                <w:sz w:val="18"/>
                <w:szCs w:val="18"/>
              </w:rPr>
            </w:pPr>
            <w:r w:rsidRPr="00CA6E28">
              <w:rPr>
                <w:rFonts w:ascii="Arial" w:hAnsi="Arial" w:cs="Arial"/>
                <w:b/>
                <w:sz w:val="18"/>
                <w:szCs w:val="18"/>
              </w:rPr>
              <w:t>-</w:t>
            </w:r>
          </w:p>
        </w:tc>
        <w:tc>
          <w:tcPr>
            <w:tcW w:w="1183"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D9D9D9" w:themeFill="background1" w:themeFillShade="D9"/>
            <w:vAlign w:val="center"/>
          </w:tcPr>
          <w:p w14:paraId="08301673" w14:textId="1AEFB8BD" w:rsidR="00764283" w:rsidRPr="00CA6E28" w:rsidRDefault="00764283" w:rsidP="00764283">
            <w:pPr>
              <w:pStyle w:val="ColorfulList-Accent11"/>
              <w:tabs>
                <w:tab w:val="left" w:pos="0"/>
                <w:tab w:val="left" w:pos="284"/>
              </w:tabs>
              <w:ind w:left="0" w:right="-90"/>
              <w:jc w:val="center"/>
              <w:rPr>
                <w:rFonts w:ascii="Arial" w:hAnsi="Arial" w:cs="Arial"/>
                <w:b/>
                <w:sz w:val="18"/>
                <w:szCs w:val="18"/>
              </w:rPr>
            </w:pPr>
            <w:r w:rsidRPr="00CA6E28">
              <w:rPr>
                <w:rFonts w:ascii="Arial" w:hAnsi="Arial" w:cs="Arial"/>
                <w:b/>
                <w:sz w:val="18"/>
                <w:szCs w:val="18"/>
              </w:rPr>
              <w:t>0</w:t>
            </w:r>
            <w:r w:rsidR="003B452A" w:rsidRPr="00CA6E28">
              <w:rPr>
                <w:rFonts w:ascii="Arial" w:hAnsi="Arial" w:cs="Arial"/>
                <w:b/>
                <w:sz w:val="18"/>
                <w:szCs w:val="18"/>
              </w:rPr>
              <w:t>,</w:t>
            </w:r>
            <w:r w:rsidRPr="00CA6E28">
              <w:rPr>
                <w:rFonts w:ascii="Arial" w:hAnsi="Arial" w:cs="Arial"/>
                <w:b/>
                <w:sz w:val="18"/>
                <w:szCs w:val="18"/>
              </w:rPr>
              <w:t>0</w:t>
            </w:r>
          </w:p>
        </w:tc>
        <w:tc>
          <w:tcPr>
            <w:tcW w:w="1183" w:type="dxa"/>
            <w:tcBorders>
              <w:top w:val="single" w:sz="2" w:space="0" w:color="808080" w:themeColor="background1" w:themeShade="80"/>
              <w:bottom w:val="single" w:sz="2" w:space="0" w:color="808080" w:themeColor="background1" w:themeShade="80"/>
            </w:tcBorders>
            <w:shd w:val="clear" w:color="auto" w:fill="D9D9D9" w:themeFill="background1" w:themeFillShade="D9"/>
            <w:vAlign w:val="center"/>
          </w:tcPr>
          <w:p w14:paraId="37D9E29D" w14:textId="79BE8CF1" w:rsidR="00764283" w:rsidRPr="00CA6E28" w:rsidRDefault="00764283" w:rsidP="00764283">
            <w:pPr>
              <w:pStyle w:val="ColorfulList-Accent11"/>
              <w:tabs>
                <w:tab w:val="left" w:pos="0"/>
                <w:tab w:val="left" w:pos="284"/>
              </w:tabs>
              <w:ind w:left="0" w:right="-90"/>
              <w:jc w:val="center"/>
              <w:rPr>
                <w:rFonts w:ascii="Arial" w:hAnsi="Arial" w:cs="Arial"/>
                <w:b/>
                <w:sz w:val="18"/>
                <w:szCs w:val="18"/>
              </w:rPr>
            </w:pPr>
            <w:r w:rsidRPr="00CA6E28">
              <w:rPr>
                <w:rFonts w:ascii="Arial" w:hAnsi="Arial" w:cs="Arial"/>
                <w:b/>
                <w:sz w:val="18"/>
                <w:szCs w:val="18"/>
              </w:rPr>
              <w:t>0</w:t>
            </w:r>
            <w:r w:rsidR="003B452A" w:rsidRPr="00CA6E28">
              <w:rPr>
                <w:rFonts w:ascii="Arial" w:hAnsi="Arial" w:cs="Arial"/>
                <w:b/>
                <w:sz w:val="18"/>
                <w:szCs w:val="18"/>
              </w:rPr>
              <w:t>,</w:t>
            </w:r>
            <w:r w:rsidRPr="00CA6E28">
              <w:rPr>
                <w:rFonts w:ascii="Arial" w:hAnsi="Arial" w:cs="Arial"/>
                <w:b/>
                <w:sz w:val="18"/>
                <w:szCs w:val="18"/>
              </w:rPr>
              <w:t>0</w:t>
            </w:r>
          </w:p>
        </w:tc>
        <w:tc>
          <w:tcPr>
            <w:tcW w:w="1183" w:type="dxa"/>
            <w:tcBorders>
              <w:top w:val="single" w:sz="2" w:space="0" w:color="808080" w:themeColor="background1" w:themeShade="80"/>
              <w:bottom w:val="single" w:sz="2" w:space="0" w:color="808080" w:themeColor="background1" w:themeShade="80"/>
            </w:tcBorders>
            <w:shd w:val="clear" w:color="auto" w:fill="D9D9D9" w:themeFill="background1" w:themeFillShade="D9"/>
            <w:vAlign w:val="center"/>
          </w:tcPr>
          <w:p w14:paraId="3CD77AA6" w14:textId="14A5DF01" w:rsidR="00764283" w:rsidRPr="00CA6E28" w:rsidRDefault="00764283" w:rsidP="00764283">
            <w:pPr>
              <w:pStyle w:val="ColorfulList-Accent11"/>
              <w:tabs>
                <w:tab w:val="left" w:pos="0"/>
                <w:tab w:val="left" w:pos="284"/>
              </w:tabs>
              <w:ind w:left="0" w:right="-90"/>
              <w:jc w:val="center"/>
              <w:rPr>
                <w:rFonts w:ascii="Arial" w:hAnsi="Arial" w:cs="Arial"/>
                <w:b/>
                <w:sz w:val="18"/>
                <w:szCs w:val="18"/>
              </w:rPr>
            </w:pPr>
            <w:r w:rsidRPr="00CA6E28">
              <w:rPr>
                <w:rFonts w:ascii="Arial" w:hAnsi="Arial" w:cs="Arial"/>
                <w:b/>
                <w:sz w:val="18"/>
                <w:szCs w:val="18"/>
              </w:rPr>
              <w:t>-</w:t>
            </w:r>
          </w:p>
        </w:tc>
      </w:tr>
    </w:tbl>
    <w:p w14:paraId="0E5B5EC9" w14:textId="73F5348C" w:rsidR="003B215B" w:rsidRPr="00FB20CB" w:rsidRDefault="00726B8A" w:rsidP="00097EA2">
      <w:pPr>
        <w:pStyle w:val="Normal2"/>
        <w:numPr>
          <w:ilvl w:val="0"/>
          <w:numId w:val="0"/>
        </w:numPr>
        <w:tabs>
          <w:tab w:val="num" w:pos="709"/>
        </w:tabs>
        <w:ind w:left="567" w:hanging="283"/>
        <w:rPr>
          <w:rFonts w:cs="Arial"/>
        </w:rPr>
      </w:pPr>
      <w:r w:rsidRPr="00FB20CB">
        <w:rPr>
          <w:rFonts w:cs="Arial"/>
        </w:rPr>
        <w:lastRenderedPageBreak/>
        <w:t>IV</w:t>
      </w:r>
      <w:r w:rsidR="0056658D" w:rsidRPr="00FB20CB">
        <w:rPr>
          <w:rFonts w:cs="Arial"/>
        </w:rPr>
        <w:t>.</w:t>
      </w:r>
      <w:r w:rsidRPr="00FB20CB">
        <w:rPr>
          <w:rFonts w:cs="Arial"/>
        </w:rPr>
        <w:t xml:space="preserve"> </w:t>
      </w:r>
      <w:r w:rsidR="00781597" w:rsidRPr="00FB20CB">
        <w:rPr>
          <w:rFonts w:cs="Arial"/>
        </w:rPr>
        <w:t>ΚΑΤΑΣΤΑΣ</w:t>
      </w:r>
      <w:r w:rsidR="005F37D9" w:rsidRPr="00FB20CB">
        <w:rPr>
          <w:rFonts w:cs="Arial"/>
        </w:rPr>
        <w:t>Η</w:t>
      </w:r>
      <w:r w:rsidR="00781597" w:rsidRPr="00FB20CB">
        <w:rPr>
          <w:rFonts w:cs="Arial"/>
        </w:rPr>
        <w:t xml:space="preserve"> ΤΑΜΕΙΑΚΩΝ ΡΟΩΝ </w:t>
      </w:r>
    </w:p>
    <w:tbl>
      <w:tblPr>
        <w:tblStyle w:val="TableGrid"/>
        <w:tblW w:w="10882"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1444"/>
        <w:gridCol w:w="1445"/>
        <w:gridCol w:w="1445"/>
        <w:gridCol w:w="1445"/>
      </w:tblGrid>
      <w:tr w:rsidR="00E74449" w:rsidRPr="007E5ABB" w14:paraId="3ECA2724" w14:textId="77777777" w:rsidTr="00FB20CB">
        <w:trPr>
          <w:trHeight w:val="52"/>
        </w:trPr>
        <w:tc>
          <w:tcPr>
            <w:tcW w:w="5103" w:type="dxa"/>
            <w:tcBorders>
              <w:bottom w:val="single" w:sz="2" w:space="0" w:color="808080" w:themeColor="background1" w:themeShade="80"/>
              <w:right w:val="single" w:sz="4" w:space="0" w:color="auto"/>
            </w:tcBorders>
            <w:vAlign w:val="center"/>
          </w:tcPr>
          <w:p w14:paraId="39C2AE50" w14:textId="1291173A" w:rsidR="00E74449" w:rsidRPr="007E5ABB" w:rsidRDefault="00E74449" w:rsidP="00E74449">
            <w:pPr>
              <w:pStyle w:val="ColorfulList-Accent11"/>
              <w:tabs>
                <w:tab w:val="left" w:pos="0"/>
                <w:tab w:val="left" w:pos="284"/>
              </w:tabs>
              <w:ind w:left="0" w:right="-90"/>
              <w:rPr>
                <w:rFonts w:ascii="Arial" w:hAnsi="Arial" w:cs="Arial"/>
                <w:b/>
                <w:sz w:val="18"/>
                <w:szCs w:val="18"/>
              </w:rPr>
            </w:pPr>
          </w:p>
        </w:tc>
        <w:tc>
          <w:tcPr>
            <w:tcW w:w="1444" w:type="dxa"/>
            <w:tcBorders>
              <w:left w:val="single" w:sz="4" w:space="0" w:color="auto"/>
              <w:bottom w:val="single" w:sz="2" w:space="0" w:color="808080" w:themeColor="background1" w:themeShade="80"/>
            </w:tcBorders>
            <w:vAlign w:val="center"/>
          </w:tcPr>
          <w:p w14:paraId="12674FCD" w14:textId="16612F13" w:rsidR="00E74449" w:rsidRPr="007E5ABB" w:rsidRDefault="00E74449" w:rsidP="00E74449">
            <w:pPr>
              <w:pStyle w:val="ColorfulList-Accent11"/>
              <w:tabs>
                <w:tab w:val="left" w:pos="0"/>
                <w:tab w:val="left" w:pos="284"/>
              </w:tabs>
              <w:ind w:left="0" w:right="-90"/>
              <w:jc w:val="center"/>
              <w:rPr>
                <w:rFonts w:ascii="Arial" w:hAnsi="Arial" w:cs="Arial"/>
                <w:i/>
                <w:sz w:val="18"/>
                <w:szCs w:val="18"/>
              </w:rPr>
            </w:pPr>
            <w:r w:rsidRPr="007E5ABB">
              <w:rPr>
                <w:rFonts w:ascii="Arial" w:hAnsi="Arial" w:cs="Arial"/>
                <w:b/>
                <w:sz w:val="18"/>
                <w:szCs w:val="18"/>
              </w:rPr>
              <w:t>Q3'25</w:t>
            </w:r>
          </w:p>
        </w:tc>
        <w:tc>
          <w:tcPr>
            <w:tcW w:w="1445" w:type="dxa"/>
            <w:tcBorders>
              <w:bottom w:val="single" w:sz="2" w:space="0" w:color="808080" w:themeColor="background1" w:themeShade="80"/>
              <w:right w:val="single" w:sz="4" w:space="0" w:color="auto"/>
            </w:tcBorders>
            <w:vAlign w:val="center"/>
          </w:tcPr>
          <w:p w14:paraId="206D39DA" w14:textId="228FB225" w:rsidR="00E74449" w:rsidRPr="007E5ABB" w:rsidRDefault="00E74449" w:rsidP="00E74449">
            <w:pPr>
              <w:pStyle w:val="ColorfulList-Accent11"/>
              <w:tabs>
                <w:tab w:val="left" w:pos="0"/>
                <w:tab w:val="left" w:pos="284"/>
              </w:tabs>
              <w:ind w:left="0" w:right="-90"/>
              <w:jc w:val="center"/>
              <w:rPr>
                <w:rFonts w:ascii="Arial" w:hAnsi="Arial" w:cs="Arial"/>
                <w:i/>
                <w:sz w:val="18"/>
                <w:szCs w:val="18"/>
              </w:rPr>
            </w:pPr>
            <w:r w:rsidRPr="007E5ABB">
              <w:rPr>
                <w:rFonts w:ascii="Arial" w:hAnsi="Arial" w:cs="Arial"/>
                <w:b/>
                <w:sz w:val="18"/>
                <w:szCs w:val="18"/>
              </w:rPr>
              <w:t>Q3'24</w:t>
            </w:r>
          </w:p>
        </w:tc>
        <w:tc>
          <w:tcPr>
            <w:tcW w:w="1445" w:type="dxa"/>
            <w:tcBorders>
              <w:left w:val="single" w:sz="4" w:space="0" w:color="auto"/>
              <w:bottom w:val="single" w:sz="2" w:space="0" w:color="808080" w:themeColor="background1" w:themeShade="80"/>
            </w:tcBorders>
            <w:vAlign w:val="center"/>
          </w:tcPr>
          <w:p w14:paraId="19511386" w14:textId="2E7AA2F3" w:rsidR="00E74449" w:rsidRPr="007E5ABB" w:rsidRDefault="00E74449" w:rsidP="00E74449">
            <w:pPr>
              <w:pStyle w:val="ColorfulList-Accent11"/>
              <w:tabs>
                <w:tab w:val="left" w:pos="0"/>
                <w:tab w:val="left" w:pos="284"/>
              </w:tabs>
              <w:ind w:left="0" w:right="-90"/>
              <w:jc w:val="center"/>
              <w:rPr>
                <w:rFonts w:ascii="Arial" w:hAnsi="Arial" w:cs="Arial"/>
                <w:b/>
                <w:sz w:val="18"/>
                <w:szCs w:val="18"/>
              </w:rPr>
            </w:pPr>
            <w:r w:rsidRPr="007E5ABB">
              <w:rPr>
                <w:rFonts w:ascii="Arial" w:hAnsi="Arial" w:cs="Arial"/>
                <w:b/>
                <w:sz w:val="18"/>
                <w:szCs w:val="18"/>
              </w:rPr>
              <w:t>9M'25</w:t>
            </w:r>
          </w:p>
        </w:tc>
        <w:tc>
          <w:tcPr>
            <w:tcW w:w="1445" w:type="dxa"/>
            <w:tcBorders>
              <w:bottom w:val="single" w:sz="2" w:space="0" w:color="808080" w:themeColor="background1" w:themeShade="80"/>
            </w:tcBorders>
            <w:vAlign w:val="center"/>
          </w:tcPr>
          <w:p w14:paraId="5666BF6A" w14:textId="2DD0662A" w:rsidR="00E74449" w:rsidRPr="007E5ABB" w:rsidRDefault="00E74449" w:rsidP="00E74449">
            <w:pPr>
              <w:pStyle w:val="ColorfulList-Accent11"/>
              <w:tabs>
                <w:tab w:val="left" w:pos="0"/>
                <w:tab w:val="left" w:pos="284"/>
              </w:tabs>
              <w:ind w:left="0" w:right="-90"/>
              <w:jc w:val="center"/>
              <w:rPr>
                <w:rFonts w:ascii="Arial" w:hAnsi="Arial" w:cs="Arial"/>
                <w:b/>
                <w:sz w:val="18"/>
                <w:szCs w:val="18"/>
              </w:rPr>
            </w:pPr>
            <w:r w:rsidRPr="007E5ABB">
              <w:rPr>
                <w:rFonts w:ascii="Arial" w:hAnsi="Arial" w:cs="Arial"/>
                <w:b/>
                <w:sz w:val="18"/>
                <w:szCs w:val="18"/>
              </w:rPr>
              <w:t>9M'24</w:t>
            </w:r>
          </w:p>
        </w:tc>
      </w:tr>
      <w:tr w:rsidR="002620CF" w:rsidRPr="007E5ABB" w14:paraId="1C370685" w14:textId="77777777" w:rsidTr="00FB20CB">
        <w:trPr>
          <w:trHeight w:val="228"/>
        </w:trPr>
        <w:tc>
          <w:tcPr>
            <w:tcW w:w="5103" w:type="dxa"/>
            <w:tcBorders>
              <w:right w:val="single" w:sz="4" w:space="0" w:color="auto"/>
            </w:tcBorders>
            <w:vAlign w:val="bottom"/>
          </w:tcPr>
          <w:p w14:paraId="6368F859" w14:textId="01822EF0" w:rsidR="00B24118" w:rsidRPr="00B27C0F" w:rsidRDefault="002620CF" w:rsidP="00EF40F5">
            <w:pPr>
              <w:pStyle w:val="ColorfulList-Accent11"/>
              <w:tabs>
                <w:tab w:val="left" w:pos="0"/>
                <w:tab w:val="left" w:pos="284"/>
              </w:tabs>
              <w:ind w:left="0" w:right="-90"/>
              <w:rPr>
                <w:rFonts w:ascii="Arial" w:hAnsi="Arial" w:cs="Arial"/>
                <w:sz w:val="18"/>
                <w:szCs w:val="18"/>
                <w:lang w:val="el-GR"/>
              </w:rPr>
            </w:pPr>
            <w:r w:rsidRPr="007E5ABB">
              <w:rPr>
                <w:rFonts w:ascii="Arial" w:hAnsi="Arial" w:cs="Arial"/>
                <w:b/>
                <w:sz w:val="18"/>
                <w:szCs w:val="18"/>
                <w:lang w:val="el-GR"/>
              </w:rPr>
              <w:t>Ταμειακές ροές από λειτουργικές δραστηριότητες</w:t>
            </w:r>
          </w:p>
        </w:tc>
        <w:tc>
          <w:tcPr>
            <w:tcW w:w="1444" w:type="dxa"/>
            <w:tcBorders>
              <w:left w:val="single" w:sz="4" w:space="0" w:color="auto"/>
            </w:tcBorders>
            <w:vAlign w:val="center"/>
          </w:tcPr>
          <w:p w14:paraId="50B03147" w14:textId="2D8B6450" w:rsidR="002620CF" w:rsidRPr="00B27C0F" w:rsidRDefault="002620CF" w:rsidP="002620CF">
            <w:pPr>
              <w:pStyle w:val="ColorfulList-Accent11"/>
              <w:tabs>
                <w:tab w:val="left" w:pos="0"/>
                <w:tab w:val="left" w:pos="284"/>
              </w:tabs>
              <w:ind w:left="0" w:right="-90"/>
              <w:jc w:val="center"/>
              <w:rPr>
                <w:rFonts w:ascii="Arial" w:hAnsi="Arial" w:cs="Arial"/>
                <w:color w:val="FF0000"/>
                <w:sz w:val="18"/>
                <w:szCs w:val="18"/>
                <w:lang w:val="el-GR"/>
              </w:rPr>
            </w:pPr>
          </w:p>
        </w:tc>
        <w:tc>
          <w:tcPr>
            <w:tcW w:w="1445" w:type="dxa"/>
            <w:tcBorders>
              <w:right w:val="single" w:sz="4" w:space="0" w:color="auto"/>
            </w:tcBorders>
            <w:vAlign w:val="center"/>
          </w:tcPr>
          <w:p w14:paraId="125F4CBC" w14:textId="5A349029" w:rsidR="002620CF" w:rsidRPr="00B27C0F" w:rsidRDefault="002620CF" w:rsidP="002620CF">
            <w:pPr>
              <w:pStyle w:val="ColorfulList-Accent11"/>
              <w:tabs>
                <w:tab w:val="left" w:pos="0"/>
                <w:tab w:val="left" w:pos="284"/>
              </w:tabs>
              <w:ind w:left="0" w:right="-90"/>
              <w:jc w:val="center"/>
              <w:rPr>
                <w:rFonts w:ascii="Arial" w:hAnsi="Arial" w:cs="Arial"/>
                <w:color w:val="FF0000"/>
                <w:sz w:val="18"/>
                <w:szCs w:val="18"/>
                <w:lang w:val="el-GR"/>
              </w:rPr>
            </w:pPr>
          </w:p>
        </w:tc>
        <w:tc>
          <w:tcPr>
            <w:tcW w:w="1445" w:type="dxa"/>
            <w:tcBorders>
              <w:left w:val="single" w:sz="4" w:space="0" w:color="auto"/>
            </w:tcBorders>
          </w:tcPr>
          <w:p w14:paraId="6D0F76E6" w14:textId="77777777" w:rsidR="002620CF" w:rsidRPr="00B27C0F" w:rsidRDefault="002620CF" w:rsidP="002620CF">
            <w:pPr>
              <w:pStyle w:val="ColorfulList-Accent11"/>
              <w:tabs>
                <w:tab w:val="left" w:pos="0"/>
                <w:tab w:val="left" w:pos="284"/>
              </w:tabs>
              <w:ind w:left="0" w:right="-90"/>
              <w:jc w:val="center"/>
              <w:rPr>
                <w:rFonts w:ascii="Arial" w:hAnsi="Arial" w:cs="Arial"/>
                <w:sz w:val="18"/>
                <w:szCs w:val="18"/>
                <w:lang w:val="el-GR"/>
              </w:rPr>
            </w:pPr>
          </w:p>
        </w:tc>
        <w:tc>
          <w:tcPr>
            <w:tcW w:w="1445" w:type="dxa"/>
          </w:tcPr>
          <w:p w14:paraId="05515503" w14:textId="77777777" w:rsidR="002620CF" w:rsidRPr="00B27C0F" w:rsidRDefault="002620CF" w:rsidP="002620CF">
            <w:pPr>
              <w:pStyle w:val="ColorfulList-Accent11"/>
              <w:tabs>
                <w:tab w:val="left" w:pos="0"/>
                <w:tab w:val="left" w:pos="284"/>
              </w:tabs>
              <w:ind w:left="0" w:right="-90"/>
              <w:jc w:val="center"/>
              <w:rPr>
                <w:rFonts w:ascii="Arial" w:hAnsi="Arial" w:cs="Arial"/>
                <w:sz w:val="18"/>
                <w:szCs w:val="18"/>
                <w:lang w:val="el-GR"/>
              </w:rPr>
            </w:pPr>
          </w:p>
        </w:tc>
      </w:tr>
      <w:tr w:rsidR="007C0D5C" w:rsidRPr="007E5ABB" w14:paraId="628B133E" w14:textId="77777777" w:rsidTr="00FB20CB">
        <w:trPr>
          <w:trHeight w:val="228"/>
        </w:trPr>
        <w:tc>
          <w:tcPr>
            <w:tcW w:w="5103" w:type="dxa"/>
            <w:tcBorders>
              <w:right w:val="single" w:sz="4" w:space="0" w:color="auto"/>
            </w:tcBorders>
            <w:vAlign w:val="center"/>
          </w:tcPr>
          <w:p w14:paraId="5869CA36" w14:textId="357BB671" w:rsidR="007C0D5C" w:rsidRPr="007E5ABB" w:rsidRDefault="007C0D5C" w:rsidP="007C0D5C">
            <w:pPr>
              <w:pStyle w:val="ColorfulList-Accent11"/>
              <w:tabs>
                <w:tab w:val="left" w:pos="0"/>
                <w:tab w:val="left" w:pos="284"/>
              </w:tabs>
              <w:ind w:left="0" w:right="-90"/>
              <w:rPr>
                <w:rFonts w:ascii="Arial" w:hAnsi="Arial" w:cs="Arial"/>
                <w:sz w:val="18"/>
                <w:szCs w:val="18"/>
                <w:u w:val="single"/>
              </w:rPr>
            </w:pPr>
            <w:proofErr w:type="spellStart"/>
            <w:r w:rsidRPr="007E5ABB">
              <w:rPr>
                <w:rFonts w:ascii="Arial" w:hAnsi="Arial" w:cs="Arial"/>
                <w:sz w:val="18"/>
                <w:szCs w:val="18"/>
              </w:rPr>
              <w:t>Κέρδη</w:t>
            </w:r>
            <w:proofErr w:type="spellEnd"/>
            <w:r w:rsidRPr="007E5ABB">
              <w:rPr>
                <w:rFonts w:ascii="Arial" w:hAnsi="Arial" w:cs="Arial"/>
                <w:sz w:val="18"/>
                <w:szCs w:val="18"/>
              </w:rPr>
              <w:t xml:space="preserve"> π</w:t>
            </w:r>
            <w:proofErr w:type="spellStart"/>
            <w:r w:rsidRPr="007E5ABB">
              <w:rPr>
                <w:rFonts w:ascii="Arial" w:hAnsi="Arial" w:cs="Arial"/>
                <w:sz w:val="18"/>
                <w:szCs w:val="18"/>
              </w:rPr>
              <w:t>ρο</w:t>
            </w:r>
            <w:proofErr w:type="spellEnd"/>
            <w:r w:rsidRPr="007E5ABB">
              <w:rPr>
                <w:rFonts w:ascii="Arial" w:hAnsi="Arial" w:cs="Arial"/>
                <w:sz w:val="18"/>
                <w:szCs w:val="18"/>
              </w:rPr>
              <w:t xml:space="preserve"> </w:t>
            </w:r>
            <w:proofErr w:type="spellStart"/>
            <w:r w:rsidRPr="007E5ABB">
              <w:rPr>
                <w:rFonts w:ascii="Arial" w:hAnsi="Arial" w:cs="Arial"/>
                <w:sz w:val="18"/>
                <w:szCs w:val="18"/>
              </w:rPr>
              <w:t>φόρων</w:t>
            </w:r>
            <w:proofErr w:type="spellEnd"/>
          </w:p>
        </w:tc>
        <w:tc>
          <w:tcPr>
            <w:tcW w:w="1444" w:type="dxa"/>
            <w:tcBorders>
              <w:left w:val="single" w:sz="4" w:space="0" w:color="auto"/>
            </w:tcBorders>
            <w:vAlign w:val="center"/>
          </w:tcPr>
          <w:p w14:paraId="0FF4C041" w14:textId="061495E8" w:rsidR="007C0D5C" w:rsidRPr="007E5ABB" w:rsidRDefault="007C0D5C" w:rsidP="007C0D5C">
            <w:pPr>
              <w:pStyle w:val="ColorfulList-Accent11"/>
              <w:tabs>
                <w:tab w:val="left" w:pos="0"/>
                <w:tab w:val="left" w:pos="284"/>
              </w:tabs>
              <w:ind w:left="0" w:right="-90"/>
              <w:jc w:val="center"/>
              <w:rPr>
                <w:rFonts w:ascii="Arial" w:hAnsi="Arial" w:cs="Arial"/>
                <w:color w:val="FF0000"/>
                <w:sz w:val="18"/>
                <w:szCs w:val="18"/>
              </w:rPr>
            </w:pPr>
            <w:r w:rsidRPr="007E5ABB">
              <w:rPr>
                <w:rFonts w:ascii="Arial" w:hAnsi="Arial" w:cs="Arial"/>
                <w:sz w:val="18"/>
                <w:szCs w:val="18"/>
              </w:rPr>
              <w:t>218</w:t>
            </w:r>
            <w:r w:rsidR="00460E4F" w:rsidRPr="007E5ABB">
              <w:rPr>
                <w:rFonts w:ascii="Arial" w:hAnsi="Arial" w:cs="Arial"/>
                <w:sz w:val="18"/>
                <w:szCs w:val="18"/>
              </w:rPr>
              <w:t>,</w:t>
            </w:r>
            <w:r w:rsidRPr="007E5ABB">
              <w:rPr>
                <w:rFonts w:ascii="Arial" w:hAnsi="Arial" w:cs="Arial"/>
                <w:sz w:val="18"/>
                <w:szCs w:val="18"/>
              </w:rPr>
              <w:t>8</w:t>
            </w:r>
          </w:p>
        </w:tc>
        <w:tc>
          <w:tcPr>
            <w:tcW w:w="1445" w:type="dxa"/>
            <w:tcBorders>
              <w:right w:val="single" w:sz="4" w:space="0" w:color="auto"/>
            </w:tcBorders>
            <w:vAlign w:val="center"/>
          </w:tcPr>
          <w:p w14:paraId="3B804698" w14:textId="2D04FC14" w:rsidR="007C0D5C" w:rsidRPr="007E5ABB" w:rsidRDefault="007C0D5C" w:rsidP="007C0D5C">
            <w:pPr>
              <w:pStyle w:val="ColorfulList-Accent11"/>
              <w:tabs>
                <w:tab w:val="left" w:pos="0"/>
                <w:tab w:val="left" w:pos="284"/>
              </w:tabs>
              <w:ind w:left="0" w:right="-90"/>
              <w:jc w:val="center"/>
              <w:rPr>
                <w:rFonts w:ascii="Arial" w:hAnsi="Arial" w:cs="Arial"/>
                <w:color w:val="FF0000"/>
                <w:sz w:val="18"/>
                <w:szCs w:val="18"/>
              </w:rPr>
            </w:pPr>
            <w:r w:rsidRPr="007E5ABB">
              <w:rPr>
                <w:rFonts w:ascii="Arial" w:hAnsi="Arial" w:cs="Arial"/>
                <w:sz w:val="18"/>
                <w:szCs w:val="18"/>
              </w:rPr>
              <w:t>248</w:t>
            </w:r>
            <w:r w:rsidR="00460E4F" w:rsidRPr="007E5ABB">
              <w:rPr>
                <w:rFonts w:ascii="Arial" w:hAnsi="Arial" w:cs="Arial"/>
                <w:sz w:val="18"/>
                <w:szCs w:val="18"/>
              </w:rPr>
              <w:t>,</w:t>
            </w:r>
            <w:r w:rsidRPr="007E5ABB">
              <w:rPr>
                <w:rFonts w:ascii="Arial" w:hAnsi="Arial" w:cs="Arial"/>
                <w:sz w:val="18"/>
                <w:szCs w:val="18"/>
              </w:rPr>
              <w:t>1</w:t>
            </w:r>
          </w:p>
        </w:tc>
        <w:tc>
          <w:tcPr>
            <w:tcW w:w="1445" w:type="dxa"/>
            <w:tcBorders>
              <w:left w:val="single" w:sz="4" w:space="0" w:color="auto"/>
            </w:tcBorders>
            <w:vAlign w:val="center"/>
          </w:tcPr>
          <w:p w14:paraId="43210BE9" w14:textId="513E79AD" w:rsidR="007C0D5C" w:rsidRPr="007E5ABB" w:rsidRDefault="007C0D5C" w:rsidP="007C0D5C">
            <w:pPr>
              <w:pStyle w:val="ColorfulList-Accent11"/>
              <w:tabs>
                <w:tab w:val="left" w:pos="0"/>
                <w:tab w:val="left" w:pos="284"/>
              </w:tabs>
              <w:ind w:left="0" w:right="-90"/>
              <w:jc w:val="center"/>
              <w:rPr>
                <w:rFonts w:ascii="Arial" w:hAnsi="Arial" w:cs="Arial"/>
                <w:color w:val="FF0000"/>
                <w:sz w:val="18"/>
                <w:szCs w:val="18"/>
              </w:rPr>
            </w:pPr>
            <w:r w:rsidRPr="007E5ABB">
              <w:rPr>
                <w:rFonts w:ascii="Arial" w:hAnsi="Arial" w:cs="Arial"/>
                <w:sz w:val="18"/>
                <w:szCs w:val="18"/>
              </w:rPr>
              <w:t>592</w:t>
            </w:r>
            <w:r w:rsidR="00460E4F" w:rsidRPr="007E5ABB">
              <w:rPr>
                <w:rFonts w:ascii="Arial" w:hAnsi="Arial" w:cs="Arial"/>
                <w:sz w:val="18"/>
                <w:szCs w:val="18"/>
              </w:rPr>
              <w:t>,</w:t>
            </w:r>
            <w:r w:rsidRPr="007E5ABB">
              <w:rPr>
                <w:rFonts w:ascii="Arial" w:hAnsi="Arial" w:cs="Arial"/>
                <w:sz w:val="18"/>
                <w:szCs w:val="18"/>
              </w:rPr>
              <w:t>0</w:t>
            </w:r>
          </w:p>
        </w:tc>
        <w:tc>
          <w:tcPr>
            <w:tcW w:w="1445" w:type="dxa"/>
            <w:vAlign w:val="center"/>
          </w:tcPr>
          <w:p w14:paraId="65D2C98D" w14:textId="693FA967" w:rsidR="007C0D5C" w:rsidRPr="007E5ABB" w:rsidRDefault="007C0D5C" w:rsidP="007C0D5C">
            <w:pPr>
              <w:pStyle w:val="ColorfulList-Accent11"/>
              <w:tabs>
                <w:tab w:val="left" w:pos="0"/>
                <w:tab w:val="left" w:pos="284"/>
              </w:tabs>
              <w:ind w:left="0" w:right="-90"/>
              <w:jc w:val="center"/>
              <w:rPr>
                <w:rFonts w:ascii="Arial" w:hAnsi="Arial" w:cs="Arial"/>
                <w:color w:val="FF0000"/>
                <w:sz w:val="18"/>
                <w:szCs w:val="18"/>
              </w:rPr>
            </w:pPr>
            <w:r w:rsidRPr="007E5ABB">
              <w:rPr>
                <w:rFonts w:ascii="Arial" w:hAnsi="Arial" w:cs="Arial"/>
                <w:sz w:val="18"/>
                <w:szCs w:val="18"/>
              </w:rPr>
              <w:t>597</w:t>
            </w:r>
            <w:r w:rsidR="00460E4F" w:rsidRPr="007E5ABB">
              <w:rPr>
                <w:rFonts w:ascii="Arial" w:hAnsi="Arial" w:cs="Arial"/>
                <w:sz w:val="18"/>
                <w:szCs w:val="18"/>
              </w:rPr>
              <w:t>,</w:t>
            </w:r>
            <w:r w:rsidRPr="007E5ABB">
              <w:rPr>
                <w:rFonts w:ascii="Arial" w:hAnsi="Arial" w:cs="Arial"/>
                <w:sz w:val="18"/>
                <w:szCs w:val="18"/>
              </w:rPr>
              <w:t>0</w:t>
            </w:r>
          </w:p>
        </w:tc>
      </w:tr>
      <w:tr w:rsidR="007C0D5C" w:rsidRPr="007E5ABB" w14:paraId="18861139" w14:textId="77777777" w:rsidTr="00FB20CB">
        <w:trPr>
          <w:trHeight w:val="228"/>
        </w:trPr>
        <w:tc>
          <w:tcPr>
            <w:tcW w:w="5103" w:type="dxa"/>
            <w:tcBorders>
              <w:right w:val="single" w:sz="4" w:space="0" w:color="auto"/>
            </w:tcBorders>
            <w:vAlign w:val="center"/>
          </w:tcPr>
          <w:p w14:paraId="54924E1A" w14:textId="6612CAF1" w:rsidR="007C0D5C" w:rsidRPr="007E5ABB" w:rsidRDefault="007C0D5C" w:rsidP="007C0D5C">
            <w:pPr>
              <w:pStyle w:val="ColorfulList-Accent11"/>
              <w:tabs>
                <w:tab w:val="left" w:pos="0"/>
                <w:tab w:val="left" w:pos="284"/>
              </w:tabs>
              <w:ind w:left="0" w:right="-90"/>
              <w:rPr>
                <w:rFonts w:ascii="Arial" w:hAnsi="Arial" w:cs="Arial"/>
                <w:sz w:val="18"/>
                <w:szCs w:val="18"/>
              </w:rPr>
            </w:pPr>
            <w:proofErr w:type="spellStart"/>
            <w:r w:rsidRPr="007E5ABB">
              <w:rPr>
                <w:rFonts w:ascii="Arial" w:hAnsi="Arial" w:cs="Arial"/>
                <w:sz w:val="18"/>
                <w:szCs w:val="18"/>
              </w:rPr>
              <w:t>Προσ</w:t>
            </w:r>
            <w:proofErr w:type="spellEnd"/>
            <w:r w:rsidRPr="007E5ABB">
              <w:rPr>
                <w:rFonts w:ascii="Arial" w:hAnsi="Arial" w:cs="Arial"/>
                <w:sz w:val="18"/>
                <w:szCs w:val="18"/>
              </w:rPr>
              <w:t xml:space="preserve">αρμογές </w:t>
            </w:r>
            <w:proofErr w:type="spellStart"/>
            <w:r w:rsidRPr="007E5ABB">
              <w:rPr>
                <w:rFonts w:ascii="Arial" w:hAnsi="Arial" w:cs="Arial"/>
                <w:sz w:val="18"/>
                <w:szCs w:val="18"/>
              </w:rPr>
              <w:t>γι</w:t>
            </w:r>
            <w:proofErr w:type="spellEnd"/>
            <w:r w:rsidRPr="007E5ABB">
              <w:rPr>
                <w:rFonts w:ascii="Arial" w:hAnsi="Arial" w:cs="Arial"/>
                <w:sz w:val="18"/>
                <w:szCs w:val="18"/>
              </w:rPr>
              <w:t>α:</w:t>
            </w:r>
          </w:p>
        </w:tc>
        <w:tc>
          <w:tcPr>
            <w:tcW w:w="1444" w:type="dxa"/>
            <w:tcBorders>
              <w:left w:val="single" w:sz="4" w:space="0" w:color="auto"/>
            </w:tcBorders>
            <w:vAlign w:val="center"/>
          </w:tcPr>
          <w:p w14:paraId="765D4D71" w14:textId="397E2DE7" w:rsidR="007C0D5C" w:rsidRPr="007E5ABB" w:rsidRDefault="007C0D5C" w:rsidP="007C0D5C">
            <w:pPr>
              <w:pStyle w:val="ColorfulList-Accent11"/>
              <w:tabs>
                <w:tab w:val="left" w:pos="0"/>
                <w:tab w:val="left" w:pos="284"/>
              </w:tabs>
              <w:ind w:left="0" w:right="-90"/>
              <w:jc w:val="center"/>
              <w:rPr>
                <w:rFonts w:ascii="Arial" w:hAnsi="Arial" w:cs="Arial"/>
                <w:color w:val="FF0000"/>
                <w:sz w:val="18"/>
                <w:szCs w:val="18"/>
              </w:rPr>
            </w:pPr>
          </w:p>
        </w:tc>
        <w:tc>
          <w:tcPr>
            <w:tcW w:w="1445" w:type="dxa"/>
            <w:tcBorders>
              <w:right w:val="single" w:sz="4" w:space="0" w:color="auto"/>
            </w:tcBorders>
            <w:vAlign w:val="center"/>
          </w:tcPr>
          <w:p w14:paraId="7470EFD1" w14:textId="38B3BA0E" w:rsidR="007C0D5C" w:rsidRPr="007E5ABB" w:rsidRDefault="007C0D5C" w:rsidP="007C0D5C">
            <w:pPr>
              <w:pStyle w:val="ColorfulList-Accent11"/>
              <w:tabs>
                <w:tab w:val="left" w:pos="0"/>
                <w:tab w:val="left" w:pos="284"/>
              </w:tabs>
              <w:ind w:left="0" w:right="-90"/>
              <w:jc w:val="center"/>
              <w:rPr>
                <w:rFonts w:ascii="Arial" w:hAnsi="Arial" w:cs="Arial"/>
                <w:color w:val="FF0000"/>
                <w:sz w:val="18"/>
                <w:szCs w:val="18"/>
              </w:rPr>
            </w:pPr>
          </w:p>
        </w:tc>
        <w:tc>
          <w:tcPr>
            <w:tcW w:w="1445" w:type="dxa"/>
            <w:tcBorders>
              <w:left w:val="single" w:sz="4" w:space="0" w:color="auto"/>
            </w:tcBorders>
            <w:vAlign w:val="center"/>
          </w:tcPr>
          <w:p w14:paraId="2BAD2A3A" w14:textId="61F57B55" w:rsidR="007C0D5C" w:rsidRPr="007E5ABB" w:rsidRDefault="007C0D5C" w:rsidP="007C0D5C">
            <w:pPr>
              <w:pStyle w:val="ColorfulList-Accent11"/>
              <w:tabs>
                <w:tab w:val="left" w:pos="0"/>
                <w:tab w:val="left" w:pos="284"/>
              </w:tabs>
              <w:ind w:left="0" w:right="-90"/>
              <w:jc w:val="center"/>
              <w:rPr>
                <w:rFonts w:ascii="Arial" w:hAnsi="Arial" w:cs="Arial"/>
                <w:sz w:val="18"/>
                <w:szCs w:val="18"/>
              </w:rPr>
            </w:pPr>
          </w:p>
        </w:tc>
        <w:tc>
          <w:tcPr>
            <w:tcW w:w="1445" w:type="dxa"/>
            <w:vAlign w:val="center"/>
          </w:tcPr>
          <w:p w14:paraId="2D39ABF1" w14:textId="21895A53" w:rsidR="007C0D5C" w:rsidRPr="007E5ABB" w:rsidRDefault="007C0D5C" w:rsidP="007C0D5C">
            <w:pPr>
              <w:pStyle w:val="ColorfulList-Accent11"/>
              <w:tabs>
                <w:tab w:val="left" w:pos="0"/>
                <w:tab w:val="left" w:pos="284"/>
              </w:tabs>
              <w:ind w:left="0" w:right="-90"/>
              <w:jc w:val="center"/>
              <w:rPr>
                <w:rFonts w:ascii="Arial" w:hAnsi="Arial" w:cs="Arial"/>
                <w:sz w:val="18"/>
                <w:szCs w:val="18"/>
              </w:rPr>
            </w:pPr>
          </w:p>
        </w:tc>
      </w:tr>
      <w:tr w:rsidR="007C0D5C" w:rsidRPr="007E5ABB" w14:paraId="2878AD5B" w14:textId="77777777" w:rsidTr="00FB20CB">
        <w:trPr>
          <w:trHeight w:val="228"/>
        </w:trPr>
        <w:tc>
          <w:tcPr>
            <w:tcW w:w="5103" w:type="dxa"/>
            <w:tcBorders>
              <w:right w:val="single" w:sz="4" w:space="0" w:color="auto"/>
            </w:tcBorders>
            <w:vAlign w:val="center"/>
          </w:tcPr>
          <w:p w14:paraId="06B0D34D" w14:textId="7A005ABC" w:rsidR="007C0D5C" w:rsidRPr="007E5ABB" w:rsidRDefault="007C0D5C" w:rsidP="007C0D5C">
            <w:pPr>
              <w:pStyle w:val="ColorfulList-Accent11"/>
              <w:tabs>
                <w:tab w:val="left" w:pos="0"/>
                <w:tab w:val="left" w:pos="284"/>
              </w:tabs>
              <w:ind w:left="0" w:right="-90"/>
              <w:rPr>
                <w:rFonts w:ascii="Arial" w:hAnsi="Arial" w:cs="Arial"/>
                <w:sz w:val="18"/>
                <w:szCs w:val="18"/>
              </w:rPr>
            </w:pPr>
            <w:r w:rsidRPr="007E5ABB">
              <w:rPr>
                <w:rFonts w:ascii="Arial" w:hAnsi="Arial" w:cs="Arial"/>
                <w:sz w:val="18"/>
                <w:szCs w:val="18"/>
              </w:rPr>
              <w:t>Απ</w:t>
            </w:r>
            <w:proofErr w:type="spellStart"/>
            <w:r w:rsidRPr="007E5ABB">
              <w:rPr>
                <w:rFonts w:ascii="Arial" w:hAnsi="Arial" w:cs="Arial"/>
                <w:sz w:val="18"/>
                <w:szCs w:val="18"/>
              </w:rPr>
              <w:t>οσ</w:t>
            </w:r>
            <w:proofErr w:type="spellEnd"/>
            <w:r w:rsidRPr="007E5ABB">
              <w:rPr>
                <w:rFonts w:ascii="Arial" w:hAnsi="Arial" w:cs="Arial"/>
                <w:sz w:val="18"/>
                <w:szCs w:val="18"/>
              </w:rPr>
              <w:t>βέσεις και απ</w:t>
            </w:r>
            <w:proofErr w:type="spellStart"/>
            <w:r w:rsidRPr="007E5ABB">
              <w:rPr>
                <w:rFonts w:ascii="Arial" w:hAnsi="Arial" w:cs="Arial"/>
                <w:sz w:val="18"/>
                <w:szCs w:val="18"/>
              </w:rPr>
              <w:t>ομειώσεις</w:t>
            </w:r>
            <w:proofErr w:type="spellEnd"/>
          </w:p>
        </w:tc>
        <w:tc>
          <w:tcPr>
            <w:tcW w:w="1444" w:type="dxa"/>
            <w:tcBorders>
              <w:left w:val="single" w:sz="4" w:space="0" w:color="auto"/>
            </w:tcBorders>
            <w:vAlign w:val="center"/>
          </w:tcPr>
          <w:p w14:paraId="05456AF0" w14:textId="62A3183F" w:rsidR="007C0D5C" w:rsidRPr="007E5ABB" w:rsidRDefault="007C0D5C" w:rsidP="007C0D5C">
            <w:pPr>
              <w:pStyle w:val="ColorfulList-Accent11"/>
              <w:tabs>
                <w:tab w:val="left" w:pos="0"/>
                <w:tab w:val="left" w:pos="284"/>
              </w:tabs>
              <w:ind w:left="0" w:right="-90"/>
              <w:jc w:val="center"/>
              <w:rPr>
                <w:rFonts w:ascii="Arial" w:hAnsi="Arial" w:cs="Arial"/>
                <w:color w:val="FF0000"/>
                <w:sz w:val="18"/>
                <w:szCs w:val="18"/>
              </w:rPr>
            </w:pPr>
            <w:r w:rsidRPr="007E5ABB">
              <w:rPr>
                <w:rFonts w:ascii="Arial" w:hAnsi="Arial" w:cs="Arial"/>
                <w:sz w:val="18"/>
                <w:szCs w:val="18"/>
              </w:rPr>
              <w:t>147</w:t>
            </w:r>
            <w:r w:rsidR="00460E4F" w:rsidRPr="007E5ABB">
              <w:rPr>
                <w:rFonts w:ascii="Arial" w:hAnsi="Arial" w:cs="Arial"/>
                <w:sz w:val="18"/>
                <w:szCs w:val="18"/>
              </w:rPr>
              <w:t>,</w:t>
            </w:r>
            <w:r w:rsidRPr="007E5ABB">
              <w:rPr>
                <w:rFonts w:ascii="Arial" w:hAnsi="Arial" w:cs="Arial"/>
                <w:sz w:val="18"/>
                <w:szCs w:val="18"/>
              </w:rPr>
              <w:t>6</w:t>
            </w:r>
          </w:p>
        </w:tc>
        <w:tc>
          <w:tcPr>
            <w:tcW w:w="1445" w:type="dxa"/>
            <w:tcBorders>
              <w:right w:val="single" w:sz="4" w:space="0" w:color="auto"/>
            </w:tcBorders>
            <w:vAlign w:val="center"/>
          </w:tcPr>
          <w:p w14:paraId="53242D90" w14:textId="090B314F" w:rsidR="007C0D5C" w:rsidRPr="007E5ABB" w:rsidRDefault="007C0D5C" w:rsidP="007C0D5C">
            <w:pPr>
              <w:pStyle w:val="ColorfulList-Accent11"/>
              <w:tabs>
                <w:tab w:val="left" w:pos="0"/>
                <w:tab w:val="left" w:pos="284"/>
              </w:tabs>
              <w:ind w:left="0" w:right="-90"/>
              <w:jc w:val="center"/>
              <w:rPr>
                <w:rFonts w:ascii="Arial" w:hAnsi="Arial" w:cs="Arial"/>
                <w:color w:val="FF0000"/>
                <w:sz w:val="18"/>
                <w:szCs w:val="18"/>
              </w:rPr>
            </w:pPr>
            <w:r w:rsidRPr="007E5ABB">
              <w:rPr>
                <w:rFonts w:ascii="Arial" w:hAnsi="Arial" w:cs="Arial"/>
                <w:sz w:val="18"/>
                <w:szCs w:val="18"/>
              </w:rPr>
              <w:t>138</w:t>
            </w:r>
            <w:r w:rsidR="00460E4F" w:rsidRPr="007E5ABB">
              <w:rPr>
                <w:rFonts w:ascii="Arial" w:hAnsi="Arial" w:cs="Arial"/>
                <w:sz w:val="18"/>
                <w:szCs w:val="18"/>
              </w:rPr>
              <w:t>,</w:t>
            </w:r>
            <w:r w:rsidRPr="007E5ABB">
              <w:rPr>
                <w:rFonts w:ascii="Arial" w:hAnsi="Arial" w:cs="Arial"/>
                <w:sz w:val="18"/>
                <w:szCs w:val="18"/>
              </w:rPr>
              <w:t>6</w:t>
            </w:r>
          </w:p>
        </w:tc>
        <w:tc>
          <w:tcPr>
            <w:tcW w:w="1445" w:type="dxa"/>
            <w:tcBorders>
              <w:left w:val="single" w:sz="4" w:space="0" w:color="auto"/>
            </w:tcBorders>
            <w:vAlign w:val="center"/>
          </w:tcPr>
          <w:p w14:paraId="2DF4C5E1" w14:textId="02A6F414" w:rsidR="007C0D5C" w:rsidRPr="007E5ABB" w:rsidRDefault="007C0D5C" w:rsidP="007C0D5C">
            <w:pPr>
              <w:pStyle w:val="ColorfulList-Accent11"/>
              <w:tabs>
                <w:tab w:val="left" w:pos="0"/>
                <w:tab w:val="left" w:pos="284"/>
              </w:tabs>
              <w:ind w:left="0" w:right="-90"/>
              <w:jc w:val="center"/>
              <w:rPr>
                <w:rFonts w:ascii="Arial" w:hAnsi="Arial" w:cs="Arial"/>
                <w:sz w:val="18"/>
                <w:szCs w:val="18"/>
              </w:rPr>
            </w:pPr>
            <w:r w:rsidRPr="007E5ABB">
              <w:rPr>
                <w:rFonts w:ascii="Arial" w:hAnsi="Arial" w:cs="Arial"/>
                <w:sz w:val="18"/>
                <w:szCs w:val="18"/>
              </w:rPr>
              <w:t>434</w:t>
            </w:r>
            <w:r w:rsidR="00460E4F" w:rsidRPr="007E5ABB">
              <w:rPr>
                <w:rFonts w:ascii="Arial" w:hAnsi="Arial" w:cs="Arial"/>
                <w:sz w:val="18"/>
                <w:szCs w:val="18"/>
              </w:rPr>
              <w:t>,</w:t>
            </w:r>
            <w:r w:rsidRPr="007E5ABB">
              <w:rPr>
                <w:rFonts w:ascii="Arial" w:hAnsi="Arial" w:cs="Arial"/>
                <w:sz w:val="18"/>
                <w:szCs w:val="18"/>
              </w:rPr>
              <w:t>9</w:t>
            </w:r>
          </w:p>
        </w:tc>
        <w:tc>
          <w:tcPr>
            <w:tcW w:w="1445" w:type="dxa"/>
            <w:vAlign w:val="center"/>
          </w:tcPr>
          <w:p w14:paraId="2258170A" w14:textId="24AE294A" w:rsidR="007C0D5C" w:rsidRPr="007E5ABB" w:rsidRDefault="007C0D5C" w:rsidP="007C0D5C">
            <w:pPr>
              <w:pStyle w:val="ColorfulList-Accent11"/>
              <w:tabs>
                <w:tab w:val="left" w:pos="0"/>
                <w:tab w:val="left" w:pos="284"/>
              </w:tabs>
              <w:ind w:left="0" w:right="-90"/>
              <w:jc w:val="center"/>
              <w:rPr>
                <w:rFonts w:ascii="Arial" w:hAnsi="Arial" w:cs="Arial"/>
                <w:sz w:val="18"/>
                <w:szCs w:val="18"/>
              </w:rPr>
            </w:pPr>
            <w:r w:rsidRPr="007E5ABB">
              <w:rPr>
                <w:rFonts w:ascii="Arial" w:hAnsi="Arial" w:cs="Arial"/>
                <w:sz w:val="18"/>
                <w:szCs w:val="18"/>
              </w:rPr>
              <w:t>433</w:t>
            </w:r>
            <w:r w:rsidR="00460E4F" w:rsidRPr="007E5ABB">
              <w:rPr>
                <w:rFonts w:ascii="Arial" w:hAnsi="Arial" w:cs="Arial"/>
                <w:sz w:val="18"/>
                <w:szCs w:val="18"/>
              </w:rPr>
              <w:t>,</w:t>
            </w:r>
            <w:r w:rsidRPr="007E5ABB">
              <w:rPr>
                <w:rFonts w:ascii="Arial" w:hAnsi="Arial" w:cs="Arial"/>
                <w:sz w:val="18"/>
                <w:szCs w:val="18"/>
              </w:rPr>
              <w:t>3</w:t>
            </w:r>
          </w:p>
        </w:tc>
      </w:tr>
      <w:tr w:rsidR="007C0D5C" w:rsidRPr="007E5ABB" w14:paraId="3468A964" w14:textId="77777777" w:rsidTr="00FB20CB">
        <w:trPr>
          <w:trHeight w:val="228"/>
        </w:trPr>
        <w:tc>
          <w:tcPr>
            <w:tcW w:w="5103" w:type="dxa"/>
            <w:tcBorders>
              <w:right w:val="single" w:sz="4" w:space="0" w:color="auto"/>
            </w:tcBorders>
            <w:vAlign w:val="center"/>
          </w:tcPr>
          <w:p w14:paraId="72420364" w14:textId="7AA5E0AB" w:rsidR="007C0D5C" w:rsidRPr="007E5ABB" w:rsidRDefault="007C0D5C" w:rsidP="007C0D5C">
            <w:pPr>
              <w:pStyle w:val="ColorfulList-Accent11"/>
              <w:tabs>
                <w:tab w:val="left" w:pos="0"/>
                <w:tab w:val="left" w:pos="284"/>
              </w:tabs>
              <w:ind w:left="0" w:right="-90"/>
              <w:rPr>
                <w:rFonts w:ascii="Arial" w:hAnsi="Arial" w:cs="Arial"/>
                <w:sz w:val="18"/>
                <w:szCs w:val="18"/>
                <w:lang w:val="el-GR"/>
              </w:rPr>
            </w:pPr>
            <w:r w:rsidRPr="007E5ABB">
              <w:rPr>
                <w:rFonts w:ascii="Arial" w:hAnsi="Arial" w:cs="Arial"/>
                <w:sz w:val="18"/>
                <w:szCs w:val="18"/>
                <w:lang w:val="el-GR"/>
              </w:rPr>
              <w:t>Κόστη σχετιζόμενα με προγράμματα εθελούσιας αποχώρησης</w:t>
            </w:r>
          </w:p>
        </w:tc>
        <w:tc>
          <w:tcPr>
            <w:tcW w:w="1444" w:type="dxa"/>
            <w:tcBorders>
              <w:left w:val="single" w:sz="4" w:space="0" w:color="auto"/>
            </w:tcBorders>
            <w:vAlign w:val="center"/>
          </w:tcPr>
          <w:p w14:paraId="50FD4944" w14:textId="7686E282" w:rsidR="007C0D5C" w:rsidRPr="007E5ABB" w:rsidRDefault="007C0D5C" w:rsidP="007C0D5C">
            <w:pPr>
              <w:pStyle w:val="ColorfulList-Accent11"/>
              <w:tabs>
                <w:tab w:val="left" w:pos="0"/>
                <w:tab w:val="left" w:pos="284"/>
              </w:tabs>
              <w:ind w:left="0" w:right="-90"/>
              <w:jc w:val="center"/>
              <w:rPr>
                <w:rFonts w:ascii="Arial" w:hAnsi="Arial" w:cs="Arial"/>
                <w:color w:val="FF0000"/>
                <w:sz w:val="18"/>
                <w:szCs w:val="18"/>
                <w:lang w:val="el-GR"/>
              </w:rPr>
            </w:pPr>
            <w:r w:rsidRPr="007E5ABB">
              <w:rPr>
                <w:rFonts w:ascii="Arial" w:hAnsi="Arial" w:cs="Arial"/>
                <w:sz w:val="18"/>
                <w:szCs w:val="18"/>
              </w:rPr>
              <w:t>3</w:t>
            </w:r>
            <w:r w:rsidR="00460E4F" w:rsidRPr="007E5ABB">
              <w:rPr>
                <w:rFonts w:ascii="Arial" w:hAnsi="Arial" w:cs="Arial"/>
                <w:sz w:val="18"/>
                <w:szCs w:val="18"/>
              </w:rPr>
              <w:t>,</w:t>
            </w:r>
            <w:r w:rsidRPr="007E5ABB">
              <w:rPr>
                <w:rFonts w:ascii="Arial" w:hAnsi="Arial" w:cs="Arial"/>
                <w:sz w:val="18"/>
                <w:szCs w:val="18"/>
              </w:rPr>
              <w:t>7</w:t>
            </w:r>
          </w:p>
        </w:tc>
        <w:tc>
          <w:tcPr>
            <w:tcW w:w="1445" w:type="dxa"/>
            <w:tcBorders>
              <w:right w:val="single" w:sz="4" w:space="0" w:color="auto"/>
            </w:tcBorders>
            <w:vAlign w:val="center"/>
          </w:tcPr>
          <w:p w14:paraId="1FF086B4" w14:textId="09B41CE2" w:rsidR="007C0D5C" w:rsidRPr="007E5ABB" w:rsidRDefault="007C0D5C" w:rsidP="007C0D5C">
            <w:pPr>
              <w:pStyle w:val="ColorfulList-Accent11"/>
              <w:tabs>
                <w:tab w:val="left" w:pos="0"/>
                <w:tab w:val="left" w:pos="284"/>
              </w:tabs>
              <w:ind w:left="0" w:right="-90"/>
              <w:jc w:val="center"/>
              <w:rPr>
                <w:rFonts w:ascii="Arial" w:hAnsi="Arial" w:cs="Arial"/>
                <w:color w:val="FF0000"/>
                <w:sz w:val="18"/>
                <w:szCs w:val="18"/>
                <w:lang w:val="el-GR"/>
              </w:rPr>
            </w:pPr>
            <w:r w:rsidRPr="007E5ABB">
              <w:rPr>
                <w:rFonts w:ascii="Arial" w:hAnsi="Arial" w:cs="Arial"/>
                <w:sz w:val="18"/>
                <w:szCs w:val="18"/>
              </w:rPr>
              <w:t>2</w:t>
            </w:r>
            <w:r w:rsidR="00460E4F" w:rsidRPr="007E5ABB">
              <w:rPr>
                <w:rFonts w:ascii="Arial" w:hAnsi="Arial" w:cs="Arial"/>
                <w:sz w:val="18"/>
                <w:szCs w:val="18"/>
              </w:rPr>
              <w:t>,</w:t>
            </w:r>
            <w:r w:rsidRPr="007E5ABB">
              <w:rPr>
                <w:rFonts w:ascii="Arial" w:hAnsi="Arial" w:cs="Arial"/>
                <w:sz w:val="18"/>
                <w:szCs w:val="18"/>
              </w:rPr>
              <w:t>5</w:t>
            </w:r>
          </w:p>
        </w:tc>
        <w:tc>
          <w:tcPr>
            <w:tcW w:w="1445" w:type="dxa"/>
            <w:tcBorders>
              <w:left w:val="single" w:sz="4" w:space="0" w:color="auto"/>
            </w:tcBorders>
            <w:vAlign w:val="center"/>
          </w:tcPr>
          <w:p w14:paraId="696C686D" w14:textId="6002C46D" w:rsidR="007C0D5C" w:rsidRPr="007E5ABB" w:rsidRDefault="007C0D5C" w:rsidP="007C0D5C">
            <w:pPr>
              <w:pStyle w:val="ColorfulList-Accent11"/>
              <w:tabs>
                <w:tab w:val="left" w:pos="0"/>
                <w:tab w:val="left" w:pos="284"/>
              </w:tabs>
              <w:ind w:left="0" w:right="-90"/>
              <w:jc w:val="center"/>
              <w:rPr>
                <w:rFonts w:ascii="Arial" w:hAnsi="Arial" w:cs="Arial"/>
                <w:sz w:val="18"/>
                <w:szCs w:val="18"/>
                <w:lang w:val="el-GR"/>
              </w:rPr>
            </w:pPr>
            <w:r w:rsidRPr="007E5ABB">
              <w:rPr>
                <w:rFonts w:ascii="Arial" w:hAnsi="Arial" w:cs="Arial"/>
                <w:sz w:val="18"/>
                <w:szCs w:val="18"/>
              </w:rPr>
              <w:t>27</w:t>
            </w:r>
            <w:r w:rsidR="00460E4F" w:rsidRPr="007E5ABB">
              <w:rPr>
                <w:rFonts w:ascii="Arial" w:hAnsi="Arial" w:cs="Arial"/>
                <w:sz w:val="18"/>
                <w:szCs w:val="18"/>
              </w:rPr>
              <w:t>,</w:t>
            </w:r>
            <w:r w:rsidRPr="007E5ABB">
              <w:rPr>
                <w:rFonts w:ascii="Arial" w:hAnsi="Arial" w:cs="Arial"/>
                <w:sz w:val="18"/>
                <w:szCs w:val="18"/>
              </w:rPr>
              <w:t>3</w:t>
            </w:r>
          </w:p>
        </w:tc>
        <w:tc>
          <w:tcPr>
            <w:tcW w:w="1445" w:type="dxa"/>
            <w:vAlign w:val="center"/>
          </w:tcPr>
          <w:p w14:paraId="7EEF10E9" w14:textId="765A45C6" w:rsidR="007C0D5C" w:rsidRPr="007E5ABB" w:rsidRDefault="007C0D5C" w:rsidP="007C0D5C">
            <w:pPr>
              <w:pStyle w:val="ColorfulList-Accent11"/>
              <w:tabs>
                <w:tab w:val="left" w:pos="0"/>
                <w:tab w:val="left" w:pos="284"/>
              </w:tabs>
              <w:ind w:left="0" w:right="-90"/>
              <w:jc w:val="center"/>
              <w:rPr>
                <w:rFonts w:ascii="Arial" w:hAnsi="Arial" w:cs="Arial"/>
                <w:sz w:val="18"/>
                <w:szCs w:val="18"/>
                <w:lang w:val="el-GR"/>
              </w:rPr>
            </w:pPr>
            <w:r w:rsidRPr="007E5ABB">
              <w:rPr>
                <w:rFonts w:ascii="Arial" w:hAnsi="Arial" w:cs="Arial"/>
                <w:sz w:val="18"/>
                <w:szCs w:val="18"/>
              </w:rPr>
              <w:t>31</w:t>
            </w:r>
            <w:r w:rsidR="00460E4F" w:rsidRPr="007E5ABB">
              <w:rPr>
                <w:rFonts w:ascii="Arial" w:hAnsi="Arial" w:cs="Arial"/>
                <w:sz w:val="18"/>
                <w:szCs w:val="18"/>
              </w:rPr>
              <w:t>,</w:t>
            </w:r>
            <w:r w:rsidRPr="007E5ABB">
              <w:rPr>
                <w:rFonts w:ascii="Arial" w:hAnsi="Arial" w:cs="Arial"/>
                <w:sz w:val="18"/>
                <w:szCs w:val="18"/>
              </w:rPr>
              <w:t>1</w:t>
            </w:r>
          </w:p>
        </w:tc>
      </w:tr>
      <w:tr w:rsidR="007C0D5C" w:rsidRPr="007E5ABB" w14:paraId="6B843942" w14:textId="77777777" w:rsidTr="00FB20CB">
        <w:trPr>
          <w:trHeight w:val="228"/>
        </w:trPr>
        <w:tc>
          <w:tcPr>
            <w:tcW w:w="5103" w:type="dxa"/>
            <w:tcBorders>
              <w:right w:val="single" w:sz="4" w:space="0" w:color="auto"/>
            </w:tcBorders>
            <w:vAlign w:val="center"/>
          </w:tcPr>
          <w:p w14:paraId="549DEE0A" w14:textId="48A9026C" w:rsidR="007C0D5C" w:rsidRPr="007E5ABB" w:rsidRDefault="007C0D5C" w:rsidP="007C0D5C">
            <w:pPr>
              <w:pStyle w:val="ColorfulList-Accent11"/>
              <w:tabs>
                <w:tab w:val="left" w:pos="0"/>
                <w:tab w:val="left" w:pos="284"/>
              </w:tabs>
              <w:ind w:left="0" w:right="-90"/>
              <w:rPr>
                <w:rFonts w:ascii="Arial" w:hAnsi="Arial" w:cs="Arial"/>
                <w:sz w:val="18"/>
                <w:szCs w:val="18"/>
              </w:rPr>
            </w:pPr>
            <w:proofErr w:type="spellStart"/>
            <w:r w:rsidRPr="007E5ABB">
              <w:rPr>
                <w:rFonts w:ascii="Arial" w:hAnsi="Arial" w:cs="Arial"/>
                <w:sz w:val="18"/>
                <w:szCs w:val="18"/>
              </w:rPr>
              <w:t>Πρό</w:t>
            </w:r>
            <w:proofErr w:type="spellEnd"/>
            <w:r w:rsidRPr="007E5ABB">
              <w:rPr>
                <w:rFonts w:ascii="Arial" w:hAnsi="Arial" w:cs="Arial"/>
                <w:sz w:val="18"/>
                <w:szCs w:val="18"/>
              </w:rPr>
              <w:t xml:space="preserve">βλεψη </w:t>
            </w:r>
            <w:proofErr w:type="spellStart"/>
            <w:r w:rsidRPr="007E5ABB">
              <w:rPr>
                <w:rFonts w:ascii="Arial" w:hAnsi="Arial" w:cs="Arial"/>
                <w:sz w:val="18"/>
                <w:szCs w:val="18"/>
              </w:rPr>
              <w:t>γι</w:t>
            </w:r>
            <w:proofErr w:type="spellEnd"/>
            <w:r w:rsidRPr="007E5ABB">
              <w:rPr>
                <w:rFonts w:ascii="Arial" w:hAnsi="Arial" w:cs="Arial"/>
                <w:sz w:val="18"/>
                <w:szCs w:val="18"/>
              </w:rPr>
              <w:t>α απ</w:t>
            </w:r>
            <w:proofErr w:type="spellStart"/>
            <w:r w:rsidRPr="007E5ABB">
              <w:rPr>
                <w:rFonts w:ascii="Arial" w:hAnsi="Arial" w:cs="Arial"/>
                <w:sz w:val="18"/>
                <w:szCs w:val="18"/>
              </w:rPr>
              <w:t>οζημίωση</w:t>
            </w:r>
            <w:proofErr w:type="spellEnd"/>
            <w:r w:rsidRPr="007E5ABB">
              <w:rPr>
                <w:rFonts w:ascii="Arial" w:hAnsi="Arial" w:cs="Arial"/>
                <w:sz w:val="18"/>
                <w:szCs w:val="18"/>
              </w:rPr>
              <w:t xml:space="preserve"> π</w:t>
            </w:r>
            <w:proofErr w:type="spellStart"/>
            <w:r w:rsidRPr="007E5ABB">
              <w:rPr>
                <w:rFonts w:ascii="Arial" w:hAnsi="Arial" w:cs="Arial"/>
                <w:sz w:val="18"/>
                <w:szCs w:val="18"/>
              </w:rPr>
              <w:t>ροσω</w:t>
            </w:r>
            <w:proofErr w:type="spellEnd"/>
            <w:r w:rsidRPr="007E5ABB">
              <w:rPr>
                <w:rFonts w:ascii="Arial" w:hAnsi="Arial" w:cs="Arial"/>
                <w:sz w:val="18"/>
                <w:szCs w:val="18"/>
              </w:rPr>
              <w:t>πικού</w:t>
            </w:r>
          </w:p>
        </w:tc>
        <w:tc>
          <w:tcPr>
            <w:tcW w:w="1444" w:type="dxa"/>
            <w:tcBorders>
              <w:left w:val="single" w:sz="4" w:space="0" w:color="auto"/>
            </w:tcBorders>
            <w:vAlign w:val="center"/>
          </w:tcPr>
          <w:p w14:paraId="14D7D579" w14:textId="5AB24145" w:rsidR="007C0D5C" w:rsidRPr="007E5ABB" w:rsidRDefault="007C0D5C" w:rsidP="007C0D5C">
            <w:pPr>
              <w:pStyle w:val="ColorfulList-Accent11"/>
              <w:tabs>
                <w:tab w:val="left" w:pos="0"/>
                <w:tab w:val="left" w:pos="284"/>
              </w:tabs>
              <w:ind w:left="0" w:right="-90"/>
              <w:jc w:val="center"/>
              <w:rPr>
                <w:rFonts w:ascii="Arial" w:hAnsi="Arial" w:cs="Arial"/>
                <w:color w:val="FF0000"/>
                <w:sz w:val="18"/>
                <w:szCs w:val="18"/>
              </w:rPr>
            </w:pPr>
            <w:r w:rsidRPr="007E5ABB">
              <w:rPr>
                <w:rFonts w:ascii="Arial" w:hAnsi="Arial" w:cs="Arial"/>
                <w:sz w:val="18"/>
                <w:szCs w:val="18"/>
              </w:rPr>
              <w:t>0</w:t>
            </w:r>
            <w:r w:rsidR="00460E4F" w:rsidRPr="007E5ABB">
              <w:rPr>
                <w:rFonts w:ascii="Arial" w:hAnsi="Arial" w:cs="Arial"/>
                <w:sz w:val="18"/>
                <w:szCs w:val="18"/>
              </w:rPr>
              <w:t>,</w:t>
            </w:r>
            <w:r w:rsidRPr="007E5ABB">
              <w:rPr>
                <w:rFonts w:ascii="Arial" w:hAnsi="Arial" w:cs="Arial"/>
                <w:sz w:val="18"/>
                <w:szCs w:val="18"/>
              </w:rPr>
              <w:t>5</w:t>
            </w:r>
          </w:p>
        </w:tc>
        <w:tc>
          <w:tcPr>
            <w:tcW w:w="1445" w:type="dxa"/>
            <w:tcBorders>
              <w:right w:val="single" w:sz="4" w:space="0" w:color="auto"/>
            </w:tcBorders>
            <w:vAlign w:val="center"/>
          </w:tcPr>
          <w:p w14:paraId="37253E60" w14:textId="33073955" w:rsidR="007C0D5C" w:rsidRPr="007E5ABB" w:rsidRDefault="007C0D5C" w:rsidP="007C0D5C">
            <w:pPr>
              <w:pStyle w:val="ColorfulList-Accent11"/>
              <w:tabs>
                <w:tab w:val="left" w:pos="0"/>
                <w:tab w:val="left" w:pos="284"/>
              </w:tabs>
              <w:ind w:left="0" w:right="-90"/>
              <w:jc w:val="center"/>
              <w:rPr>
                <w:rFonts w:ascii="Arial" w:hAnsi="Arial" w:cs="Arial"/>
                <w:color w:val="FF0000"/>
                <w:sz w:val="18"/>
                <w:szCs w:val="18"/>
              </w:rPr>
            </w:pPr>
            <w:r w:rsidRPr="007E5ABB">
              <w:rPr>
                <w:rFonts w:ascii="Arial" w:hAnsi="Arial" w:cs="Arial"/>
                <w:sz w:val="18"/>
                <w:szCs w:val="18"/>
              </w:rPr>
              <w:t>0</w:t>
            </w:r>
            <w:r w:rsidR="00460E4F" w:rsidRPr="007E5ABB">
              <w:rPr>
                <w:rFonts w:ascii="Arial" w:hAnsi="Arial" w:cs="Arial"/>
                <w:sz w:val="18"/>
                <w:szCs w:val="18"/>
              </w:rPr>
              <w:t>,</w:t>
            </w:r>
            <w:r w:rsidRPr="007E5ABB">
              <w:rPr>
                <w:rFonts w:ascii="Arial" w:hAnsi="Arial" w:cs="Arial"/>
                <w:sz w:val="18"/>
                <w:szCs w:val="18"/>
              </w:rPr>
              <w:t>6</w:t>
            </w:r>
          </w:p>
        </w:tc>
        <w:tc>
          <w:tcPr>
            <w:tcW w:w="1445" w:type="dxa"/>
            <w:tcBorders>
              <w:left w:val="single" w:sz="4" w:space="0" w:color="auto"/>
            </w:tcBorders>
            <w:vAlign w:val="center"/>
          </w:tcPr>
          <w:p w14:paraId="2AD6C44A" w14:textId="29C9A26D" w:rsidR="007C0D5C" w:rsidRPr="007E5ABB" w:rsidRDefault="007C0D5C" w:rsidP="007C0D5C">
            <w:pPr>
              <w:pStyle w:val="ColorfulList-Accent11"/>
              <w:tabs>
                <w:tab w:val="left" w:pos="0"/>
                <w:tab w:val="left" w:pos="284"/>
              </w:tabs>
              <w:ind w:left="0" w:right="-90"/>
              <w:jc w:val="center"/>
              <w:rPr>
                <w:rFonts w:ascii="Arial" w:hAnsi="Arial" w:cs="Arial"/>
                <w:sz w:val="18"/>
                <w:szCs w:val="18"/>
              </w:rPr>
            </w:pPr>
            <w:r w:rsidRPr="007E5ABB">
              <w:rPr>
                <w:rFonts w:ascii="Arial" w:hAnsi="Arial" w:cs="Arial"/>
                <w:sz w:val="18"/>
                <w:szCs w:val="18"/>
              </w:rPr>
              <w:t>2</w:t>
            </w:r>
            <w:r w:rsidR="00460E4F" w:rsidRPr="007E5ABB">
              <w:rPr>
                <w:rFonts w:ascii="Arial" w:hAnsi="Arial" w:cs="Arial"/>
                <w:sz w:val="18"/>
                <w:szCs w:val="18"/>
              </w:rPr>
              <w:t>,</w:t>
            </w:r>
            <w:r w:rsidRPr="007E5ABB">
              <w:rPr>
                <w:rFonts w:ascii="Arial" w:hAnsi="Arial" w:cs="Arial"/>
                <w:sz w:val="18"/>
                <w:szCs w:val="18"/>
              </w:rPr>
              <w:t>6</w:t>
            </w:r>
          </w:p>
        </w:tc>
        <w:tc>
          <w:tcPr>
            <w:tcW w:w="1445" w:type="dxa"/>
            <w:vAlign w:val="center"/>
          </w:tcPr>
          <w:p w14:paraId="0C351571" w14:textId="51AA95BB" w:rsidR="007C0D5C" w:rsidRPr="007E5ABB" w:rsidRDefault="007C0D5C" w:rsidP="007C0D5C">
            <w:pPr>
              <w:pStyle w:val="ColorfulList-Accent11"/>
              <w:tabs>
                <w:tab w:val="left" w:pos="0"/>
                <w:tab w:val="left" w:pos="284"/>
              </w:tabs>
              <w:ind w:left="0" w:right="-90"/>
              <w:jc w:val="center"/>
              <w:rPr>
                <w:rFonts w:ascii="Arial" w:hAnsi="Arial" w:cs="Arial"/>
                <w:sz w:val="18"/>
                <w:szCs w:val="18"/>
              </w:rPr>
            </w:pPr>
            <w:r w:rsidRPr="007E5ABB">
              <w:rPr>
                <w:rFonts w:ascii="Arial" w:hAnsi="Arial" w:cs="Arial"/>
                <w:sz w:val="18"/>
                <w:szCs w:val="18"/>
              </w:rPr>
              <w:t>1</w:t>
            </w:r>
            <w:r w:rsidR="00460E4F" w:rsidRPr="007E5ABB">
              <w:rPr>
                <w:rFonts w:ascii="Arial" w:hAnsi="Arial" w:cs="Arial"/>
                <w:sz w:val="18"/>
                <w:szCs w:val="18"/>
              </w:rPr>
              <w:t>,</w:t>
            </w:r>
            <w:r w:rsidRPr="007E5ABB">
              <w:rPr>
                <w:rFonts w:ascii="Arial" w:hAnsi="Arial" w:cs="Arial"/>
                <w:sz w:val="18"/>
                <w:szCs w:val="18"/>
              </w:rPr>
              <w:t>6</w:t>
            </w:r>
          </w:p>
        </w:tc>
      </w:tr>
      <w:tr w:rsidR="007C0D5C" w:rsidRPr="007E5ABB" w14:paraId="74473281" w14:textId="77777777" w:rsidTr="00FB20CB">
        <w:trPr>
          <w:trHeight w:val="228"/>
        </w:trPr>
        <w:tc>
          <w:tcPr>
            <w:tcW w:w="5103" w:type="dxa"/>
            <w:tcBorders>
              <w:right w:val="single" w:sz="4" w:space="0" w:color="auto"/>
            </w:tcBorders>
            <w:vAlign w:val="center"/>
          </w:tcPr>
          <w:p w14:paraId="4E5F771A" w14:textId="16CEBE48" w:rsidR="007C0D5C" w:rsidRPr="007E5ABB" w:rsidRDefault="007C0D5C" w:rsidP="007C0D5C">
            <w:pPr>
              <w:pStyle w:val="ColorfulList-Accent11"/>
              <w:tabs>
                <w:tab w:val="left" w:pos="0"/>
                <w:tab w:val="left" w:pos="284"/>
              </w:tabs>
              <w:ind w:left="0" w:right="-90"/>
              <w:rPr>
                <w:rFonts w:ascii="Arial" w:hAnsi="Arial" w:cs="Arial"/>
                <w:sz w:val="18"/>
                <w:szCs w:val="18"/>
              </w:rPr>
            </w:pPr>
            <w:proofErr w:type="spellStart"/>
            <w:r w:rsidRPr="007E5ABB">
              <w:rPr>
                <w:rFonts w:ascii="Arial" w:hAnsi="Arial" w:cs="Arial"/>
                <w:sz w:val="18"/>
                <w:szCs w:val="18"/>
              </w:rPr>
              <w:t>Συν</w:t>
            </w:r>
            <w:proofErr w:type="spellEnd"/>
            <w:r w:rsidRPr="007E5ABB">
              <w:rPr>
                <w:rFonts w:ascii="Arial" w:hAnsi="Arial" w:cs="Arial"/>
                <w:sz w:val="18"/>
                <w:szCs w:val="18"/>
              </w:rPr>
              <w:t xml:space="preserve">αλλαγματικές </w:t>
            </w:r>
            <w:proofErr w:type="spellStart"/>
            <w:r w:rsidRPr="007E5ABB">
              <w:rPr>
                <w:rFonts w:ascii="Arial" w:hAnsi="Arial" w:cs="Arial"/>
                <w:sz w:val="18"/>
                <w:szCs w:val="18"/>
              </w:rPr>
              <w:t>δι</w:t>
            </w:r>
            <w:proofErr w:type="spellEnd"/>
            <w:r w:rsidRPr="007E5ABB">
              <w:rPr>
                <w:rFonts w:ascii="Arial" w:hAnsi="Arial" w:cs="Arial"/>
                <w:sz w:val="18"/>
                <w:szCs w:val="18"/>
              </w:rPr>
              <w:t>αφορές. καθα</w:t>
            </w:r>
            <w:proofErr w:type="spellStart"/>
            <w:r w:rsidRPr="007E5ABB">
              <w:rPr>
                <w:rFonts w:ascii="Arial" w:hAnsi="Arial" w:cs="Arial"/>
                <w:sz w:val="18"/>
                <w:szCs w:val="18"/>
              </w:rPr>
              <w:t>ρές</w:t>
            </w:r>
            <w:proofErr w:type="spellEnd"/>
          </w:p>
        </w:tc>
        <w:tc>
          <w:tcPr>
            <w:tcW w:w="1444" w:type="dxa"/>
            <w:tcBorders>
              <w:left w:val="single" w:sz="4" w:space="0" w:color="auto"/>
            </w:tcBorders>
            <w:vAlign w:val="center"/>
          </w:tcPr>
          <w:p w14:paraId="679291EC" w14:textId="3AF7E8CA" w:rsidR="007C0D5C" w:rsidRPr="007E5ABB" w:rsidRDefault="007C0D5C" w:rsidP="007C0D5C">
            <w:pPr>
              <w:pStyle w:val="ColorfulList-Accent11"/>
              <w:tabs>
                <w:tab w:val="left" w:pos="0"/>
                <w:tab w:val="left" w:pos="284"/>
              </w:tabs>
              <w:ind w:left="0" w:right="-90"/>
              <w:jc w:val="center"/>
              <w:rPr>
                <w:rFonts w:ascii="Arial" w:hAnsi="Arial" w:cs="Arial"/>
                <w:color w:val="FF0000"/>
                <w:sz w:val="18"/>
                <w:szCs w:val="18"/>
              </w:rPr>
            </w:pPr>
            <w:r w:rsidRPr="007E5ABB">
              <w:rPr>
                <w:rFonts w:ascii="Arial" w:hAnsi="Arial" w:cs="Arial"/>
                <w:sz w:val="18"/>
                <w:szCs w:val="18"/>
              </w:rPr>
              <w:t>--</w:t>
            </w:r>
          </w:p>
        </w:tc>
        <w:tc>
          <w:tcPr>
            <w:tcW w:w="1445" w:type="dxa"/>
            <w:tcBorders>
              <w:right w:val="single" w:sz="4" w:space="0" w:color="auto"/>
            </w:tcBorders>
            <w:vAlign w:val="center"/>
          </w:tcPr>
          <w:p w14:paraId="7CF4F953" w14:textId="4757B7B5" w:rsidR="007C0D5C" w:rsidRPr="007E5ABB" w:rsidRDefault="007C0D5C" w:rsidP="007C0D5C">
            <w:pPr>
              <w:pStyle w:val="ColorfulList-Accent11"/>
              <w:tabs>
                <w:tab w:val="left" w:pos="0"/>
                <w:tab w:val="left" w:pos="284"/>
              </w:tabs>
              <w:ind w:left="0" w:right="-90"/>
              <w:jc w:val="center"/>
              <w:rPr>
                <w:rFonts w:ascii="Arial" w:hAnsi="Arial" w:cs="Arial"/>
                <w:color w:val="FF0000"/>
                <w:sz w:val="18"/>
                <w:szCs w:val="18"/>
              </w:rPr>
            </w:pPr>
            <w:r w:rsidRPr="007E5ABB">
              <w:rPr>
                <w:rFonts w:ascii="Arial" w:hAnsi="Arial" w:cs="Arial"/>
                <w:sz w:val="18"/>
                <w:szCs w:val="18"/>
              </w:rPr>
              <w:t>(0</w:t>
            </w:r>
            <w:r w:rsidR="00460E4F" w:rsidRPr="007E5ABB">
              <w:rPr>
                <w:rFonts w:ascii="Arial" w:hAnsi="Arial" w:cs="Arial"/>
                <w:sz w:val="18"/>
                <w:szCs w:val="18"/>
              </w:rPr>
              <w:t>,</w:t>
            </w:r>
            <w:r w:rsidRPr="007E5ABB">
              <w:rPr>
                <w:rFonts w:ascii="Arial" w:hAnsi="Arial" w:cs="Arial"/>
                <w:sz w:val="18"/>
                <w:szCs w:val="18"/>
              </w:rPr>
              <w:t>2)</w:t>
            </w:r>
          </w:p>
        </w:tc>
        <w:tc>
          <w:tcPr>
            <w:tcW w:w="1445" w:type="dxa"/>
            <w:tcBorders>
              <w:left w:val="single" w:sz="4" w:space="0" w:color="auto"/>
            </w:tcBorders>
            <w:vAlign w:val="center"/>
          </w:tcPr>
          <w:p w14:paraId="5D0DE940" w14:textId="398CBAE1" w:rsidR="007C0D5C" w:rsidRPr="007E5ABB" w:rsidRDefault="007C0D5C" w:rsidP="007C0D5C">
            <w:pPr>
              <w:pStyle w:val="ColorfulList-Accent11"/>
              <w:tabs>
                <w:tab w:val="left" w:pos="0"/>
                <w:tab w:val="left" w:pos="284"/>
              </w:tabs>
              <w:ind w:left="0" w:right="-90"/>
              <w:jc w:val="center"/>
              <w:rPr>
                <w:rFonts w:ascii="Arial" w:hAnsi="Arial" w:cs="Arial"/>
                <w:sz w:val="18"/>
                <w:szCs w:val="18"/>
              </w:rPr>
            </w:pPr>
            <w:r w:rsidRPr="007E5ABB">
              <w:rPr>
                <w:rFonts w:ascii="Arial" w:hAnsi="Arial" w:cs="Arial"/>
                <w:sz w:val="18"/>
                <w:szCs w:val="18"/>
              </w:rPr>
              <w:t>(0</w:t>
            </w:r>
            <w:r w:rsidR="00460E4F" w:rsidRPr="007E5ABB">
              <w:rPr>
                <w:rFonts w:ascii="Arial" w:hAnsi="Arial" w:cs="Arial"/>
                <w:sz w:val="18"/>
                <w:szCs w:val="18"/>
              </w:rPr>
              <w:t>,</w:t>
            </w:r>
            <w:r w:rsidRPr="007E5ABB">
              <w:rPr>
                <w:rFonts w:ascii="Arial" w:hAnsi="Arial" w:cs="Arial"/>
                <w:sz w:val="18"/>
                <w:szCs w:val="18"/>
              </w:rPr>
              <w:t>1)</w:t>
            </w:r>
          </w:p>
        </w:tc>
        <w:tc>
          <w:tcPr>
            <w:tcW w:w="1445" w:type="dxa"/>
            <w:vAlign w:val="center"/>
          </w:tcPr>
          <w:p w14:paraId="79BA1F14" w14:textId="3DDFA7E6" w:rsidR="007C0D5C" w:rsidRPr="007E5ABB" w:rsidRDefault="007C0D5C" w:rsidP="007C0D5C">
            <w:pPr>
              <w:pStyle w:val="ColorfulList-Accent11"/>
              <w:tabs>
                <w:tab w:val="left" w:pos="0"/>
                <w:tab w:val="left" w:pos="284"/>
              </w:tabs>
              <w:ind w:left="0" w:right="-90"/>
              <w:jc w:val="center"/>
              <w:rPr>
                <w:rFonts w:ascii="Arial" w:hAnsi="Arial" w:cs="Arial"/>
                <w:sz w:val="18"/>
                <w:szCs w:val="18"/>
              </w:rPr>
            </w:pPr>
            <w:r w:rsidRPr="007E5ABB">
              <w:rPr>
                <w:rFonts w:ascii="Arial" w:hAnsi="Arial" w:cs="Arial"/>
                <w:sz w:val="18"/>
                <w:szCs w:val="18"/>
              </w:rPr>
              <w:t>(0</w:t>
            </w:r>
            <w:r w:rsidR="00460E4F" w:rsidRPr="007E5ABB">
              <w:rPr>
                <w:rFonts w:ascii="Arial" w:hAnsi="Arial" w:cs="Arial"/>
                <w:sz w:val="18"/>
                <w:szCs w:val="18"/>
              </w:rPr>
              <w:t>,</w:t>
            </w:r>
            <w:r w:rsidRPr="007E5ABB">
              <w:rPr>
                <w:rFonts w:ascii="Arial" w:hAnsi="Arial" w:cs="Arial"/>
                <w:sz w:val="18"/>
                <w:szCs w:val="18"/>
              </w:rPr>
              <w:t>6)</w:t>
            </w:r>
          </w:p>
        </w:tc>
      </w:tr>
      <w:tr w:rsidR="007C0D5C" w:rsidRPr="007E5ABB" w14:paraId="20D8562E" w14:textId="77777777" w:rsidTr="00FB20CB">
        <w:trPr>
          <w:trHeight w:val="228"/>
        </w:trPr>
        <w:tc>
          <w:tcPr>
            <w:tcW w:w="5103" w:type="dxa"/>
            <w:tcBorders>
              <w:right w:val="single" w:sz="4" w:space="0" w:color="auto"/>
            </w:tcBorders>
            <w:vAlign w:val="center"/>
          </w:tcPr>
          <w:p w14:paraId="04CB2D13" w14:textId="146689DB" w:rsidR="007C0D5C" w:rsidRPr="007E5ABB" w:rsidRDefault="007C0D5C" w:rsidP="007C0D5C">
            <w:pPr>
              <w:pStyle w:val="ColorfulList-Accent11"/>
              <w:tabs>
                <w:tab w:val="left" w:pos="0"/>
                <w:tab w:val="left" w:pos="284"/>
              </w:tabs>
              <w:ind w:left="0" w:right="-90"/>
              <w:rPr>
                <w:rFonts w:ascii="Arial" w:hAnsi="Arial" w:cs="Arial"/>
                <w:sz w:val="18"/>
                <w:szCs w:val="18"/>
                <w:lang w:val="el-GR"/>
              </w:rPr>
            </w:pPr>
            <w:r w:rsidRPr="007E5ABB">
              <w:rPr>
                <w:rFonts w:ascii="Arial" w:hAnsi="Arial" w:cs="Arial"/>
                <w:sz w:val="18"/>
                <w:szCs w:val="18"/>
                <w:lang w:val="el-GR"/>
              </w:rPr>
              <w:t xml:space="preserve">(Κέρδη) / ζημιές από συμμετοχές και λοιπά χρηματοοικονομικά περιουσιακά στοιχεία - </w:t>
            </w:r>
            <w:proofErr w:type="spellStart"/>
            <w:r w:rsidRPr="007E5ABB">
              <w:rPr>
                <w:rFonts w:ascii="Arial" w:hAnsi="Arial" w:cs="Arial"/>
                <w:sz w:val="18"/>
                <w:szCs w:val="18"/>
                <w:lang w:val="el-GR"/>
              </w:rPr>
              <w:t>Απομειώσεις</w:t>
            </w:r>
            <w:proofErr w:type="spellEnd"/>
          </w:p>
        </w:tc>
        <w:tc>
          <w:tcPr>
            <w:tcW w:w="1444" w:type="dxa"/>
            <w:tcBorders>
              <w:left w:val="single" w:sz="4" w:space="0" w:color="auto"/>
            </w:tcBorders>
            <w:vAlign w:val="center"/>
          </w:tcPr>
          <w:p w14:paraId="6CD1FA32" w14:textId="4A49421E" w:rsidR="007C0D5C" w:rsidRPr="007E5ABB" w:rsidRDefault="007C0D5C" w:rsidP="007C0D5C">
            <w:pPr>
              <w:pStyle w:val="ColorfulList-Accent11"/>
              <w:tabs>
                <w:tab w:val="left" w:pos="0"/>
                <w:tab w:val="left" w:pos="284"/>
              </w:tabs>
              <w:ind w:left="0" w:right="-90"/>
              <w:jc w:val="center"/>
              <w:rPr>
                <w:rFonts w:ascii="Arial" w:hAnsi="Arial" w:cs="Arial"/>
                <w:sz w:val="18"/>
                <w:szCs w:val="18"/>
              </w:rPr>
            </w:pPr>
            <w:r w:rsidRPr="007E5ABB">
              <w:rPr>
                <w:rFonts w:ascii="Arial" w:hAnsi="Arial" w:cs="Arial"/>
                <w:sz w:val="18"/>
                <w:szCs w:val="18"/>
              </w:rPr>
              <w:t>(0</w:t>
            </w:r>
            <w:r w:rsidR="00460E4F" w:rsidRPr="007E5ABB">
              <w:rPr>
                <w:rFonts w:ascii="Arial" w:hAnsi="Arial" w:cs="Arial"/>
                <w:sz w:val="18"/>
                <w:szCs w:val="18"/>
              </w:rPr>
              <w:t>,</w:t>
            </w:r>
            <w:r w:rsidRPr="007E5ABB">
              <w:rPr>
                <w:rFonts w:ascii="Arial" w:hAnsi="Arial" w:cs="Arial"/>
                <w:sz w:val="18"/>
                <w:szCs w:val="18"/>
              </w:rPr>
              <w:t>1)</w:t>
            </w:r>
          </w:p>
        </w:tc>
        <w:tc>
          <w:tcPr>
            <w:tcW w:w="1445" w:type="dxa"/>
            <w:tcBorders>
              <w:right w:val="single" w:sz="4" w:space="0" w:color="auto"/>
            </w:tcBorders>
            <w:vAlign w:val="center"/>
          </w:tcPr>
          <w:p w14:paraId="4E784068" w14:textId="2AEA4CA7" w:rsidR="007C0D5C" w:rsidRPr="007E5ABB" w:rsidRDefault="007C0D5C" w:rsidP="007C0D5C">
            <w:pPr>
              <w:pStyle w:val="ColorfulList-Accent11"/>
              <w:tabs>
                <w:tab w:val="left" w:pos="0"/>
                <w:tab w:val="left" w:pos="284"/>
              </w:tabs>
              <w:ind w:left="0" w:right="-90"/>
              <w:jc w:val="center"/>
              <w:rPr>
                <w:rFonts w:ascii="Arial" w:hAnsi="Arial" w:cs="Arial"/>
                <w:sz w:val="18"/>
                <w:szCs w:val="18"/>
              </w:rPr>
            </w:pPr>
            <w:r w:rsidRPr="007E5ABB">
              <w:rPr>
                <w:rFonts w:ascii="Arial" w:hAnsi="Arial" w:cs="Arial"/>
                <w:sz w:val="18"/>
                <w:szCs w:val="18"/>
              </w:rPr>
              <w:t>(29</w:t>
            </w:r>
            <w:r w:rsidR="00460E4F" w:rsidRPr="007E5ABB">
              <w:rPr>
                <w:rFonts w:ascii="Arial" w:hAnsi="Arial" w:cs="Arial"/>
                <w:sz w:val="18"/>
                <w:szCs w:val="18"/>
              </w:rPr>
              <w:t>,</w:t>
            </w:r>
            <w:r w:rsidRPr="007E5ABB">
              <w:rPr>
                <w:rFonts w:ascii="Arial" w:hAnsi="Arial" w:cs="Arial"/>
                <w:sz w:val="18"/>
                <w:szCs w:val="18"/>
              </w:rPr>
              <w:t>1)</w:t>
            </w:r>
          </w:p>
        </w:tc>
        <w:tc>
          <w:tcPr>
            <w:tcW w:w="1445" w:type="dxa"/>
            <w:tcBorders>
              <w:left w:val="single" w:sz="4" w:space="0" w:color="auto"/>
            </w:tcBorders>
            <w:vAlign w:val="center"/>
          </w:tcPr>
          <w:p w14:paraId="764BB383" w14:textId="74DE73CC" w:rsidR="007C0D5C" w:rsidRPr="007E5ABB" w:rsidRDefault="007C0D5C" w:rsidP="007C0D5C">
            <w:pPr>
              <w:pStyle w:val="ColorfulList-Accent11"/>
              <w:tabs>
                <w:tab w:val="left" w:pos="0"/>
                <w:tab w:val="left" w:pos="284"/>
              </w:tabs>
              <w:ind w:left="0" w:right="-90"/>
              <w:jc w:val="center"/>
              <w:rPr>
                <w:rFonts w:ascii="Arial" w:hAnsi="Arial" w:cs="Arial"/>
                <w:sz w:val="18"/>
                <w:szCs w:val="18"/>
              </w:rPr>
            </w:pPr>
            <w:r w:rsidRPr="007E5ABB">
              <w:rPr>
                <w:rFonts w:ascii="Arial" w:hAnsi="Arial" w:cs="Arial"/>
                <w:sz w:val="18"/>
                <w:szCs w:val="18"/>
              </w:rPr>
              <w:t>(0</w:t>
            </w:r>
            <w:r w:rsidR="00460E4F" w:rsidRPr="007E5ABB">
              <w:rPr>
                <w:rFonts w:ascii="Arial" w:hAnsi="Arial" w:cs="Arial"/>
                <w:sz w:val="18"/>
                <w:szCs w:val="18"/>
              </w:rPr>
              <w:t>,</w:t>
            </w:r>
            <w:r w:rsidRPr="007E5ABB">
              <w:rPr>
                <w:rFonts w:ascii="Arial" w:hAnsi="Arial" w:cs="Arial"/>
                <w:sz w:val="18"/>
                <w:szCs w:val="18"/>
              </w:rPr>
              <w:t>5)</w:t>
            </w:r>
          </w:p>
        </w:tc>
        <w:tc>
          <w:tcPr>
            <w:tcW w:w="1445" w:type="dxa"/>
            <w:vAlign w:val="center"/>
          </w:tcPr>
          <w:p w14:paraId="5132B1B5" w14:textId="3856CFC8" w:rsidR="007C0D5C" w:rsidRPr="007E5ABB" w:rsidRDefault="007C0D5C" w:rsidP="007C0D5C">
            <w:pPr>
              <w:pStyle w:val="ColorfulList-Accent11"/>
              <w:tabs>
                <w:tab w:val="left" w:pos="0"/>
                <w:tab w:val="left" w:pos="284"/>
              </w:tabs>
              <w:ind w:left="0" w:right="-90"/>
              <w:jc w:val="center"/>
              <w:rPr>
                <w:rFonts w:ascii="Arial" w:hAnsi="Arial" w:cs="Arial"/>
                <w:sz w:val="18"/>
                <w:szCs w:val="18"/>
              </w:rPr>
            </w:pPr>
            <w:r w:rsidRPr="007E5ABB">
              <w:rPr>
                <w:rFonts w:ascii="Arial" w:hAnsi="Arial" w:cs="Arial"/>
                <w:sz w:val="18"/>
                <w:szCs w:val="18"/>
              </w:rPr>
              <w:t>(29</w:t>
            </w:r>
            <w:r w:rsidR="00460E4F" w:rsidRPr="007E5ABB">
              <w:rPr>
                <w:rFonts w:ascii="Arial" w:hAnsi="Arial" w:cs="Arial"/>
                <w:sz w:val="18"/>
                <w:szCs w:val="18"/>
              </w:rPr>
              <w:t>,</w:t>
            </w:r>
            <w:r w:rsidRPr="007E5ABB">
              <w:rPr>
                <w:rFonts w:ascii="Arial" w:hAnsi="Arial" w:cs="Arial"/>
                <w:sz w:val="18"/>
                <w:szCs w:val="18"/>
              </w:rPr>
              <w:t>4)</w:t>
            </w:r>
          </w:p>
        </w:tc>
      </w:tr>
      <w:tr w:rsidR="00B4474B" w:rsidRPr="007E5ABB" w14:paraId="68246D16" w14:textId="77777777" w:rsidTr="00FB20CB">
        <w:trPr>
          <w:trHeight w:val="52"/>
        </w:trPr>
        <w:tc>
          <w:tcPr>
            <w:tcW w:w="5103" w:type="dxa"/>
            <w:tcBorders>
              <w:bottom w:val="single" w:sz="4" w:space="0" w:color="auto"/>
              <w:right w:val="single" w:sz="4" w:space="0" w:color="auto"/>
            </w:tcBorders>
            <w:vAlign w:val="center"/>
          </w:tcPr>
          <w:p w14:paraId="508BADAF" w14:textId="3CC344CA" w:rsidR="007C0D5C" w:rsidRPr="007E5ABB" w:rsidRDefault="007C0D5C" w:rsidP="007C0D5C">
            <w:pPr>
              <w:pStyle w:val="ColorfulList-Accent11"/>
              <w:tabs>
                <w:tab w:val="left" w:pos="0"/>
                <w:tab w:val="left" w:pos="284"/>
              </w:tabs>
              <w:ind w:left="0" w:right="-90"/>
              <w:rPr>
                <w:rFonts w:ascii="Arial" w:hAnsi="Arial" w:cs="Arial"/>
                <w:b/>
                <w:i/>
                <w:sz w:val="18"/>
                <w:szCs w:val="18"/>
              </w:rPr>
            </w:pPr>
            <w:r w:rsidRPr="007E5ABB">
              <w:rPr>
                <w:rFonts w:ascii="Arial" w:hAnsi="Arial" w:cs="Arial"/>
                <w:sz w:val="18"/>
                <w:szCs w:val="18"/>
                <w:lang w:val="el-GR"/>
              </w:rPr>
              <w:t>Χρηματοοικονομικά έξοδα, καθαρά</w:t>
            </w:r>
          </w:p>
        </w:tc>
        <w:tc>
          <w:tcPr>
            <w:tcW w:w="1444" w:type="dxa"/>
            <w:tcBorders>
              <w:left w:val="single" w:sz="4" w:space="0" w:color="auto"/>
              <w:bottom w:val="single" w:sz="4" w:space="0" w:color="auto"/>
            </w:tcBorders>
            <w:vAlign w:val="center"/>
          </w:tcPr>
          <w:p w14:paraId="08603B7B" w14:textId="17125F1E" w:rsidR="007C0D5C" w:rsidRPr="007E5ABB" w:rsidRDefault="007C0D5C" w:rsidP="007C0D5C">
            <w:pPr>
              <w:pStyle w:val="ColorfulList-Accent11"/>
              <w:tabs>
                <w:tab w:val="left" w:pos="0"/>
                <w:tab w:val="left" w:pos="284"/>
              </w:tabs>
              <w:ind w:left="0" w:right="-90"/>
              <w:jc w:val="center"/>
              <w:rPr>
                <w:rFonts w:ascii="Arial" w:hAnsi="Arial" w:cs="Arial"/>
                <w:color w:val="FF0000"/>
                <w:sz w:val="18"/>
                <w:szCs w:val="18"/>
              </w:rPr>
            </w:pPr>
            <w:r w:rsidRPr="007E5ABB">
              <w:rPr>
                <w:rFonts w:ascii="Arial" w:hAnsi="Arial" w:cs="Arial"/>
                <w:sz w:val="18"/>
                <w:szCs w:val="18"/>
              </w:rPr>
              <w:t>4</w:t>
            </w:r>
            <w:r w:rsidR="00460E4F" w:rsidRPr="007E5ABB">
              <w:rPr>
                <w:rFonts w:ascii="Arial" w:hAnsi="Arial" w:cs="Arial"/>
                <w:sz w:val="18"/>
                <w:szCs w:val="18"/>
              </w:rPr>
              <w:t>,</w:t>
            </w:r>
            <w:r w:rsidRPr="007E5ABB">
              <w:rPr>
                <w:rFonts w:ascii="Arial" w:hAnsi="Arial" w:cs="Arial"/>
                <w:sz w:val="18"/>
                <w:szCs w:val="18"/>
              </w:rPr>
              <w:t>8</w:t>
            </w:r>
          </w:p>
        </w:tc>
        <w:tc>
          <w:tcPr>
            <w:tcW w:w="1445" w:type="dxa"/>
            <w:tcBorders>
              <w:bottom w:val="single" w:sz="4" w:space="0" w:color="auto"/>
              <w:right w:val="single" w:sz="4" w:space="0" w:color="auto"/>
            </w:tcBorders>
            <w:vAlign w:val="center"/>
          </w:tcPr>
          <w:p w14:paraId="6ED686BE" w14:textId="0B813F1F" w:rsidR="007C0D5C" w:rsidRPr="007E5ABB" w:rsidRDefault="007C0D5C" w:rsidP="007C0D5C">
            <w:pPr>
              <w:pStyle w:val="ColorfulList-Accent11"/>
              <w:tabs>
                <w:tab w:val="left" w:pos="0"/>
                <w:tab w:val="left" w:pos="284"/>
              </w:tabs>
              <w:ind w:left="0" w:right="-90"/>
              <w:jc w:val="center"/>
              <w:rPr>
                <w:rFonts w:ascii="Arial" w:hAnsi="Arial" w:cs="Arial"/>
                <w:color w:val="FF0000"/>
                <w:sz w:val="18"/>
                <w:szCs w:val="18"/>
              </w:rPr>
            </w:pPr>
            <w:r w:rsidRPr="007E5ABB">
              <w:rPr>
                <w:rFonts w:ascii="Arial" w:hAnsi="Arial" w:cs="Arial"/>
                <w:sz w:val="18"/>
                <w:szCs w:val="18"/>
              </w:rPr>
              <w:t>6</w:t>
            </w:r>
            <w:r w:rsidR="00460E4F" w:rsidRPr="007E5ABB">
              <w:rPr>
                <w:rFonts w:ascii="Arial" w:hAnsi="Arial" w:cs="Arial"/>
                <w:sz w:val="18"/>
                <w:szCs w:val="18"/>
              </w:rPr>
              <w:t>,</w:t>
            </w:r>
            <w:r w:rsidRPr="007E5ABB">
              <w:rPr>
                <w:rFonts w:ascii="Arial" w:hAnsi="Arial" w:cs="Arial"/>
                <w:sz w:val="18"/>
                <w:szCs w:val="18"/>
              </w:rPr>
              <w:t>3</w:t>
            </w:r>
          </w:p>
        </w:tc>
        <w:tc>
          <w:tcPr>
            <w:tcW w:w="1445" w:type="dxa"/>
            <w:tcBorders>
              <w:left w:val="single" w:sz="4" w:space="0" w:color="auto"/>
              <w:bottom w:val="single" w:sz="4" w:space="0" w:color="auto"/>
            </w:tcBorders>
            <w:vAlign w:val="center"/>
          </w:tcPr>
          <w:p w14:paraId="36FC158B" w14:textId="78279778" w:rsidR="007C0D5C" w:rsidRPr="007E5ABB" w:rsidRDefault="007C0D5C" w:rsidP="007C0D5C">
            <w:pPr>
              <w:pStyle w:val="ColorfulList-Accent11"/>
              <w:tabs>
                <w:tab w:val="left" w:pos="0"/>
                <w:tab w:val="left" w:pos="284"/>
              </w:tabs>
              <w:ind w:left="0" w:right="-90"/>
              <w:jc w:val="center"/>
              <w:rPr>
                <w:rFonts w:ascii="Arial" w:hAnsi="Arial" w:cs="Arial"/>
                <w:b/>
                <w:bCs/>
                <w:i/>
                <w:iCs/>
                <w:color w:val="000000"/>
                <w:sz w:val="18"/>
                <w:szCs w:val="18"/>
              </w:rPr>
            </w:pPr>
            <w:r w:rsidRPr="007E5ABB">
              <w:rPr>
                <w:rFonts w:ascii="Arial" w:hAnsi="Arial" w:cs="Arial"/>
                <w:sz w:val="18"/>
                <w:szCs w:val="18"/>
              </w:rPr>
              <w:t>12</w:t>
            </w:r>
            <w:r w:rsidR="00460E4F" w:rsidRPr="007E5ABB">
              <w:rPr>
                <w:rFonts w:ascii="Arial" w:hAnsi="Arial" w:cs="Arial"/>
                <w:sz w:val="18"/>
                <w:szCs w:val="18"/>
              </w:rPr>
              <w:t>,</w:t>
            </w:r>
            <w:r w:rsidRPr="007E5ABB">
              <w:rPr>
                <w:rFonts w:ascii="Arial" w:hAnsi="Arial" w:cs="Arial"/>
                <w:sz w:val="18"/>
                <w:szCs w:val="18"/>
              </w:rPr>
              <w:t>0</w:t>
            </w:r>
          </w:p>
        </w:tc>
        <w:tc>
          <w:tcPr>
            <w:tcW w:w="1445" w:type="dxa"/>
            <w:tcBorders>
              <w:bottom w:val="single" w:sz="4" w:space="0" w:color="auto"/>
            </w:tcBorders>
            <w:vAlign w:val="center"/>
          </w:tcPr>
          <w:p w14:paraId="7FD34C56" w14:textId="45F7C79F" w:rsidR="007C0D5C" w:rsidRPr="007E5ABB" w:rsidRDefault="007C0D5C" w:rsidP="007C0D5C">
            <w:pPr>
              <w:pStyle w:val="ColorfulList-Accent11"/>
              <w:tabs>
                <w:tab w:val="left" w:pos="0"/>
                <w:tab w:val="left" w:pos="284"/>
              </w:tabs>
              <w:ind w:left="0" w:right="-90"/>
              <w:jc w:val="center"/>
              <w:rPr>
                <w:rFonts w:ascii="Arial" w:hAnsi="Arial" w:cs="Arial"/>
                <w:b/>
                <w:bCs/>
                <w:i/>
                <w:iCs/>
                <w:color w:val="000000"/>
                <w:sz w:val="18"/>
                <w:szCs w:val="18"/>
              </w:rPr>
            </w:pPr>
            <w:r w:rsidRPr="007E5ABB">
              <w:rPr>
                <w:rFonts w:ascii="Arial" w:hAnsi="Arial" w:cs="Arial"/>
                <w:sz w:val="18"/>
                <w:szCs w:val="18"/>
              </w:rPr>
              <w:t>12</w:t>
            </w:r>
            <w:r w:rsidR="00460E4F" w:rsidRPr="007E5ABB">
              <w:rPr>
                <w:rFonts w:ascii="Arial" w:hAnsi="Arial" w:cs="Arial"/>
                <w:sz w:val="18"/>
                <w:szCs w:val="18"/>
              </w:rPr>
              <w:t>,</w:t>
            </w:r>
            <w:r w:rsidRPr="007E5ABB">
              <w:rPr>
                <w:rFonts w:ascii="Arial" w:hAnsi="Arial" w:cs="Arial"/>
                <w:sz w:val="18"/>
                <w:szCs w:val="18"/>
              </w:rPr>
              <w:t>5</w:t>
            </w:r>
          </w:p>
        </w:tc>
      </w:tr>
      <w:tr w:rsidR="00B4474B" w:rsidRPr="007E5ABB" w14:paraId="531ABA59" w14:textId="77777777" w:rsidTr="00FB20CB">
        <w:trPr>
          <w:trHeight w:val="286"/>
        </w:trPr>
        <w:tc>
          <w:tcPr>
            <w:tcW w:w="5103" w:type="dxa"/>
            <w:tcBorders>
              <w:top w:val="single" w:sz="4" w:space="0" w:color="auto"/>
              <w:bottom w:val="single" w:sz="4" w:space="0" w:color="auto"/>
              <w:right w:val="single" w:sz="4" w:space="0" w:color="auto"/>
            </w:tcBorders>
            <w:vAlign w:val="center"/>
          </w:tcPr>
          <w:p w14:paraId="04A61B13" w14:textId="2A32D5FF" w:rsidR="007C0D5C" w:rsidRPr="007E5ABB" w:rsidRDefault="007C0D5C" w:rsidP="007C0D5C">
            <w:pPr>
              <w:pStyle w:val="ColorfulList-Accent11"/>
              <w:tabs>
                <w:tab w:val="left" w:pos="0"/>
                <w:tab w:val="left" w:pos="284"/>
              </w:tabs>
              <w:ind w:left="0" w:right="-90"/>
              <w:rPr>
                <w:rFonts w:ascii="Arial" w:hAnsi="Arial" w:cs="Arial"/>
                <w:i/>
                <w:sz w:val="18"/>
                <w:szCs w:val="18"/>
                <w:lang w:val="el-GR"/>
              </w:rPr>
            </w:pPr>
            <w:r w:rsidRPr="007E5ABB">
              <w:rPr>
                <w:rFonts w:ascii="Arial" w:hAnsi="Arial" w:cs="Arial"/>
                <w:b/>
                <w:bCs/>
                <w:i/>
                <w:iCs/>
                <w:sz w:val="18"/>
                <w:szCs w:val="18"/>
                <w:lang w:val="el-GR"/>
              </w:rPr>
              <w:t>Προσαρμογές για μεταβολές λογαριασμών κεφαλαίου κίνησης:</w:t>
            </w:r>
          </w:p>
        </w:tc>
        <w:tc>
          <w:tcPr>
            <w:tcW w:w="1444" w:type="dxa"/>
            <w:tcBorders>
              <w:top w:val="single" w:sz="4" w:space="0" w:color="auto"/>
              <w:left w:val="single" w:sz="4" w:space="0" w:color="auto"/>
              <w:bottom w:val="single" w:sz="4" w:space="0" w:color="auto"/>
            </w:tcBorders>
            <w:vAlign w:val="center"/>
          </w:tcPr>
          <w:p w14:paraId="53442FE9" w14:textId="1CA3652D" w:rsidR="007C0D5C" w:rsidRPr="007E5ABB" w:rsidRDefault="006A71ED" w:rsidP="007C0D5C">
            <w:pPr>
              <w:pStyle w:val="ColorfulList-Accent11"/>
              <w:tabs>
                <w:tab w:val="left" w:pos="0"/>
                <w:tab w:val="left" w:pos="284"/>
              </w:tabs>
              <w:ind w:left="0" w:right="-90"/>
              <w:jc w:val="center"/>
              <w:rPr>
                <w:rFonts w:ascii="Arial" w:hAnsi="Arial" w:cs="Arial"/>
                <w:b/>
                <w:i/>
                <w:color w:val="FF0000"/>
                <w:sz w:val="18"/>
                <w:szCs w:val="18"/>
              </w:rPr>
            </w:pPr>
            <w:r>
              <w:rPr>
                <w:rFonts w:ascii="Arial" w:hAnsi="Arial" w:cs="Arial"/>
                <w:b/>
                <w:bCs/>
                <w:i/>
                <w:iCs/>
                <w:sz w:val="18"/>
                <w:szCs w:val="18"/>
              </w:rPr>
              <w:t>(49</w:t>
            </w:r>
            <w:r w:rsidRPr="00555763">
              <w:rPr>
                <w:rFonts w:ascii="Arial" w:hAnsi="Arial" w:cs="Arial"/>
                <w:b/>
                <w:bCs/>
                <w:i/>
                <w:iCs/>
                <w:sz w:val="18"/>
                <w:szCs w:val="18"/>
              </w:rPr>
              <w:t>.</w:t>
            </w:r>
            <w:r>
              <w:rPr>
                <w:rFonts w:ascii="Arial" w:hAnsi="Arial" w:cs="Arial"/>
                <w:b/>
                <w:bCs/>
                <w:i/>
                <w:iCs/>
                <w:sz w:val="18"/>
                <w:szCs w:val="18"/>
              </w:rPr>
              <w:t>9)</w:t>
            </w:r>
          </w:p>
        </w:tc>
        <w:tc>
          <w:tcPr>
            <w:tcW w:w="1445" w:type="dxa"/>
            <w:tcBorders>
              <w:top w:val="single" w:sz="4" w:space="0" w:color="auto"/>
              <w:bottom w:val="single" w:sz="4" w:space="0" w:color="auto"/>
              <w:right w:val="single" w:sz="4" w:space="0" w:color="auto"/>
            </w:tcBorders>
            <w:vAlign w:val="center"/>
          </w:tcPr>
          <w:p w14:paraId="79EEDAED" w14:textId="23581E63" w:rsidR="007C0D5C" w:rsidRPr="007E5ABB" w:rsidRDefault="006A71ED" w:rsidP="007C0D5C">
            <w:pPr>
              <w:pStyle w:val="ColorfulList-Accent11"/>
              <w:tabs>
                <w:tab w:val="left" w:pos="0"/>
                <w:tab w:val="left" w:pos="284"/>
              </w:tabs>
              <w:ind w:left="0" w:right="-90"/>
              <w:jc w:val="center"/>
              <w:rPr>
                <w:rFonts w:ascii="Arial" w:hAnsi="Arial" w:cs="Arial"/>
                <w:b/>
                <w:i/>
                <w:color w:val="FF0000"/>
                <w:sz w:val="18"/>
                <w:szCs w:val="18"/>
              </w:rPr>
            </w:pPr>
            <w:r w:rsidRPr="00555763">
              <w:rPr>
                <w:rFonts w:ascii="Arial" w:hAnsi="Arial" w:cs="Arial"/>
                <w:b/>
                <w:i/>
                <w:sz w:val="18"/>
                <w:szCs w:val="18"/>
              </w:rPr>
              <w:t>(</w:t>
            </w:r>
            <w:r w:rsidRPr="00555763">
              <w:rPr>
                <w:rFonts w:ascii="Arial" w:hAnsi="Arial" w:cs="Arial"/>
                <w:b/>
                <w:bCs/>
                <w:i/>
                <w:iCs/>
                <w:sz w:val="18"/>
                <w:szCs w:val="18"/>
              </w:rPr>
              <w:t>3</w:t>
            </w:r>
            <w:r>
              <w:rPr>
                <w:rFonts w:ascii="Arial" w:hAnsi="Arial" w:cs="Arial"/>
                <w:b/>
                <w:bCs/>
                <w:i/>
                <w:iCs/>
                <w:sz w:val="18"/>
                <w:szCs w:val="18"/>
              </w:rPr>
              <w:t>3</w:t>
            </w:r>
            <w:r w:rsidRPr="00555763">
              <w:rPr>
                <w:rFonts w:ascii="Arial" w:hAnsi="Arial" w:cs="Arial"/>
                <w:b/>
                <w:bCs/>
                <w:i/>
                <w:iCs/>
                <w:sz w:val="18"/>
                <w:szCs w:val="18"/>
              </w:rPr>
              <w:t>.</w:t>
            </w:r>
            <w:r>
              <w:rPr>
                <w:rFonts w:ascii="Arial" w:hAnsi="Arial" w:cs="Arial"/>
                <w:b/>
                <w:bCs/>
                <w:i/>
                <w:iCs/>
                <w:sz w:val="18"/>
                <w:szCs w:val="18"/>
              </w:rPr>
              <w:t>1</w:t>
            </w:r>
            <w:r w:rsidR="007C0D5C" w:rsidRPr="007E5ABB">
              <w:rPr>
                <w:rFonts w:ascii="Arial" w:hAnsi="Arial" w:cs="Arial"/>
                <w:b/>
                <w:i/>
                <w:sz w:val="18"/>
                <w:szCs w:val="18"/>
              </w:rPr>
              <w:t>)</w:t>
            </w:r>
          </w:p>
        </w:tc>
        <w:tc>
          <w:tcPr>
            <w:tcW w:w="1445" w:type="dxa"/>
            <w:tcBorders>
              <w:top w:val="single" w:sz="4" w:space="0" w:color="auto"/>
              <w:left w:val="single" w:sz="4" w:space="0" w:color="auto"/>
              <w:bottom w:val="single" w:sz="4" w:space="0" w:color="auto"/>
            </w:tcBorders>
            <w:vAlign w:val="center"/>
          </w:tcPr>
          <w:p w14:paraId="5B51BBC5" w14:textId="2C771FFD" w:rsidR="007C0D5C" w:rsidRPr="007E5ABB" w:rsidRDefault="006A71ED" w:rsidP="007C0D5C">
            <w:pPr>
              <w:pStyle w:val="ColorfulList-Accent11"/>
              <w:tabs>
                <w:tab w:val="left" w:pos="0"/>
                <w:tab w:val="left" w:pos="284"/>
              </w:tabs>
              <w:ind w:left="0" w:right="-90"/>
              <w:jc w:val="center"/>
              <w:rPr>
                <w:rFonts w:ascii="Arial" w:hAnsi="Arial" w:cs="Arial"/>
                <w:i/>
                <w:sz w:val="18"/>
                <w:szCs w:val="18"/>
              </w:rPr>
            </w:pPr>
            <w:r>
              <w:rPr>
                <w:rFonts w:ascii="Arial" w:hAnsi="Arial" w:cs="Arial"/>
                <w:b/>
                <w:bCs/>
                <w:i/>
                <w:iCs/>
                <w:color w:val="000000"/>
                <w:sz w:val="18"/>
                <w:szCs w:val="18"/>
              </w:rPr>
              <w:t>(172.1</w:t>
            </w:r>
            <w:r w:rsidR="007C0D5C" w:rsidRPr="007E5ABB">
              <w:rPr>
                <w:rFonts w:ascii="Arial" w:hAnsi="Arial" w:cs="Arial"/>
                <w:b/>
                <w:bCs/>
                <w:i/>
                <w:iCs/>
                <w:color w:val="000000"/>
                <w:sz w:val="18"/>
                <w:szCs w:val="18"/>
              </w:rPr>
              <w:t>)</w:t>
            </w:r>
          </w:p>
        </w:tc>
        <w:tc>
          <w:tcPr>
            <w:tcW w:w="1445" w:type="dxa"/>
            <w:tcBorders>
              <w:top w:val="single" w:sz="4" w:space="0" w:color="auto"/>
              <w:bottom w:val="single" w:sz="4" w:space="0" w:color="auto"/>
            </w:tcBorders>
            <w:vAlign w:val="center"/>
          </w:tcPr>
          <w:p w14:paraId="699D5034" w14:textId="41C0BC88" w:rsidR="007C0D5C" w:rsidRPr="007E5ABB" w:rsidRDefault="006A71ED" w:rsidP="007C0D5C">
            <w:pPr>
              <w:pStyle w:val="ColorfulList-Accent11"/>
              <w:tabs>
                <w:tab w:val="left" w:pos="0"/>
                <w:tab w:val="left" w:pos="284"/>
              </w:tabs>
              <w:ind w:left="0" w:right="-90"/>
              <w:jc w:val="center"/>
              <w:rPr>
                <w:rFonts w:ascii="Arial" w:hAnsi="Arial" w:cs="Arial"/>
                <w:i/>
                <w:sz w:val="18"/>
                <w:szCs w:val="18"/>
              </w:rPr>
            </w:pPr>
            <w:r>
              <w:rPr>
                <w:rFonts w:ascii="Arial" w:hAnsi="Arial" w:cs="Arial"/>
                <w:b/>
                <w:bCs/>
                <w:i/>
                <w:iCs/>
                <w:color w:val="000000"/>
                <w:sz w:val="18"/>
                <w:szCs w:val="18"/>
              </w:rPr>
              <w:t>(69.9</w:t>
            </w:r>
            <w:r w:rsidR="007C0D5C" w:rsidRPr="007E5ABB">
              <w:rPr>
                <w:rFonts w:ascii="Arial" w:hAnsi="Arial" w:cs="Arial"/>
                <w:b/>
                <w:bCs/>
                <w:i/>
                <w:iCs/>
                <w:color w:val="000000"/>
                <w:sz w:val="18"/>
                <w:szCs w:val="18"/>
              </w:rPr>
              <w:t>)</w:t>
            </w:r>
          </w:p>
        </w:tc>
      </w:tr>
      <w:tr w:rsidR="00B4474B" w:rsidRPr="007E5ABB" w14:paraId="7481EA17" w14:textId="77777777" w:rsidTr="00FB20CB">
        <w:trPr>
          <w:trHeight w:val="228"/>
        </w:trPr>
        <w:tc>
          <w:tcPr>
            <w:tcW w:w="5103" w:type="dxa"/>
            <w:tcBorders>
              <w:top w:val="single" w:sz="4" w:space="0" w:color="auto"/>
              <w:right w:val="single" w:sz="4" w:space="0" w:color="auto"/>
            </w:tcBorders>
            <w:vAlign w:val="center"/>
          </w:tcPr>
          <w:p w14:paraId="5C8F6561" w14:textId="7B485E97" w:rsidR="007C0D5C" w:rsidRPr="007E5ABB" w:rsidRDefault="007C0D5C" w:rsidP="007C0D5C">
            <w:pPr>
              <w:pStyle w:val="ColorfulList-Accent11"/>
              <w:tabs>
                <w:tab w:val="left" w:pos="0"/>
                <w:tab w:val="left" w:pos="284"/>
              </w:tabs>
              <w:ind w:left="0" w:right="-90"/>
              <w:rPr>
                <w:rFonts w:ascii="Arial" w:hAnsi="Arial" w:cs="Arial"/>
                <w:i/>
                <w:sz w:val="18"/>
                <w:szCs w:val="18"/>
              </w:rPr>
            </w:pPr>
            <w:proofErr w:type="spellStart"/>
            <w:r w:rsidRPr="007E5ABB">
              <w:rPr>
                <w:rFonts w:ascii="Arial" w:hAnsi="Arial" w:cs="Arial"/>
                <w:sz w:val="18"/>
                <w:szCs w:val="18"/>
              </w:rPr>
              <w:t>Μείωση</w:t>
            </w:r>
            <w:proofErr w:type="spellEnd"/>
            <w:r w:rsidRPr="007E5ABB">
              <w:rPr>
                <w:rFonts w:ascii="Arial" w:hAnsi="Arial" w:cs="Arial"/>
                <w:sz w:val="18"/>
                <w:szCs w:val="18"/>
              </w:rPr>
              <w:t xml:space="preserve"> / (α</w:t>
            </w:r>
            <w:proofErr w:type="spellStart"/>
            <w:r w:rsidRPr="007E5ABB">
              <w:rPr>
                <w:rFonts w:ascii="Arial" w:hAnsi="Arial" w:cs="Arial"/>
                <w:sz w:val="18"/>
                <w:szCs w:val="18"/>
              </w:rPr>
              <w:t>ύξηση</w:t>
            </w:r>
            <w:proofErr w:type="spellEnd"/>
            <w:r w:rsidRPr="007E5ABB">
              <w:rPr>
                <w:rFonts w:ascii="Arial" w:hAnsi="Arial" w:cs="Arial"/>
                <w:sz w:val="18"/>
                <w:szCs w:val="18"/>
              </w:rPr>
              <w:t>) απ</w:t>
            </w:r>
            <w:proofErr w:type="spellStart"/>
            <w:r w:rsidRPr="007E5ABB">
              <w:rPr>
                <w:rFonts w:ascii="Arial" w:hAnsi="Arial" w:cs="Arial"/>
                <w:sz w:val="18"/>
                <w:szCs w:val="18"/>
              </w:rPr>
              <w:t>οθεμάτων</w:t>
            </w:r>
            <w:proofErr w:type="spellEnd"/>
          </w:p>
        </w:tc>
        <w:tc>
          <w:tcPr>
            <w:tcW w:w="1444" w:type="dxa"/>
            <w:tcBorders>
              <w:top w:val="single" w:sz="4" w:space="0" w:color="auto"/>
              <w:left w:val="single" w:sz="4" w:space="0" w:color="auto"/>
            </w:tcBorders>
            <w:vAlign w:val="center"/>
          </w:tcPr>
          <w:p w14:paraId="1A608880" w14:textId="108389F1" w:rsidR="007C0D5C" w:rsidRPr="007E5ABB" w:rsidRDefault="007C0D5C" w:rsidP="007C0D5C">
            <w:pPr>
              <w:pStyle w:val="ColorfulList-Accent11"/>
              <w:tabs>
                <w:tab w:val="left" w:pos="0"/>
                <w:tab w:val="left" w:pos="284"/>
              </w:tabs>
              <w:ind w:left="0" w:right="-90"/>
              <w:jc w:val="center"/>
              <w:rPr>
                <w:rFonts w:ascii="Arial" w:hAnsi="Arial" w:cs="Arial"/>
                <w:b/>
                <w:i/>
                <w:color w:val="FF0000"/>
                <w:sz w:val="18"/>
                <w:szCs w:val="18"/>
              </w:rPr>
            </w:pPr>
            <w:r w:rsidRPr="007E5ABB">
              <w:rPr>
                <w:rFonts w:ascii="Arial" w:hAnsi="Arial" w:cs="Arial"/>
                <w:sz w:val="18"/>
                <w:szCs w:val="18"/>
              </w:rPr>
              <w:t>(0</w:t>
            </w:r>
            <w:r w:rsidR="00460E4F" w:rsidRPr="007E5ABB">
              <w:rPr>
                <w:rFonts w:ascii="Arial" w:hAnsi="Arial" w:cs="Arial"/>
                <w:sz w:val="18"/>
                <w:szCs w:val="18"/>
              </w:rPr>
              <w:t>,</w:t>
            </w:r>
            <w:r w:rsidRPr="007E5ABB">
              <w:rPr>
                <w:rFonts w:ascii="Arial" w:hAnsi="Arial" w:cs="Arial"/>
                <w:sz w:val="18"/>
                <w:szCs w:val="18"/>
              </w:rPr>
              <w:t>8)</w:t>
            </w:r>
          </w:p>
        </w:tc>
        <w:tc>
          <w:tcPr>
            <w:tcW w:w="1445" w:type="dxa"/>
            <w:tcBorders>
              <w:top w:val="single" w:sz="4" w:space="0" w:color="auto"/>
              <w:right w:val="single" w:sz="4" w:space="0" w:color="auto"/>
            </w:tcBorders>
            <w:vAlign w:val="center"/>
          </w:tcPr>
          <w:p w14:paraId="04615A77" w14:textId="436D2A51" w:rsidR="007C0D5C" w:rsidRPr="007E5ABB" w:rsidRDefault="007C0D5C" w:rsidP="007C0D5C">
            <w:pPr>
              <w:pStyle w:val="ColorfulList-Accent11"/>
              <w:tabs>
                <w:tab w:val="left" w:pos="0"/>
                <w:tab w:val="left" w:pos="284"/>
              </w:tabs>
              <w:ind w:left="0" w:right="-90"/>
              <w:jc w:val="center"/>
              <w:rPr>
                <w:rFonts w:ascii="Arial" w:hAnsi="Arial" w:cs="Arial"/>
                <w:b/>
                <w:i/>
                <w:color w:val="FF0000"/>
                <w:sz w:val="18"/>
                <w:szCs w:val="18"/>
              </w:rPr>
            </w:pPr>
            <w:r w:rsidRPr="007E5ABB">
              <w:rPr>
                <w:rFonts w:ascii="Arial" w:hAnsi="Arial" w:cs="Arial"/>
                <w:sz w:val="18"/>
                <w:szCs w:val="18"/>
              </w:rPr>
              <w:t>3</w:t>
            </w:r>
            <w:r w:rsidR="00460E4F" w:rsidRPr="007E5ABB">
              <w:rPr>
                <w:rFonts w:ascii="Arial" w:hAnsi="Arial" w:cs="Arial"/>
                <w:sz w:val="18"/>
                <w:szCs w:val="18"/>
              </w:rPr>
              <w:t>,</w:t>
            </w:r>
            <w:r w:rsidRPr="007E5ABB">
              <w:rPr>
                <w:rFonts w:ascii="Arial" w:hAnsi="Arial" w:cs="Arial"/>
                <w:sz w:val="18"/>
                <w:szCs w:val="18"/>
              </w:rPr>
              <w:t>0</w:t>
            </w:r>
          </w:p>
        </w:tc>
        <w:tc>
          <w:tcPr>
            <w:tcW w:w="1445" w:type="dxa"/>
            <w:tcBorders>
              <w:top w:val="single" w:sz="4" w:space="0" w:color="auto"/>
              <w:left w:val="single" w:sz="4" w:space="0" w:color="auto"/>
            </w:tcBorders>
            <w:vAlign w:val="center"/>
          </w:tcPr>
          <w:p w14:paraId="25D8310B" w14:textId="4DFD3D64" w:rsidR="007C0D5C" w:rsidRPr="007E5ABB" w:rsidRDefault="007C0D5C" w:rsidP="007C0D5C">
            <w:pPr>
              <w:pStyle w:val="ColorfulList-Accent11"/>
              <w:tabs>
                <w:tab w:val="left" w:pos="0"/>
                <w:tab w:val="left" w:pos="284"/>
              </w:tabs>
              <w:ind w:left="0" w:right="-90"/>
              <w:jc w:val="center"/>
              <w:rPr>
                <w:rFonts w:ascii="Arial" w:hAnsi="Arial" w:cs="Arial"/>
                <w:i/>
                <w:sz w:val="18"/>
                <w:szCs w:val="18"/>
              </w:rPr>
            </w:pPr>
            <w:r w:rsidRPr="007E5ABB">
              <w:rPr>
                <w:rFonts w:ascii="Arial" w:hAnsi="Arial" w:cs="Arial"/>
                <w:sz w:val="18"/>
                <w:szCs w:val="18"/>
              </w:rPr>
              <w:t>0</w:t>
            </w:r>
            <w:r w:rsidR="00460E4F" w:rsidRPr="007E5ABB">
              <w:rPr>
                <w:rFonts w:ascii="Arial" w:hAnsi="Arial" w:cs="Arial"/>
                <w:sz w:val="18"/>
                <w:szCs w:val="18"/>
              </w:rPr>
              <w:t>,</w:t>
            </w:r>
            <w:r w:rsidRPr="007E5ABB">
              <w:rPr>
                <w:rFonts w:ascii="Arial" w:hAnsi="Arial" w:cs="Arial"/>
                <w:sz w:val="18"/>
                <w:szCs w:val="18"/>
              </w:rPr>
              <w:t>5</w:t>
            </w:r>
          </w:p>
        </w:tc>
        <w:tc>
          <w:tcPr>
            <w:tcW w:w="1445" w:type="dxa"/>
            <w:tcBorders>
              <w:top w:val="single" w:sz="4" w:space="0" w:color="auto"/>
            </w:tcBorders>
            <w:vAlign w:val="center"/>
          </w:tcPr>
          <w:p w14:paraId="71DE341B" w14:textId="0729089D" w:rsidR="007C0D5C" w:rsidRPr="007E5ABB" w:rsidRDefault="007C0D5C" w:rsidP="007C0D5C">
            <w:pPr>
              <w:pStyle w:val="ColorfulList-Accent11"/>
              <w:tabs>
                <w:tab w:val="left" w:pos="0"/>
                <w:tab w:val="left" w:pos="284"/>
              </w:tabs>
              <w:ind w:left="0" w:right="-90"/>
              <w:jc w:val="center"/>
              <w:rPr>
                <w:rFonts w:ascii="Arial" w:hAnsi="Arial" w:cs="Arial"/>
                <w:i/>
                <w:sz w:val="18"/>
                <w:szCs w:val="18"/>
              </w:rPr>
            </w:pPr>
            <w:r w:rsidRPr="007E5ABB">
              <w:rPr>
                <w:rFonts w:ascii="Arial" w:hAnsi="Arial" w:cs="Arial"/>
                <w:sz w:val="18"/>
                <w:szCs w:val="18"/>
              </w:rPr>
              <w:t>1</w:t>
            </w:r>
            <w:r w:rsidR="00460E4F" w:rsidRPr="007E5ABB">
              <w:rPr>
                <w:rFonts w:ascii="Arial" w:hAnsi="Arial" w:cs="Arial"/>
                <w:sz w:val="18"/>
                <w:szCs w:val="18"/>
              </w:rPr>
              <w:t>,</w:t>
            </w:r>
            <w:r w:rsidRPr="007E5ABB">
              <w:rPr>
                <w:rFonts w:ascii="Arial" w:hAnsi="Arial" w:cs="Arial"/>
                <w:sz w:val="18"/>
                <w:szCs w:val="18"/>
              </w:rPr>
              <w:t>2</w:t>
            </w:r>
          </w:p>
        </w:tc>
      </w:tr>
      <w:tr w:rsidR="007C0D5C" w:rsidRPr="007E5ABB" w14:paraId="404E73B5" w14:textId="77777777" w:rsidTr="00FB20CB">
        <w:trPr>
          <w:trHeight w:val="228"/>
        </w:trPr>
        <w:tc>
          <w:tcPr>
            <w:tcW w:w="5103" w:type="dxa"/>
            <w:tcBorders>
              <w:right w:val="single" w:sz="4" w:space="0" w:color="auto"/>
            </w:tcBorders>
            <w:vAlign w:val="center"/>
          </w:tcPr>
          <w:p w14:paraId="7AABE3A3" w14:textId="09080291" w:rsidR="007C0D5C" w:rsidRPr="007E5ABB" w:rsidRDefault="007C0D5C" w:rsidP="007C0D5C">
            <w:pPr>
              <w:pStyle w:val="ColorfulList-Accent11"/>
              <w:tabs>
                <w:tab w:val="left" w:pos="0"/>
                <w:tab w:val="left" w:pos="284"/>
              </w:tabs>
              <w:ind w:left="0" w:right="-90"/>
              <w:rPr>
                <w:rFonts w:ascii="Arial" w:hAnsi="Arial" w:cs="Arial"/>
                <w:i/>
                <w:sz w:val="18"/>
                <w:szCs w:val="18"/>
              </w:rPr>
            </w:pPr>
            <w:r w:rsidRPr="007E5ABB">
              <w:rPr>
                <w:rFonts w:ascii="Arial" w:hAnsi="Arial" w:cs="Arial"/>
                <w:sz w:val="18"/>
                <w:szCs w:val="18"/>
              </w:rPr>
              <w:t>(</w:t>
            </w:r>
            <w:r w:rsidRPr="007E5ABB">
              <w:rPr>
                <w:rFonts w:ascii="Arial" w:hAnsi="Arial" w:cs="Arial"/>
                <w:sz w:val="18"/>
                <w:szCs w:val="18"/>
                <w:lang w:val="el-GR"/>
              </w:rPr>
              <w:t>Α</w:t>
            </w:r>
            <w:proofErr w:type="spellStart"/>
            <w:r w:rsidRPr="007E5ABB">
              <w:rPr>
                <w:rFonts w:ascii="Arial" w:hAnsi="Arial" w:cs="Arial"/>
                <w:sz w:val="18"/>
                <w:szCs w:val="18"/>
              </w:rPr>
              <w:t>ύξηση</w:t>
            </w:r>
            <w:proofErr w:type="spellEnd"/>
            <w:r w:rsidRPr="007E5ABB">
              <w:rPr>
                <w:rFonts w:ascii="Arial" w:hAnsi="Arial" w:cs="Arial"/>
                <w:sz w:val="18"/>
                <w:szCs w:val="18"/>
              </w:rPr>
              <w:t>) απα</w:t>
            </w:r>
            <w:proofErr w:type="spellStart"/>
            <w:r w:rsidRPr="007E5ABB">
              <w:rPr>
                <w:rFonts w:ascii="Arial" w:hAnsi="Arial" w:cs="Arial"/>
                <w:sz w:val="18"/>
                <w:szCs w:val="18"/>
              </w:rPr>
              <w:t>ιτήσεων</w:t>
            </w:r>
            <w:proofErr w:type="spellEnd"/>
          </w:p>
        </w:tc>
        <w:tc>
          <w:tcPr>
            <w:tcW w:w="1444" w:type="dxa"/>
            <w:tcBorders>
              <w:left w:val="single" w:sz="4" w:space="0" w:color="auto"/>
            </w:tcBorders>
            <w:vAlign w:val="center"/>
          </w:tcPr>
          <w:p w14:paraId="578E88F1" w14:textId="4C3C15FF" w:rsidR="007C0D5C" w:rsidRPr="007E5ABB" w:rsidRDefault="007C0D5C" w:rsidP="007C0D5C">
            <w:pPr>
              <w:pStyle w:val="ColorfulList-Accent11"/>
              <w:tabs>
                <w:tab w:val="left" w:pos="0"/>
                <w:tab w:val="left" w:pos="284"/>
              </w:tabs>
              <w:ind w:left="0" w:right="-90"/>
              <w:jc w:val="center"/>
              <w:rPr>
                <w:rFonts w:ascii="Arial" w:hAnsi="Arial" w:cs="Arial"/>
                <w:b/>
                <w:i/>
                <w:color w:val="FF0000"/>
                <w:sz w:val="18"/>
                <w:szCs w:val="18"/>
              </w:rPr>
            </w:pPr>
            <w:r w:rsidRPr="007E5ABB">
              <w:rPr>
                <w:rFonts w:ascii="Arial" w:hAnsi="Arial" w:cs="Arial"/>
                <w:sz w:val="18"/>
                <w:szCs w:val="18"/>
              </w:rPr>
              <w:t>(0</w:t>
            </w:r>
            <w:r w:rsidR="00460E4F" w:rsidRPr="007E5ABB">
              <w:rPr>
                <w:rFonts w:ascii="Arial" w:hAnsi="Arial" w:cs="Arial"/>
                <w:sz w:val="18"/>
                <w:szCs w:val="18"/>
              </w:rPr>
              <w:t>,</w:t>
            </w:r>
            <w:r w:rsidRPr="007E5ABB">
              <w:rPr>
                <w:rFonts w:ascii="Arial" w:hAnsi="Arial" w:cs="Arial"/>
                <w:sz w:val="18"/>
                <w:szCs w:val="18"/>
              </w:rPr>
              <w:t>3)</w:t>
            </w:r>
          </w:p>
        </w:tc>
        <w:tc>
          <w:tcPr>
            <w:tcW w:w="1445" w:type="dxa"/>
            <w:tcBorders>
              <w:right w:val="single" w:sz="4" w:space="0" w:color="auto"/>
            </w:tcBorders>
            <w:vAlign w:val="center"/>
          </w:tcPr>
          <w:p w14:paraId="12286384" w14:textId="3824C2DC" w:rsidR="007C0D5C" w:rsidRPr="007E5ABB" w:rsidRDefault="007C0D5C" w:rsidP="007C0D5C">
            <w:pPr>
              <w:pStyle w:val="ColorfulList-Accent11"/>
              <w:tabs>
                <w:tab w:val="left" w:pos="0"/>
                <w:tab w:val="left" w:pos="284"/>
              </w:tabs>
              <w:ind w:left="0" w:right="-90"/>
              <w:jc w:val="center"/>
              <w:rPr>
                <w:rFonts w:ascii="Arial" w:hAnsi="Arial" w:cs="Arial"/>
                <w:b/>
                <w:i/>
                <w:color w:val="FF0000"/>
                <w:sz w:val="18"/>
                <w:szCs w:val="18"/>
              </w:rPr>
            </w:pPr>
            <w:r w:rsidRPr="007E5ABB">
              <w:rPr>
                <w:rFonts w:ascii="Arial" w:hAnsi="Arial" w:cs="Arial"/>
                <w:sz w:val="18"/>
                <w:szCs w:val="18"/>
              </w:rPr>
              <w:t>7</w:t>
            </w:r>
            <w:r w:rsidR="00460E4F" w:rsidRPr="007E5ABB">
              <w:rPr>
                <w:rFonts w:ascii="Arial" w:hAnsi="Arial" w:cs="Arial"/>
                <w:sz w:val="18"/>
                <w:szCs w:val="18"/>
              </w:rPr>
              <w:t>,</w:t>
            </w:r>
            <w:r w:rsidRPr="007E5ABB">
              <w:rPr>
                <w:rFonts w:ascii="Arial" w:hAnsi="Arial" w:cs="Arial"/>
                <w:sz w:val="18"/>
                <w:szCs w:val="18"/>
              </w:rPr>
              <w:t>7</w:t>
            </w:r>
          </w:p>
        </w:tc>
        <w:tc>
          <w:tcPr>
            <w:tcW w:w="1445" w:type="dxa"/>
            <w:tcBorders>
              <w:left w:val="single" w:sz="4" w:space="0" w:color="auto"/>
            </w:tcBorders>
            <w:vAlign w:val="center"/>
          </w:tcPr>
          <w:p w14:paraId="327E69E3" w14:textId="427573F4" w:rsidR="007C0D5C" w:rsidRPr="007E5ABB" w:rsidRDefault="007C0D5C" w:rsidP="007C0D5C">
            <w:pPr>
              <w:pStyle w:val="ColorfulList-Accent11"/>
              <w:tabs>
                <w:tab w:val="left" w:pos="0"/>
                <w:tab w:val="left" w:pos="284"/>
              </w:tabs>
              <w:ind w:left="0" w:right="-90"/>
              <w:jc w:val="center"/>
              <w:rPr>
                <w:rFonts w:ascii="Arial" w:hAnsi="Arial" w:cs="Arial"/>
                <w:i/>
                <w:iCs/>
                <w:sz w:val="18"/>
                <w:szCs w:val="18"/>
              </w:rPr>
            </w:pPr>
            <w:r w:rsidRPr="007E5ABB">
              <w:rPr>
                <w:rFonts w:ascii="Arial" w:hAnsi="Arial" w:cs="Arial"/>
                <w:sz w:val="18"/>
                <w:szCs w:val="18"/>
              </w:rPr>
              <w:t>(132</w:t>
            </w:r>
            <w:r w:rsidR="00460E4F" w:rsidRPr="007E5ABB">
              <w:rPr>
                <w:rFonts w:ascii="Arial" w:hAnsi="Arial" w:cs="Arial"/>
                <w:sz w:val="18"/>
                <w:szCs w:val="18"/>
              </w:rPr>
              <w:t>,</w:t>
            </w:r>
            <w:r w:rsidRPr="007E5ABB">
              <w:rPr>
                <w:rFonts w:ascii="Arial" w:hAnsi="Arial" w:cs="Arial"/>
                <w:sz w:val="18"/>
                <w:szCs w:val="18"/>
              </w:rPr>
              <w:t>6)</w:t>
            </w:r>
          </w:p>
        </w:tc>
        <w:tc>
          <w:tcPr>
            <w:tcW w:w="1445" w:type="dxa"/>
            <w:vAlign w:val="center"/>
          </w:tcPr>
          <w:p w14:paraId="36B10660" w14:textId="029C90FB" w:rsidR="007C0D5C" w:rsidRPr="007E5ABB" w:rsidRDefault="007C0D5C" w:rsidP="007C0D5C">
            <w:pPr>
              <w:pStyle w:val="ColorfulList-Accent11"/>
              <w:tabs>
                <w:tab w:val="left" w:pos="0"/>
                <w:tab w:val="left" w:pos="284"/>
              </w:tabs>
              <w:ind w:left="0" w:right="-90"/>
              <w:jc w:val="center"/>
              <w:rPr>
                <w:rFonts w:ascii="Arial" w:hAnsi="Arial" w:cs="Arial"/>
                <w:i/>
                <w:iCs/>
                <w:sz w:val="18"/>
                <w:szCs w:val="18"/>
              </w:rPr>
            </w:pPr>
            <w:r w:rsidRPr="007E5ABB">
              <w:rPr>
                <w:rFonts w:ascii="Arial" w:hAnsi="Arial" w:cs="Arial"/>
                <w:sz w:val="18"/>
                <w:szCs w:val="18"/>
              </w:rPr>
              <w:t>(90</w:t>
            </w:r>
            <w:r w:rsidR="00460E4F" w:rsidRPr="007E5ABB">
              <w:rPr>
                <w:rFonts w:ascii="Arial" w:hAnsi="Arial" w:cs="Arial"/>
                <w:sz w:val="18"/>
                <w:szCs w:val="18"/>
              </w:rPr>
              <w:t>,</w:t>
            </w:r>
            <w:r w:rsidRPr="007E5ABB">
              <w:rPr>
                <w:rFonts w:ascii="Arial" w:hAnsi="Arial" w:cs="Arial"/>
                <w:sz w:val="18"/>
                <w:szCs w:val="18"/>
              </w:rPr>
              <w:t>7)</w:t>
            </w:r>
          </w:p>
        </w:tc>
      </w:tr>
      <w:tr w:rsidR="007C0D5C" w:rsidRPr="007E5ABB" w14:paraId="21001686" w14:textId="77777777" w:rsidTr="00FB20CB">
        <w:trPr>
          <w:trHeight w:val="228"/>
        </w:trPr>
        <w:tc>
          <w:tcPr>
            <w:tcW w:w="5103" w:type="dxa"/>
            <w:tcBorders>
              <w:right w:val="single" w:sz="4" w:space="0" w:color="auto"/>
            </w:tcBorders>
            <w:vAlign w:val="center"/>
          </w:tcPr>
          <w:p w14:paraId="512231F5" w14:textId="1C327B5E" w:rsidR="007C0D5C" w:rsidRPr="007E5ABB" w:rsidRDefault="007C0D5C" w:rsidP="007C0D5C">
            <w:pPr>
              <w:pStyle w:val="ColorfulList-Accent11"/>
              <w:tabs>
                <w:tab w:val="left" w:pos="0"/>
                <w:tab w:val="left" w:pos="284"/>
              </w:tabs>
              <w:ind w:left="0" w:right="-90"/>
              <w:rPr>
                <w:rFonts w:ascii="Arial" w:hAnsi="Arial" w:cs="Arial"/>
                <w:sz w:val="18"/>
                <w:szCs w:val="18"/>
                <w:lang w:val="el-GR"/>
              </w:rPr>
            </w:pPr>
            <w:r w:rsidRPr="007E5ABB">
              <w:rPr>
                <w:rFonts w:ascii="Arial" w:hAnsi="Arial" w:cs="Arial"/>
                <w:sz w:val="18"/>
                <w:szCs w:val="18"/>
                <w:lang w:val="el-GR"/>
              </w:rPr>
              <w:t>(Μείωση) / αύξηση υποχρεώσεων (πλην δανεισμού)</w:t>
            </w:r>
          </w:p>
        </w:tc>
        <w:tc>
          <w:tcPr>
            <w:tcW w:w="1444" w:type="dxa"/>
            <w:tcBorders>
              <w:left w:val="single" w:sz="4" w:space="0" w:color="auto"/>
            </w:tcBorders>
            <w:vAlign w:val="center"/>
          </w:tcPr>
          <w:p w14:paraId="1ABA1471" w14:textId="755448FC" w:rsidR="007C0D5C" w:rsidRPr="007E5ABB" w:rsidRDefault="007C0D5C" w:rsidP="007C0D5C">
            <w:pPr>
              <w:pStyle w:val="ColorfulList-Accent11"/>
              <w:tabs>
                <w:tab w:val="left" w:pos="0"/>
                <w:tab w:val="left" w:pos="284"/>
              </w:tabs>
              <w:ind w:left="0" w:right="-90"/>
              <w:jc w:val="center"/>
              <w:rPr>
                <w:rFonts w:ascii="Arial" w:hAnsi="Arial" w:cs="Arial"/>
                <w:b/>
                <w:i/>
                <w:color w:val="FF0000"/>
                <w:sz w:val="18"/>
                <w:szCs w:val="18"/>
              </w:rPr>
            </w:pPr>
            <w:r w:rsidRPr="007E5ABB">
              <w:rPr>
                <w:rFonts w:ascii="Arial" w:hAnsi="Arial" w:cs="Arial"/>
                <w:sz w:val="18"/>
                <w:szCs w:val="18"/>
              </w:rPr>
              <w:t>(48</w:t>
            </w:r>
            <w:r w:rsidR="00460E4F" w:rsidRPr="007E5ABB">
              <w:rPr>
                <w:rFonts w:ascii="Arial" w:hAnsi="Arial" w:cs="Arial"/>
                <w:sz w:val="18"/>
                <w:szCs w:val="18"/>
              </w:rPr>
              <w:t>,</w:t>
            </w:r>
            <w:r w:rsidRPr="007E5ABB">
              <w:rPr>
                <w:rFonts w:ascii="Arial" w:hAnsi="Arial" w:cs="Arial"/>
                <w:sz w:val="18"/>
                <w:szCs w:val="18"/>
              </w:rPr>
              <w:t>8)</w:t>
            </w:r>
          </w:p>
        </w:tc>
        <w:tc>
          <w:tcPr>
            <w:tcW w:w="1445" w:type="dxa"/>
            <w:tcBorders>
              <w:right w:val="single" w:sz="4" w:space="0" w:color="auto"/>
            </w:tcBorders>
            <w:vAlign w:val="center"/>
          </w:tcPr>
          <w:p w14:paraId="6FAEE181" w14:textId="31133ECB" w:rsidR="007C0D5C" w:rsidRPr="007E5ABB" w:rsidRDefault="007C0D5C" w:rsidP="007C0D5C">
            <w:pPr>
              <w:pStyle w:val="ColorfulList-Accent11"/>
              <w:tabs>
                <w:tab w:val="left" w:pos="0"/>
                <w:tab w:val="left" w:pos="284"/>
              </w:tabs>
              <w:ind w:left="0" w:right="-90"/>
              <w:jc w:val="center"/>
              <w:rPr>
                <w:rFonts w:ascii="Arial" w:hAnsi="Arial" w:cs="Arial"/>
                <w:b/>
                <w:i/>
                <w:color w:val="FF0000"/>
                <w:sz w:val="18"/>
                <w:szCs w:val="18"/>
              </w:rPr>
            </w:pPr>
            <w:r w:rsidRPr="007E5ABB">
              <w:rPr>
                <w:rFonts w:ascii="Arial" w:hAnsi="Arial" w:cs="Arial"/>
                <w:sz w:val="18"/>
                <w:szCs w:val="18"/>
              </w:rPr>
              <w:t>(43</w:t>
            </w:r>
            <w:r w:rsidR="00460E4F" w:rsidRPr="007E5ABB">
              <w:rPr>
                <w:rFonts w:ascii="Arial" w:hAnsi="Arial" w:cs="Arial"/>
                <w:sz w:val="18"/>
                <w:szCs w:val="18"/>
              </w:rPr>
              <w:t>,</w:t>
            </w:r>
            <w:r w:rsidRPr="007E5ABB">
              <w:rPr>
                <w:rFonts w:ascii="Arial" w:hAnsi="Arial" w:cs="Arial"/>
                <w:sz w:val="18"/>
                <w:szCs w:val="18"/>
              </w:rPr>
              <w:t>8)</w:t>
            </w:r>
          </w:p>
        </w:tc>
        <w:tc>
          <w:tcPr>
            <w:tcW w:w="1445" w:type="dxa"/>
            <w:tcBorders>
              <w:left w:val="single" w:sz="4" w:space="0" w:color="auto"/>
            </w:tcBorders>
            <w:vAlign w:val="center"/>
          </w:tcPr>
          <w:p w14:paraId="230E0362" w14:textId="640C8CE6" w:rsidR="007C0D5C" w:rsidRPr="007E5ABB" w:rsidRDefault="007C0D5C" w:rsidP="007C0D5C">
            <w:pPr>
              <w:pStyle w:val="ColorfulList-Accent11"/>
              <w:tabs>
                <w:tab w:val="left" w:pos="0"/>
                <w:tab w:val="left" w:pos="284"/>
              </w:tabs>
              <w:ind w:left="0" w:right="-90"/>
              <w:jc w:val="center"/>
              <w:rPr>
                <w:rFonts w:ascii="Arial" w:hAnsi="Arial" w:cs="Arial"/>
                <w:sz w:val="18"/>
                <w:szCs w:val="18"/>
              </w:rPr>
            </w:pPr>
            <w:r w:rsidRPr="007E5ABB">
              <w:rPr>
                <w:rFonts w:ascii="Arial" w:hAnsi="Arial" w:cs="Arial"/>
                <w:sz w:val="18"/>
                <w:szCs w:val="18"/>
              </w:rPr>
              <w:t>(40</w:t>
            </w:r>
            <w:r w:rsidR="00460E4F" w:rsidRPr="007E5ABB">
              <w:rPr>
                <w:rFonts w:ascii="Arial" w:hAnsi="Arial" w:cs="Arial"/>
                <w:sz w:val="18"/>
                <w:szCs w:val="18"/>
              </w:rPr>
              <w:t>,</w:t>
            </w:r>
            <w:r w:rsidRPr="007E5ABB">
              <w:rPr>
                <w:rFonts w:ascii="Arial" w:hAnsi="Arial" w:cs="Arial"/>
                <w:sz w:val="18"/>
                <w:szCs w:val="18"/>
              </w:rPr>
              <w:t>0)</w:t>
            </w:r>
          </w:p>
        </w:tc>
        <w:tc>
          <w:tcPr>
            <w:tcW w:w="1445" w:type="dxa"/>
            <w:vAlign w:val="center"/>
          </w:tcPr>
          <w:p w14:paraId="6BA48145" w14:textId="4A5F6122" w:rsidR="007C0D5C" w:rsidRPr="007E5ABB" w:rsidRDefault="007C0D5C" w:rsidP="007C0D5C">
            <w:pPr>
              <w:pStyle w:val="ColorfulList-Accent11"/>
              <w:tabs>
                <w:tab w:val="left" w:pos="0"/>
                <w:tab w:val="left" w:pos="284"/>
              </w:tabs>
              <w:ind w:left="0" w:right="-90"/>
              <w:jc w:val="center"/>
              <w:rPr>
                <w:rFonts w:ascii="Arial" w:hAnsi="Arial" w:cs="Arial"/>
                <w:sz w:val="18"/>
                <w:szCs w:val="18"/>
              </w:rPr>
            </w:pPr>
            <w:r w:rsidRPr="007E5ABB">
              <w:rPr>
                <w:rFonts w:ascii="Arial" w:hAnsi="Arial" w:cs="Arial"/>
                <w:sz w:val="18"/>
                <w:szCs w:val="18"/>
              </w:rPr>
              <w:t>(19</w:t>
            </w:r>
            <w:r w:rsidR="00460E4F" w:rsidRPr="007E5ABB">
              <w:rPr>
                <w:rFonts w:ascii="Arial" w:hAnsi="Arial" w:cs="Arial"/>
                <w:sz w:val="18"/>
                <w:szCs w:val="18"/>
              </w:rPr>
              <w:t>,</w:t>
            </w:r>
            <w:r w:rsidRPr="007E5ABB">
              <w:rPr>
                <w:rFonts w:ascii="Arial" w:hAnsi="Arial" w:cs="Arial"/>
                <w:sz w:val="18"/>
                <w:szCs w:val="18"/>
              </w:rPr>
              <w:t>6)</w:t>
            </w:r>
          </w:p>
        </w:tc>
      </w:tr>
      <w:tr w:rsidR="007C0D5C" w:rsidRPr="007E5ABB" w14:paraId="64C7BB7A" w14:textId="77777777" w:rsidTr="00FB20CB">
        <w:trPr>
          <w:trHeight w:val="228"/>
        </w:trPr>
        <w:tc>
          <w:tcPr>
            <w:tcW w:w="5103" w:type="dxa"/>
            <w:tcBorders>
              <w:right w:val="single" w:sz="4" w:space="0" w:color="auto"/>
            </w:tcBorders>
            <w:vAlign w:val="center"/>
          </w:tcPr>
          <w:p w14:paraId="347F47F4" w14:textId="57B38FA0" w:rsidR="007C0D5C" w:rsidRPr="007E5ABB" w:rsidRDefault="007C0D5C" w:rsidP="007C0D5C">
            <w:pPr>
              <w:ind w:right="7"/>
              <w:rPr>
                <w:rFonts w:ascii="Arial" w:hAnsi="Arial" w:cs="Arial"/>
                <w:sz w:val="18"/>
                <w:szCs w:val="18"/>
              </w:rPr>
            </w:pPr>
            <w:r w:rsidRPr="007E5ABB">
              <w:rPr>
                <w:rFonts w:ascii="Arial" w:hAnsi="Arial" w:cs="Arial"/>
                <w:sz w:val="18"/>
                <w:szCs w:val="18"/>
              </w:rPr>
              <w:t>Καταβ</w:t>
            </w:r>
            <w:proofErr w:type="spellStart"/>
            <w:r w:rsidRPr="007E5ABB">
              <w:rPr>
                <w:rFonts w:ascii="Arial" w:hAnsi="Arial" w:cs="Arial"/>
                <w:sz w:val="18"/>
                <w:szCs w:val="18"/>
              </w:rPr>
              <w:t>ολές</w:t>
            </w:r>
            <w:proofErr w:type="spellEnd"/>
            <w:r w:rsidRPr="007E5ABB">
              <w:rPr>
                <w:rFonts w:ascii="Arial" w:hAnsi="Arial" w:cs="Arial"/>
                <w:sz w:val="18"/>
                <w:szCs w:val="18"/>
              </w:rPr>
              <w:t xml:space="preserve"> π</w:t>
            </w:r>
            <w:proofErr w:type="spellStart"/>
            <w:r w:rsidRPr="007E5ABB">
              <w:rPr>
                <w:rFonts w:ascii="Arial" w:hAnsi="Arial" w:cs="Arial"/>
                <w:sz w:val="18"/>
                <w:szCs w:val="18"/>
              </w:rPr>
              <w:t>ρογρ</w:t>
            </w:r>
            <w:proofErr w:type="spellEnd"/>
            <w:r w:rsidRPr="007E5ABB">
              <w:rPr>
                <w:rFonts w:ascii="Arial" w:hAnsi="Arial" w:cs="Arial"/>
                <w:sz w:val="18"/>
                <w:szCs w:val="18"/>
              </w:rPr>
              <w:t xml:space="preserve">αμμάτων </w:t>
            </w:r>
            <w:proofErr w:type="spellStart"/>
            <w:r w:rsidRPr="007E5ABB">
              <w:rPr>
                <w:rFonts w:ascii="Arial" w:hAnsi="Arial" w:cs="Arial"/>
                <w:sz w:val="18"/>
                <w:szCs w:val="18"/>
              </w:rPr>
              <w:t>εθελούσι</w:t>
            </w:r>
            <w:proofErr w:type="spellEnd"/>
            <w:r w:rsidRPr="007E5ABB">
              <w:rPr>
                <w:rFonts w:ascii="Arial" w:hAnsi="Arial" w:cs="Arial"/>
                <w:sz w:val="18"/>
                <w:szCs w:val="18"/>
              </w:rPr>
              <w:t>ας απ</w:t>
            </w:r>
            <w:proofErr w:type="spellStart"/>
            <w:r w:rsidRPr="007E5ABB">
              <w:rPr>
                <w:rFonts w:ascii="Arial" w:hAnsi="Arial" w:cs="Arial"/>
                <w:sz w:val="18"/>
                <w:szCs w:val="18"/>
              </w:rPr>
              <w:t>οχώρησης</w:t>
            </w:r>
            <w:proofErr w:type="spellEnd"/>
          </w:p>
        </w:tc>
        <w:tc>
          <w:tcPr>
            <w:tcW w:w="1444" w:type="dxa"/>
            <w:tcBorders>
              <w:left w:val="single" w:sz="4" w:space="0" w:color="auto"/>
            </w:tcBorders>
            <w:vAlign w:val="center"/>
          </w:tcPr>
          <w:p w14:paraId="3AE31133" w14:textId="4A752BEB" w:rsidR="007C0D5C" w:rsidRPr="007E5ABB" w:rsidRDefault="007C0D5C" w:rsidP="007C0D5C">
            <w:pPr>
              <w:pStyle w:val="ColorfulList-Accent11"/>
              <w:tabs>
                <w:tab w:val="left" w:pos="0"/>
                <w:tab w:val="left" w:pos="284"/>
              </w:tabs>
              <w:ind w:left="0" w:right="-90"/>
              <w:jc w:val="center"/>
              <w:rPr>
                <w:rFonts w:ascii="Arial" w:hAnsi="Arial" w:cs="Arial"/>
                <w:b/>
                <w:i/>
                <w:color w:val="FF0000"/>
                <w:sz w:val="18"/>
                <w:szCs w:val="18"/>
              </w:rPr>
            </w:pPr>
            <w:r w:rsidRPr="007E5ABB">
              <w:rPr>
                <w:rFonts w:ascii="Arial" w:hAnsi="Arial" w:cs="Arial"/>
                <w:sz w:val="18"/>
                <w:szCs w:val="18"/>
              </w:rPr>
              <w:t>(6</w:t>
            </w:r>
            <w:r w:rsidR="00460E4F" w:rsidRPr="007E5ABB">
              <w:rPr>
                <w:rFonts w:ascii="Arial" w:hAnsi="Arial" w:cs="Arial"/>
                <w:sz w:val="18"/>
                <w:szCs w:val="18"/>
              </w:rPr>
              <w:t>,</w:t>
            </w:r>
            <w:r w:rsidRPr="007E5ABB">
              <w:rPr>
                <w:rFonts w:ascii="Arial" w:hAnsi="Arial" w:cs="Arial"/>
                <w:sz w:val="18"/>
                <w:szCs w:val="18"/>
              </w:rPr>
              <w:t>7)</w:t>
            </w:r>
          </w:p>
        </w:tc>
        <w:tc>
          <w:tcPr>
            <w:tcW w:w="1445" w:type="dxa"/>
            <w:tcBorders>
              <w:right w:val="single" w:sz="4" w:space="0" w:color="auto"/>
            </w:tcBorders>
            <w:vAlign w:val="center"/>
          </w:tcPr>
          <w:p w14:paraId="34179C3B" w14:textId="2B2D8983" w:rsidR="007C0D5C" w:rsidRPr="007E5ABB" w:rsidRDefault="007C0D5C" w:rsidP="007C0D5C">
            <w:pPr>
              <w:pStyle w:val="ColorfulList-Accent11"/>
              <w:tabs>
                <w:tab w:val="left" w:pos="0"/>
                <w:tab w:val="left" w:pos="284"/>
              </w:tabs>
              <w:ind w:left="0" w:right="-90"/>
              <w:jc w:val="center"/>
              <w:rPr>
                <w:rFonts w:ascii="Arial" w:hAnsi="Arial" w:cs="Arial"/>
                <w:b/>
                <w:i/>
                <w:color w:val="FF0000"/>
                <w:sz w:val="18"/>
                <w:szCs w:val="18"/>
              </w:rPr>
            </w:pPr>
            <w:r w:rsidRPr="007E5ABB">
              <w:rPr>
                <w:rFonts w:ascii="Arial" w:hAnsi="Arial" w:cs="Arial"/>
                <w:sz w:val="18"/>
                <w:szCs w:val="18"/>
              </w:rPr>
              <w:t>(7</w:t>
            </w:r>
            <w:r w:rsidR="00460E4F" w:rsidRPr="007E5ABB">
              <w:rPr>
                <w:rFonts w:ascii="Arial" w:hAnsi="Arial" w:cs="Arial"/>
                <w:sz w:val="18"/>
                <w:szCs w:val="18"/>
              </w:rPr>
              <w:t>,</w:t>
            </w:r>
            <w:r w:rsidRPr="007E5ABB">
              <w:rPr>
                <w:rFonts w:ascii="Arial" w:hAnsi="Arial" w:cs="Arial"/>
                <w:sz w:val="18"/>
                <w:szCs w:val="18"/>
              </w:rPr>
              <w:t>6)</w:t>
            </w:r>
          </w:p>
        </w:tc>
        <w:tc>
          <w:tcPr>
            <w:tcW w:w="1445" w:type="dxa"/>
            <w:tcBorders>
              <w:left w:val="single" w:sz="4" w:space="0" w:color="auto"/>
            </w:tcBorders>
            <w:vAlign w:val="center"/>
          </w:tcPr>
          <w:p w14:paraId="08D160F3" w14:textId="03651565" w:rsidR="007C0D5C" w:rsidRPr="007E5ABB" w:rsidRDefault="007C0D5C" w:rsidP="007C0D5C">
            <w:pPr>
              <w:pStyle w:val="ColorfulList-Accent11"/>
              <w:tabs>
                <w:tab w:val="left" w:pos="0"/>
                <w:tab w:val="left" w:pos="284"/>
              </w:tabs>
              <w:ind w:left="0" w:right="-90"/>
              <w:jc w:val="center"/>
              <w:rPr>
                <w:rFonts w:ascii="Arial" w:hAnsi="Arial" w:cs="Arial"/>
                <w:sz w:val="18"/>
                <w:szCs w:val="18"/>
              </w:rPr>
            </w:pPr>
            <w:r w:rsidRPr="007E5ABB">
              <w:rPr>
                <w:rFonts w:ascii="Arial" w:hAnsi="Arial" w:cs="Arial"/>
                <w:sz w:val="18"/>
                <w:szCs w:val="18"/>
              </w:rPr>
              <w:t>(32</w:t>
            </w:r>
            <w:r w:rsidR="00460E4F" w:rsidRPr="007E5ABB">
              <w:rPr>
                <w:rFonts w:ascii="Arial" w:hAnsi="Arial" w:cs="Arial"/>
                <w:sz w:val="18"/>
                <w:szCs w:val="18"/>
              </w:rPr>
              <w:t>,</w:t>
            </w:r>
            <w:r w:rsidRPr="007E5ABB">
              <w:rPr>
                <w:rFonts w:ascii="Arial" w:hAnsi="Arial" w:cs="Arial"/>
                <w:sz w:val="18"/>
                <w:szCs w:val="18"/>
              </w:rPr>
              <w:t>6)</w:t>
            </w:r>
          </w:p>
        </w:tc>
        <w:tc>
          <w:tcPr>
            <w:tcW w:w="1445" w:type="dxa"/>
            <w:vAlign w:val="center"/>
          </w:tcPr>
          <w:p w14:paraId="6380F1C3" w14:textId="0E50A196" w:rsidR="007C0D5C" w:rsidRPr="007E5ABB" w:rsidRDefault="007C0D5C" w:rsidP="007C0D5C">
            <w:pPr>
              <w:pStyle w:val="ColorfulList-Accent11"/>
              <w:tabs>
                <w:tab w:val="left" w:pos="0"/>
                <w:tab w:val="left" w:pos="284"/>
              </w:tabs>
              <w:ind w:left="0" w:right="-90"/>
              <w:jc w:val="center"/>
              <w:rPr>
                <w:rFonts w:ascii="Arial" w:hAnsi="Arial" w:cs="Arial"/>
                <w:sz w:val="18"/>
                <w:szCs w:val="18"/>
              </w:rPr>
            </w:pPr>
            <w:r w:rsidRPr="007E5ABB">
              <w:rPr>
                <w:rFonts w:ascii="Arial" w:hAnsi="Arial" w:cs="Arial"/>
                <w:sz w:val="18"/>
                <w:szCs w:val="18"/>
              </w:rPr>
              <w:t>(33</w:t>
            </w:r>
            <w:r w:rsidR="00460E4F" w:rsidRPr="007E5ABB">
              <w:rPr>
                <w:rFonts w:ascii="Arial" w:hAnsi="Arial" w:cs="Arial"/>
                <w:sz w:val="18"/>
                <w:szCs w:val="18"/>
              </w:rPr>
              <w:t>,</w:t>
            </w:r>
            <w:r w:rsidRPr="007E5ABB">
              <w:rPr>
                <w:rFonts w:ascii="Arial" w:hAnsi="Arial" w:cs="Arial"/>
                <w:sz w:val="18"/>
                <w:szCs w:val="18"/>
              </w:rPr>
              <w:t>1)</w:t>
            </w:r>
          </w:p>
        </w:tc>
      </w:tr>
      <w:tr w:rsidR="007C0D5C" w:rsidRPr="007E5ABB" w14:paraId="3187799E" w14:textId="77777777" w:rsidTr="00FB20CB">
        <w:trPr>
          <w:trHeight w:val="228"/>
        </w:trPr>
        <w:tc>
          <w:tcPr>
            <w:tcW w:w="5103" w:type="dxa"/>
            <w:tcBorders>
              <w:right w:val="single" w:sz="4" w:space="0" w:color="auto"/>
            </w:tcBorders>
            <w:vAlign w:val="center"/>
          </w:tcPr>
          <w:p w14:paraId="645DE66E" w14:textId="1E99DC19" w:rsidR="007C0D5C" w:rsidRPr="007E5ABB" w:rsidRDefault="007C0D5C" w:rsidP="007C0D5C">
            <w:pPr>
              <w:pStyle w:val="ColorfulList-Accent11"/>
              <w:tabs>
                <w:tab w:val="left" w:pos="0"/>
                <w:tab w:val="left" w:pos="284"/>
              </w:tabs>
              <w:ind w:left="0" w:right="-90"/>
              <w:rPr>
                <w:rFonts w:ascii="Arial" w:hAnsi="Arial" w:cs="Arial"/>
                <w:sz w:val="18"/>
                <w:szCs w:val="18"/>
                <w:lang w:val="el-GR"/>
              </w:rPr>
            </w:pPr>
            <w:r w:rsidRPr="007E5ABB">
              <w:rPr>
                <w:rFonts w:ascii="Arial" w:hAnsi="Arial" w:cs="Arial"/>
                <w:sz w:val="18"/>
                <w:szCs w:val="18"/>
                <w:lang w:val="el-GR"/>
              </w:rPr>
              <w:t>Καταβολές αποζημίωσης προσωπικού και λογαριασμού  νεότητας εκτός εισφορών εργαζομένων</w:t>
            </w:r>
          </w:p>
        </w:tc>
        <w:tc>
          <w:tcPr>
            <w:tcW w:w="1444" w:type="dxa"/>
            <w:tcBorders>
              <w:left w:val="single" w:sz="4" w:space="0" w:color="auto"/>
            </w:tcBorders>
            <w:vAlign w:val="center"/>
          </w:tcPr>
          <w:p w14:paraId="3051D7EE" w14:textId="13A1B475" w:rsidR="007C0D5C" w:rsidRPr="007E5ABB" w:rsidRDefault="007C0D5C" w:rsidP="007C0D5C">
            <w:pPr>
              <w:pStyle w:val="ColorfulList-Accent11"/>
              <w:tabs>
                <w:tab w:val="left" w:pos="0"/>
                <w:tab w:val="left" w:pos="284"/>
              </w:tabs>
              <w:ind w:left="0" w:right="-90"/>
              <w:jc w:val="center"/>
              <w:rPr>
                <w:rFonts w:ascii="Arial" w:hAnsi="Arial" w:cs="Arial"/>
                <w:b/>
                <w:i/>
                <w:color w:val="FF0000"/>
                <w:sz w:val="18"/>
                <w:szCs w:val="18"/>
              </w:rPr>
            </w:pPr>
            <w:r w:rsidRPr="007E5ABB">
              <w:rPr>
                <w:rFonts w:ascii="Arial" w:hAnsi="Arial" w:cs="Arial"/>
                <w:sz w:val="18"/>
                <w:szCs w:val="18"/>
              </w:rPr>
              <w:t>(1</w:t>
            </w:r>
            <w:r w:rsidR="00460E4F" w:rsidRPr="007E5ABB">
              <w:rPr>
                <w:rFonts w:ascii="Arial" w:hAnsi="Arial" w:cs="Arial"/>
                <w:sz w:val="18"/>
                <w:szCs w:val="18"/>
              </w:rPr>
              <w:t>,</w:t>
            </w:r>
            <w:r w:rsidRPr="007E5ABB">
              <w:rPr>
                <w:rFonts w:ascii="Arial" w:hAnsi="Arial" w:cs="Arial"/>
                <w:sz w:val="18"/>
                <w:szCs w:val="18"/>
              </w:rPr>
              <w:t>3)</w:t>
            </w:r>
          </w:p>
        </w:tc>
        <w:tc>
          <w:tcPr>
            <w:tcW w:w="1445" w:type="dxa"/>
            <w:tcBorders>
              <w:right w:val="single" w:sz="4" w:space="0" w:color="auto"/>
            </w:tcBorders>
            <w:vAlign w:val="center"/>
          </w:tcPr>
          <w:p w14:paraId="4ED58539" w14:textId="0B3FE10C" w:rsidR="007C0D5C" w:rsidRPr="007E5ABB" w:rsidRDefault="007C0D5C" w:rsidP="007C0D5C">
            <w:pPr>
              <w:pStyle w:val="ColorfulList-Accent11"/>
              <w:tabs>
                <w:tab w:val="left" w:pos="0"/>
                <w:tab w:val="left" w:pos="284"/>
              </w:tabs>
              <w:ind w:left="0" w:right="-90"/>
              <w:jc w:val="center"/>
              <w:rPr>
                <w:rFonts w:ascii="Arial" w:hAnsi="Arial" w:cs="Arial"/>
                <w:b/>
                <w:i/>
                <w:color w:val="FF0000"/>
                <w:sz w:val="18"/>
                <w:szCs w:val="18"/>
              </w:rPr>
            </w:pPr>
            <w:r w:rsidRPr="007E5ABB">
              <w:rPr>
                <w:rFonts w:ascii="Arial" w:hAnsi="Arial" w:cs="Arial"/>
                <w:sz w:val="18"/>
                <w:szCs w:val="18"/>
              </w:rPr>
              <w:t>(1</w:t>
            </w:r>
            <w:r w:rsidR="00460E4F" w:rsidRPr="007E5ABB">
              <w:rPr>
                <w:rFonts w:ascii="Arial" w:hAnsi="Arial" w:cs="Arial"/>
                <w:sz w:val="18"/>
                <w:szCs w:val="18"/>
              </w:rPr>
              <w:t>,</w:t>
            </w:r>
            <w:r w:rsidRPr="007E5ABB">
              <w:rPr>
                <w:rFonts w:ascii="Arial" w:hAnsi="Arial" w:cs="Arial"/>
                <w:sz w:val="18"/>
                <w:szCs w:val="18"/>
              </w:rPr>
              <w:t>9)</w:t>
            </w:r>
          </w:p>
        </w:tc>
        <w:tc>
          <w:tcPr>
            <w:tcW w:w="1445" w:type="dxa"/>
            <w:tcBorders>
              <w:left w:val="single" w:sz="4" w:space="0" w:color="auto"/>
            </w:tcBorders>
            <w:vAlign w:val="center"/>
          </w:tcPr>
          <w:p w14:paraId="7064CBA6" w14:textId="73B22DDC" w:rsidR="007C0D5C" w:rsidRPr="007E5ABB" w:rsidRDefault="007C0D5C" w:rsidP="007C0D5C">
            <w:pPr>
              <w:pStyle w:val="ColorfulList-Accent11"/>
              <w:tabs>
                <w:tab w:val="left" w:pos="0"/>
                <w:tab w:val="left" w:pos="284"/>
              </w:tabs>
              <w:ind w:left="0" w:right="-90"/>
              <w:jc w:val="center"/>
              <w:rPr>
                <w:rFonts w:ascii="Arial" w:hAnsi="Arial" w:cs="Arial"/>
                <w:sz w:val="18"/>
                <w:szCs w:val="18"/>
              </w:rPr>
            </w:pPr>
            <w:r w:rsidRPr="007E5ABB">
              <w:rPr>
                <w:rFonts w:ascii="Arial" w:hAnsi="Arial" w:cs="Arial"/>
                <w:sz w:val="18"/>
                <w:szCs w:val="18"/>
              </w:rPr>
              <w:t>(4</w:t>
            </w:r>
            <w:r w:rsidR="00460E4F" w:rsidRPr="007E5ABB">
              <w:rPr>
                <w:rFonts w:ascii="Arial" w:hAnsi="Arial" w:cs="Arial"/>
                <w:sz w:val="18"/>
                <w:szCs w:val="18"/>
              </w:rPr>
              <w:t>,</w:t>
            </w:r>
            <w:r w:rsidRPr="007E5ABB">
              <w:rPr>
                <w:rFonts w:ascii="Arial" w:hAnsi="Arial" w:cs="Arial"/>
                <w:sz w:val="18"/>
                <w:szCs w:val="18"/>
              </w:rPr>
              <w:t>1)</w:t>
            </w:r>
          </w:p>
        </w:tc>
        <w:tc>
          <w:tcPr>
            <w:tcW w:w="1445" w:type="dxa"/>
            <w:vAlign w:val="center"/>
          </w:tcPr>
          <w:p w14:paraId="65E58761" w14:textId="40F85E4A" w:rsidR="007C0D5C" w:rsidRPr="007E5ABB" w:rsidRDefault="007C0D5C" w:rsidP="007C0D5C">
            <w:pPr>
              <w:pStyle w:val="ColorfulList-Accent11"/>
              <w:tabs>
                <w:tab w:val="left" w:pos="0"/>
                <w:tab w:val="left" w:pos="284"/>
              </w:tabs>
              <w:ind w:left="0" w:right="-90"/>
              <w:jc w:val="center"/>
              <w:rPr>
                <w:rFonts w:ascii="Arial" w:hAnsi="Arial" w:cs="Arial"/>
                <w:sz w:val="18"/>
                <w:szCs w:val="18"/>
              </w:rPr>
            </w:pPr>
            <w:r w:rsidRPr="007E5ABB">
              <w:rPr>
                <w:rFonts w:ascii="Arial" w:hAnsi="Arial" w:cs="Arial"/>
                <w:sz w:val="18"/>
                <w:szCs w:val="18"/>
              </w:rPr>
              <w:t>(8</w:t>
            </w:r>
            <w:r w:rsidR="00460E4F" w:rsidRPr="007E5ABB">
              <w:rPr>
                <w:rFonts w:ascii="Arial" w:hAnsi="Arial" w:cs="Arial"/>
                <w:sz w:val="18"/>
                <w:szCs w:val="18"/>
              </w:rPr>
              <w:t>,</w:t>
            </w:r>
            <w:r w:rsidRPr="007E5ABB">
              <w:rPr>
                <w:rFonts w:ascii="Arial" w:hAnsi="Arial" w:cs="Arial"/>
                <w:sz w:val="18"/>
                <w:szCs w:val="18"/>
              </w:rPr>
              <w:t>6)</w:t>
            </w:r>
          </w:p>
        </w:tc>
      </w:tr>
      <w:tr w:rsidR="007C0D5C" w:rsidRPr="007E5ABB" w14:paraId="365C9FFC" w14:textId="77777777" w:rsidTr="00FB20CB">
        <w:trPr>
          <w:trHeight w:val="228"/>
        </w:trPr>
        <w:tc>
          <w:tcPr>
            <w:tcW w:w="5103" w:type="dxa"/>
            <w:tcBorders>
              <w:right w:val="single" w:sz="4" w:space="0" w:color="auto"/>
            </w:tcBorders>
            <w:vAlign w:val="center"/>
          </w:tcPr>
          <w:p w14:paraId="5139843E" w14:textId="0F9D5EF0" w:rsidR="007C0D5C" w:rsidRPr="007E5ABB" w:rsidRDefault="007C0D5C" w:rsidP="007C0D5C">
            <w:pPr>
              <w:pStyle w:val="ColorfulList-Accent11"/>
              <w:tabs>
                <w:tab w:val="left" w:pos="0"/>
                <w:tab w:val="left" w:pos="284"/>
              </w:tabs>
              <w:ind w:left="0" w:right="-90"/>
              <w:rPr>
                <w:rFonts w:ascii="Arial" w:hAnsi="Arial" w:cs="Arial"/>
                <w:sz w:val="18"/>
                <w:szCs w:val="18"/>
                <w:lang w:val="el-GR"/>
              </w:rPr>
            </w:pPr>
            <w:r w:rsidRPr="007E5ABB">
              <w:rPr>
                <w:rFonts w:ascii="Arial" w:hAnsi="Arial" w:cs="Arial"/>
                <w:sz w:val="18"/>
                <w:szCs w:val="18"/>
                <w:lang w:val="el-GR"/>
              </w:rPr>
              <w:t>Χρεωστικοί τόκοι και συναφή έξοδα καταβεβλημένα (πλην μισθώσεων)</w:t>
            </w:r>
          </w:p>
        </w:tc>
        <w:tc>
          <w:tcPr>
            <w:tcW w:w="1444" w:type="dxa"/>
            <w:tcBorders>
              <w:left w:val="single" w:sz="4" w:space="0" w:color="auto"/>
            </w:tcBorders>
            <w:vAlign w:val="center"/>
          </w:tcPr>
          <w:p w14:paraId="10B671BE" w14:textId="013BFBE5" w:rsidR="007C0D5C" w:rsidRPr="007E5ABB" w:rsidRDefault="007C0D5C" w:rsidP="007C0D5C">
            <w:pPr>
              <w:pStyle w:val="ColorfulList-Accent11"/>
              <w:tabs>
                <w:tab w:val="left" w:pos="0"/>
                <w:tab w:val="left" w:pos="284"/>
              </w:tabs>
              <w:ind w:left="0" w:right="-90"/>
              <w:jc w:val="center"/>
              <w:rPr>
                <w:rFonts w:ascii="Arial" w:hAnsi="Arial" w:cs="Arial"/>
                <w:b/>
                <w:i/>
                <w:color w:val="FF0000"/>
                <w:sz w:val="18"/>
                <w:szCs w:val="18"/>
              </w:rPr>
            </w:pPr>
            <w:r w:rsidRPr="007E5ABB">
              <w:rPr>
                <w:rFonts w:ascii="Arial" w:hAnsi="Arial" w:cs="Arial"/>
                <w:sz w:val="18"/>
                <w:szCs w:val="18"/>
              </w:rPr>
              <w:t>(6</w:t>
            </w:r>
            <w:r w:rsidR="00460E4F" w:rsidRPr="007E5ABB">
              <w:rPr>
                <w:rFonts w:ascii="Arial" w:hAnsi="Arial" w:cs="Arial"/>
                <w:sz w:val="18"/>
                <w:szCs w:val="18"/>
              </w:rPr>
              <w:t>,</w:t>
            </w:r>
            <w:r w:rsidRPr="007E5ABB">
              <w:rPr>
                <w:rFonts w:ascii="Arial" w:hAnsi="Arial" w:cs="Arial"/>
                <w:sz w:val="18"/>
                <w:szCs w:val="18"/>
              </w:rPr>
              <w:t>9)</w:t>
            </w:r>
          </w:p>
        </w:tc>
        <w:tc>
          <w:tcPr>
            <w:tcW w:w="1445" w:type="dxa"/>
            <w:tcBorders>
              <w:right w:val="single" w:sz="4" w:space="0" w:color="auto"/>
            </w:tcBorders>
            <w:vAlign w:val="center"/>
          </w:tcPr>
          <w:p w14:paraId="42364138" w14:textId="79F52768" w:rsidR="007C0D5C" w:rsidRPr="007E5ABB" w:rsidRDefault="007C0D5C" w:rsidP="007C0D5C">
            <w:pPr>
              <w:pStyle w:val="ColorfulList-Accent11"/>
              <w:tabs>
                <w:tab w:val="left" w:pos="0"/>
                <w:tab w:val="left" w:pos="284"/>
              </w:tabs>
              <w:ind w:left="0" w:right="-90"/>
              <w:jc w:val="center"/>
              <w:rPr>
                <w:rFonts w:ascii="Arial" w:hAnsi="Arial" w:cs="Arial"/>
                <w:b/>
                <w:i/>
                <w:color w:val="FF0000"/>
                <w:sz w:val="18"/>
                <w:szCs w:val="18"/>
              </w:rPr>
            </w:pPr>
            <w:r w:rsidRPr="007E5ABB">
              <w:rPr>
                <w:rFonts w:ascii="Arial" w:hAnsi="Arial" w:cs="Arial"/>
                <w:sz w:val="18"/>
                <w:szCs w:val="18"/>
              </w:rPr>
              <w:t>(7</w:t>
            </w:r>
            <w:r w:rsidR="00460E4F" w:rsidRPr="007E5ABB">
              <w:rPr>
                <w:rFonts w:ascii="Arial" w:hAnsi="Arial" w:cs="Arial"/>
                <w:sz w:val="18"/>
                <w:szCs w:val="18"/>
              </w:rPr>
              <w:t>,</w:t>
            </w:r>
            <w:r w:rsidRPr="007E5ABB">
              <w:rPr>
                <w:rFonts w:ascii="Arial" w:hAnsi="Arial" w:cs="Arial"/>
                <w:sz w:val="18"/>
                <w:szCs w:val="18"/>
              </w:rPr>
              <w:t>6)</w:t>
            </w:r>
          </w:p>
        </w:tc>
        <w:tc>
          <w:tcPr>
            <w:tcW w:w="1445" w:type="dxa"/>
            <w:tcBorders>
              <w:left w:val="single" w:sz="4" w:space="0" w:color="auto"/>
            </w:tcBorders>
            <w:vAlign w:val="center"/>
          </w:tcPr>
          <w:p w14:paraId="3670C7DA" w14:textId="07B1FB10" w:rsidR="007C0D5C" w:rsidRPr="007E5ABB" w:rsidRDefault="007C0D5C" w:rsidP="007C0D5C">
            <w:pPr>
              <w:pStyle w:val="ColorfulList-Accent11"/>
              <w:tabs>
                <w:tab w:val="left" w:pos="0"/>
                <w:tab w:val="left" w:pos="284"/>
              </w:tabs>
              <w:ind w:left="0" w:right="-90"/>
              <w:jc w:val="center"/>
              <w:rPr>
                <w:rFonts w:ascii="Arial" w:hAnsi="Arial" w:cs="Arial"/>
                <w:sz w:val="18"/>
                <w:szCs w:val="18"/>
              </w:rPr>
            </w:pPr>
            <w:r w:rsidRPr="007E5ABB">
              <w:rPr>
                <w:rFonts w:ascii="Arial" w:hAnsi="Arial" w:cs="Arial"/>
                <w:sz w:val="18"/>
                <w:szCs w:val="18"/>
              </w:rPr>
              <w:t>(12</w:t>
            </w:r>
            <w:r w:rsidR="00460E4F" w:rsidRPr="007E5ABB">
              <w:rPr>
                <w:rFonts w:ascii="Arial" w:hAnsi="Arial" w:cs="Arial"/>
                <w:sz w:val="18"/>
                <w:szCs w:val="18"/>
              </w:rPr>
              <w:t>,</w:t>
            </w:r>
            <w:r w:rsidRPr="007E5ABB">
              <w:rPr>
                <w:rFonts w:ascii="Arial" w:hAnsi="Arial" w:cs="Arial"/>
                <w:sz w:val="18"/>
                <w:szCs w:val="18"/>
              </w:rPr>
              <w:t>9)</w:t>
            </w:r>
          </w:p>
        </w:tc>
        <w:tc>
          <w:tcPr>
            <w:tcW w:w="1445" w:type="dxa"/>
            <w:vAlign w:val="center"/>
          </w:tcPr>
          <w:p w14:paraId="1FAFCD1D" w14:textId="60ADCF34" w:rsidR="007C0D5C" w:rsidRPr="007E5ABB" w:rsidRDefault="007C0D5C" w:rsidP="007C0D5C">
            <w:pPr>
              <w:pStyle w:val="ColorfulList-Accent11"/>
              <w:tabs>
                <w:tab w:val="left" w:pos="0"/>
                <w:tab w:val="left" w:pos="284"/>
              </w:tabs>
              <w:ind w:left="0" w:right="-90"/>
              <w:jc w:val="center"/>
              <w:rPr>
                <w:rFonts w:ascii="Arial" w:hAnsi="Arial" w:cs="Arial"/>
                <w:sz w:val="18"/>
                <w:szCs w:val="18"/>
              </w:rPr>
            </w:pPr>
            <w:r w:rsidRPr="007E5ABB">
              <w:rPr>
                <w:rFonts w:ascii="Arial" w:hAnsi="Arial" w:cs="Arial"/>
                <w:sz w:val="18"/>
                <w:szCs w:val="18"/>
              </w:rPr>
              <w:t>(13</w:t>
            </w:r>
            <w:r w:rsidR="00460E4F" w:rsidRPr="007E5ABB">
              <w:rPr>
                <w:rFonts w:ascii="Arial" w:hAnsi="Arial" w:cs="Arial"/>
                <w:sz w:val="18"/>
                <w:szCs w:val="18"/>
              </w:rPr>
              <w:t>,</w:t>
            </w:r>
            <w:r w:rsidRPr="007E5ABB">
              <w:rPr>
                <w:rFonts w:ascii="Arial" w:hAnsi="Arial" w:cs="Arial"/>
                <w:sz w:val="18"/>
                <w:szCs w:val="18"/>
              </w:rPr>
              <w:t>6)</w:t>
            </w:r>
          </w:p>
        </w:tc>
      </w:tr>
      <w:tr w:rsidR="007C0D5C" w:rsidRPr="007E5ABB" w14:paraId="3AABAD4B" w14:textId="77777777" w:rsidTr="00FB20CB">
        <w:trPr>
          <w:trHeight w:val="228"/>
        </w:trPr>
        <w:tc>
          <w:tcPr>
            <w:tcW w:w="5103" w:type="dxa"/>
            <w:tcBorders>
              <w:right w:val="single" w:sz="4" w:space="0" w:color="auto"/>
            </w:tcBorders>
            <w:vAlign w:val="center"/>
          </w:tcPr>
          <w:p w14:paraId="45A7672A" w14:textId="234FC4FA" w:rsidR="007C0D5C" w:rsidRPr="007E5ABB" w:rsidRDefault="007C0D5C" w:rsidP="007C0D5C">
            <w:pPr>
              <w:pStyle w:val="ColorfulList-Accent11"/>
              <w:tabs>
                <w:tab w:val="left" w:pos="0"/>
                <w:tab w:val="left" w:pos="284"/>
              </w:tabs>
              <w:ind w:left="0" w:right="-90"/>
              <w:rPr>
                <w:rFonts w:ascii="Arial" w:hAnsi="Arial" w:cs="Arial"/>
                <w:sz w:val="18"/>
                <w:szCs w:val="18"/>
              </w:rPr>
            </w:pPr>
            <w:proofErr w:type="spellStart"/>
            <w:r w:rsidRPr="007E5ABB">
              <w:rPr>
                <w:rFonts w:ascii="Arial" w:hAnsi="Arial" w:cs="Arial"/>
                <w:sz w:val="18"/>
                <w:szCs w:val="18"/>
              </w:rPr>
              <w:t>Τόκοι</w:t>
            </w:r>
            <w:proofErr w:type="spellEnd"/>
            <w:r w:rsidRPr="007E5ABB">
              <w:rPr>
                <w:rFonts w:ascii="Arial" w:hAnsi="Arial" w:cs="Arial"/>
                <w:sz w:val="18"/>
                <w:szCs w:val="18"/>
              </w:rPr>
              <w:t xml:space="preserve"> </w:t>
            </w:r>
            <w:proofErr w:type="spellStart"/>
            <w:r w:rsidRPr="007E5ABB">
              <w:rPr>
                <w:rFonts w:ascii="Arial" w:hAnsi="Arial" w:cs="Arial"/>
                <w:sz w:val="18"/>
                <w:szCs w:val="18"/>
              </w:rPr>
              <w:t>μισθώσεων</w:t>
            </w:r>
            <w:proofErr w:type="spellEnd"/>
            <w:r w:rsidRPr="007E5ABB">
              <w:rPr>
                <w:rFonts w:ascii="Arial" w:hAnsi="Arial" w:cs="Arial"/>
                <w:sz w:val="18"/>
                <w:szCs w:val="18"/>
              </w:rPr>
              <w:t xml:space="preserve"> καταβεβ</w:t>
            </w:r>
            <w:proofErr w:type="spellStart"/>
            <w:r w:rsidRPr="007E5ABB">
              <w:rPr>
                <w:rFonts w:ascii="Arial" w:hAnsi="Arial" w:cs="Arial"/>
                <w:sz w:val="18"/>
                <w:szCs w:val="18"/>
              </w:rPr>
              <w:t>λημένοι</w:t>
            </w:r>
            <w:proofErr w:type="spellEnd"/>
          </w:p>
        </w:tc>
        <w:tc>
          <w:tcPr>
            <w:tcW w:w="1444" w:type="dxa"/>
            <w:tcBorders>
              <w:left w:val="single" w:sz="4" w:space="0" w:color="auto"/>
            </w:tcBorders>
            <w:vAlign w:val="center"/>
          </w:tcPr>
          <w:p w14:paraId="31EE1BDF" w14:textId="2FDD34FE" w:rsidR="007C0D5C" w:rsidRPr="007E5ABB" w:rsidRDefault="007C0D5C" w:rsidP="007C0D5C">
            <w:pPr>
              <w:pStyle w:val="ColorfulList-Accent11"/>
              <w:tabs>
                <w:tab w:val="left" w:pos="0"/>
                <w:tab w:val="left" w:pos="284"/>
              </w:tabs>
              <w:ind w:left="0" w:right="-90"/>
              <w:jc w:val="center"/>
              <w:rPr>
                <w:rFonts w:ascii="Arial" w:hAnsi="Arial" w:cs="Arial"/>
                <w:b/>
                <w:i/>
                <w:color w:val="FF0000"/>
                <w:sz w:val="18"/>
                <w:szCs w:val="18"/>
              </w:rPr>
            </w:pPr>
            <w:r w:rsidRPr="007E5ABB">
              <w:rPr>
                <w:rFonts w:ascii="Arial" w:hAnsi="Arial" w:cs="Arial"/>
                <w:sz w:val="18"/>
                <w:szCs w:val="18"/>
              </w:rPr>
              <w:t>(1</w:t>
            </w:r>
            <w:r w:rsidR="00460E4F" w:rsidRPr="007E5ABB">
              <w:rPr>
                <w:rFonts w:ascii="Arial" w:hAnsi="Arial" w:cs="Arial"/>
                <w:sz w:val="18"/>
                <w:szCs w:val="18"/>
              </w:rPr>
              <w:t>,</w:t>
            </w:r>
            <w:r w:rsidRPr="007E5ABB">
              <w:rPr>
                <w:rFonts w:ascii="Arial" w:hAnsi="Arial" w:cs="Arial"/>
                <w:sz w:val="18"/>
                <w:szCs w:val="18"/>
              </w:rPr>
              <w:t>9)</w:t>
            </w:r>
          </w:p>
        </w:tc>
        <w:tc>
          <w:tcPr>
            <w:tcW w:w="1445" w:type="dxa"/>
            <w:tcBorders>
              <w:right w:val="single" w:sz="4" w:space="0" w:color="auto"/>
            </w:tcBorders>
            <w:vAlign w:val="center"/>
          </w:tcPr>
          <w:p w14:paraId="16AFF5A8" w14:textId="37DA48B0" w:rsidR="007C0D5C" w:rsidRPr="007E5ABB" w:rsidRDefault="007C0D5C" w:rsidP="007C0D5C">
            <w:pPr>
              <w:pStyle w:val="ColorfulList-Accent11"/>
              <w:tabs>
                <w:tab w:val="left" w:pos="0"/>
                <w:tab w:val="left" w:pos="284"/>
              </w:tabs>
              <w:ind w:left="0" w:right="-90"/>
              <w:jc w:val="center"/>
              <w:rPr>
                <w:rFonts w:ascii="Arial" w:hAnsi="Arial" w:cs="Arial"/>
                <w:b/>
                <w:i/>
                <w:color w:val="FF0000"/>
                <w:sz w:val="18"/>
                <w:szCs w:val="18"/>
              </w:rPr>
            </w:pPr>
            <w:r w:rsidRPr="007E5ABB">
              <w:rPr>
                <w:rFonts w:ascii="Arial" w:hAnsi="Arial" w:cs="Arial"/>
                <w:sz w:val="18"/>
                <w:szCs w:val="18"/>
              </w:rPr>
              <w:t>(1</w:t>
            </w:r>
            <w:r w:rsidR="00460E4F" w:rsidRPr="007E5ABB">
              <w:rPr>
                <w:rFonts w:ascii="Arial" w:hAnsi="Arial" w:cs="Arial"/>
                <w:sz w:val="18"/>
                <w:szCs w:val="18"/>
              </w:rPr>
              <w:t>,</w:t>
            </w:r>
            <w:r w:rsidRPr="007E5ABB">
              <w:rPr>
                <w:rFonts w:ascii="Arial" w:hAnsi="Arial" w:cs="Arial"/>
                <w:sz w:val="18"/>
                <w:szCs w:val="18"/>
              </w:rPr>
              <w:t>8)</w:t>
            </w:r>
          </w:p>
        </w:tc>
        <w:tc>
          <w:tcPr>
            <w:tcW w:w="1445" w:type="dxa"/>
            <w:tcBorders>
              <w:left w:val="single" w:sz="4" w:space="0" w:color="auto"/>
            </w:tcBorders>
            <w:vAlign w:val="center"/>
          </w:tcPr>
          <w:p w14:paraId="776FF7FB" w14:textId="022EDAB4" w:rsidR="007C0D5C" w:rsidRPr="007E5ABB" w:rsidRDefault="007C0D5C" w:rsidP="007C0D5C">
            <w:pPr>
              <w:pStyle w:val="ColorfulList-Accent11"/>
              <w:tabs>
                <w:tab w:val="left" w:pos="0"/>
                <w:tab w:val="left" w:pos="284"/>
              </w:tabs>
              <w:ind w:left="0" w:right="-90"/>
              <w:jc w:val="center"/>
              <w:rPr>
                <w:rFonts w:ascii="Arial" w:hAnsi="Arial" w:cs="Arial"/>
                <w:sz w:val="18"/>
                <w:szCs w:val="18"/>
              </w:rPr>
            </w:pPr>
            <w:r w:rsidRPr="007E5ABB">
              <w:rPr>
                <w:rFonts w:ascii="Arial" w:hAnsi="Arial" w:cs="Arial"/>
                <w:sz w:val="18"/>
                <w:szCs w:val="18"/>
              </w:rPr>
              <w:t>(5</w:t>
            </w:r>
            <w:r w:rsidR="00460E4F" w:rsidRPr="007E5ABB">
              <w:rPr>
                <w:rFonts w:ascii="Arial" w:hAnsi="Arial" w:cs="Arial"/>
                <w:sz w:val="18"/>
                <w:szCs w:val="18"/>
              </w:rPr>
              <w:t>,</w:t>
            </w:r>
            <w:r w:rsidRPr="007E5ABB">
              <w:rPr>
                <w:rFonts w:ascii="Arial" w:hAnsi="Arial" w:cs="Arial"/>
                <w:sz w:val="18"/>
                <w:szCs w:val="18"/>
              </w:rPr>
              <w:t>7)</w:t>
            </w:r>
          </w:p>
        </w:tc>
        <w:tc>
          <w:tcPr>
            <w:tcW w:w="1445" w:type="dxa"/>
            <w:vAlign w:val="center"/>
          </w:tcPr>
          <w:p w14:paraId="1D89631A" w14:textId="51F44423" w:rsidR="007C0D5C" w:rsidRPr="007E5ABB" w:rsidRDefault="007C0D5C" w:rsidP="007C0D5C">
            <w:pPr>
              <w:pStyle w:val="ColorfulList-Accent11"/>
              <w:tabs>
                <w:tab w:val="left" w:pos="0"/>
                <w:tab w:val="left" w:pos="284"/>
              </w:tabs>
              <w:ind w:left="0" w:right="-90"/>
              <w:jc w:val="center"/>
              <w:rPr>
                <w:rFonts w:ascii="Arial" w:hAnsi="Arial" w:cs="Arial"/>
                <w:sz w:val="18"/>
                <w:szCs w:val="18"/>
              </w:rPr>
            </w:pPr>
            <w:r w:rsidRPr="007E5ABB">
              <w:rPr>
                <w:rFonts w:ascii="Arial" w:hAnsi="Arial" w:cs="Arial"/>
                <w:sz w:val="18"/>
                <w:szCs w:val="18"/>
              </w:rPr>
              <w:t>(5</w:t>
            </w:r>
            <w:r w:rsidR="00460E4F" w:rsidRPr="007E5ABB">
              <w:rPr>
                <w:rFonts w:ascii="Arial" w:hAnsi="Arial" w:cs="Arial"/>
                <w:sz w:val="18"/>
                <w:szCs w:val="18"/>
              </w:rPr>
              <w:t>,</w:t>
            </w:r>
            <w:r w:rsidRPr="007E5ABB">
              <w:rPr>
                <w:rFonts w:ascii="Arial" w:hAnsi="Arial" w:cs="Arial"/>
                <w:sz w:val="18"/>
                <w:szCs w:val="18"/>
              </w:rPr>
              <w:t>5)</w:t>
            </w:r>
          </w:p>
        </w:tc>
      </w:tr>
      <w:tr w:rsidR="001E2B78" w:rsidRPr="007E5ABB" w14:paraId="18E612D8" w14:textId="77777777" w:rsidTr="00FB20CB">
        <w:trPr>
          <w:trHeight w:val="160"/>
        </w:trPr>
        <w:tc>
          <w:tcPr>
            <w:tcW w:w="5103" w:type="dxa"/>
            <w:tcBorders>
              <w:bottom w:val="single" w:sz="4" w:space="0" w:color="auto"/>
              <w:right w:val="single" w:sz="4" w:space="0" w:color="auto"/>
            </w:tcBorders>
            <w:shd w:val="clear" w:color="auto" w:fill="FFFFFF" w:themeFill="background1"/>
            <w:vAlign w:val="center"/>
          </w:tcPr>
          <w:p w14:paraId="5107E5F3" w14:textId="1357302C" w:rsidR="007C0D5C" w:rsidRPr="007E5ABB" w:rsidRDefault="007C0D5C" w:rsidP="007C0D5C">
            <w:pPr>
              <w:pStyle w:val="ColorfulList-Accent11"/>
              <w:tabs>
                <w:tab w:val="left" w:pos="0"/>
                <w:tab w:val="left" w:pos="284"/>
              </w:tabs>
              <w:ind w:left="0" w:right="-90"/>
              <w:rPr>
                <w:rFonts w:ascii="Arial" w:hAnsi="Arial" w:cs="Arial"/>
                <w:sz w:val="18"/>
                <w:szCs w:val="18"/>
                <w:lang w:val="el-GR"/>
              </w:rPr>
            </w:pPr>
            <w:r w:rsidRPr="007E5ABB">
              <w:rPr>
                <w:rFonts w:ascii="Arial" w:hAnsi="Arial" w:cs="Arial"/>
                <w:sz w:val="18"/>
                <w:szCs w:val="18"/>
                <w:lang w:val="el-GR"/>
              </w:rPr>
              <w:t>Φόρος εισοδήματος (καταβεβλημένος)/εισπραγμένος</w:t>
            </w:r>
          </w:p>
        </w:tc>
        <w:tc>
          <w:tcPr>
            <w:tcW w:w="1444" w:type="dxa"/>
            <w:tcBorders>
              <w:left w:val="single" w:sz="4" w:space="0" w:color="auto"/>
              <w:bottom w:val="single" w:sz="4" w:space="0" w:color="auto"/>
            </w:tcBorders>
            <w:shd w:val="clear" w:color="auto" w:fill="FFFFFF" w:themeFill="background1"/>
            <w:vAlign w:val="center"/>
          </w:tcPr>
          <w:p w14:paraId="68AFEE4F" w14:textId="0E221427" w:rsidR="007C0D5C" w:rsidRPr="007E5ABB" w:rsidRDefault="007C0D5C" w:rsidP="007C0D5C">
            <w:pPr>
              <w:pStyle w:val="ColorfulList-Accent11"/>
              <w:tabs>
                <w:tab w:val="left" w:pos="0"/>
                <w:tab w:val="left" w:pos="284"/>
              </w:tabs>
              <w:ind w:left="0" w:right="-90"/>
              <w:jc w:val="center"/>
              <w:rPr>
                <w:rFonts w:ascii="Arial" w:hAnsi="Arial" w:cs="Arial"/>
                <w:sz w:val="18"/>
                <w:szCs w:val="18"/>
                <w:lang w:val="el-GR"/>
              </w:rPr>
            </w:pPr>
            <w:r w:rsidRPr="007E5ABB">
              <w:rPr>
                <w:rFonts w:ascii="Arial" w:hAnsi="Arial" w:cs="Arial"/>
                <w:sz w:val="18"/>
                <w:szCs w:val="18"/>
              </w:rPr>
              <w:t>(41</w:t>
            </w:r>
            <w:r w:rsidR="00460E4F" w:rsidRPr="007E5ABB">
              <w:rPr>
                <w:rFonts w:ascii="Arial" w:hAnsi="Arial" w:cs="Arial"/>
                <w:sz w:val="18"/>
                <w:szCs w:val="18"/>
              </w:rPr>
              <w:t>,</w:t>
            </w:r>
            <w:r w:rsidRPr="007E5ABB">
              <w:rPr>
                <w:rFonts w:ascii="Arial" w:hAnsi="Arial" w:cs="Arial"/>
                <w:sz w:val="18"/>
                <w:szCs w:val="18"/>
              </w:rPr>
              <w:t>1)</w:t>
            </w:r>
          </w:p>
        </w:tc>
        <w:tc>
          <w:tcPr>
            <w:tcW w:w="1445" w:type="dxa"/>
            <w:tcBorders>
              <w:bottom w:val="single" w:sz="4" w:space="0" w:color="auto"/>
              <w:right w:val="single" w:sz="4" w:space="0" w:color="auto"/>
            </w:tcBorders>
            <w:shd w:val="clear" w:color="auto" w:fill="FFFFFF" w:themeFill="background1"/>
            <w:vAlign w:val="center"/>
          </w:tcPr>
          <w:p w14:paraId="40563AB2" w14:textId="61D85E48" w:rsidR="007C0D5C" w:rsidRPr="007E5ABB" w:rsidRDefault="007C0D5C" w:rsidP="007C0D5C">
            <w:pPr>
              <w:pStyle w:val="ColorfulList-Accent11"/>
              <w:tabs>
                <w:tab w:val="left" w:pos="0"/>
                <w:tab w:val="left" w:pos="284"/>
              </w:tabs>
              <w:ind w:left="0" w:right="-90"/>
              <w:jc w:val="center"/>
              <w:rPr>
                <w:rFonts w:ascii="Arial" w:hAnsi="Arial" w:cs="Arial"/>
                <w:sz w:val="18"/>
                <w:szCs w:val="18"/>
                <w:lang w:val="el-GR"/>
              </w:rPr>
            </w:pPr>
            <w:r w:rsidRPr="007E5ABB">
              <w:rPr>
                <w:rFonts w:ascii="Arial" w:hAnsi="Arial" w:cs="Arial"/>
                <w:sz w:val="18"/>
                <w:szCs w:val="18"/>
              </w:rPr>
              <w:t>(53</w:t>
            </w:r>
            <w:r w:rsidR="00460E4F" w:rsidRPr="007E5ABB">
              <w:rPr>
                <w:rFonts w:ascii="Arial" w:hAnsi="Arial" w:cs="Arial"/>
                <w:sz w:val="18"/>
                <w:szCs w:val="18"/>
              </w:rPr>
              <w:t>,</w:t>
            </w:r>
            <w:r w:rsidRPr="007E5ABB">
              <w:rPr>
                <w:rFonts w:ascii="Arial" w:hAnsi="Arial" w:cs="Arial"/>
                <w:sz w:val="18"/>
                <w:szCs w:val="18"/>
              </w:rPr>
              <w:t>7)</w:t>
            </w:r>
          </w:p>
        </w:tc>
        <w:tc>
          <w:tcPr>
            <w:tcW w:w="1445" w:type="dxa"/>
            <w:tcBorders>
              <w:left w:val="single" w:sz="4" w:space="0" w:color="auto"/>
              <w:bottom w:val="single" w:sz="4" w:space="0" w:color="auto"/>
            </w:tcBorders>
            <w:shd w:val="clear" w:color="auto" w:fill="FFFFFF" w:themeFill="background1"/>
            <w:vAlign w:val="center"/>
          </w:tcPr>
          <w:p w14:paraId="47168B04" w14:textId="3D80EE4C" w:rsidR="007C0D5C" w:rsidRPr="007E5ABB" w:rsidRDefault="007C0D5C" w:rsidP="007C0D5C">
            <w:pPr>
              <w:pStyle w:val="ColorfulList-Accent11"/>
              <w:tabs>
                <w:tab w:val="left" w:pos="0"/>
                <w:tab w:val="left" w:pos="284"/>
              </w:tabs>
              <w:ind w:left="0" w:right="-90"/>
              <w:jc w:val="center"/>
              <w:rPr>
                <w:rFonts w:ascii="Arial" w:hAnsi="Arial" w:cs="Arial"/>
                <w:sz w:val="18"/>
                <w:szCs w:val="18"/>
                <w:lang w:val="el-GR"/>
              </w:rPr>
            </w:pPr>
            <w:r w:rsidRPr="007E5ABB">
              <w:rPr>
                <w:rFonts w:ascii="Arial" w:hAnsi="Arial" w:cs="Arial"/>
                <w:sz w:val="18"/>
                <w:szCs w:val="18"/>
              </w:rPr>
              <w:t>1</w:t>
            </w:r>
            <w:r w:rsidR="00460E4F" w:rsidRPr="007E5ABB">
              <w:rPr>
                <w:rFonts w:ascii="Arial" w:hAnsi="Arial" w:cs="Arial"/>
                <w:sz w:val="18"/>
                <w:szCs w:val="18"/>
              </w:rPr>
              <w:t>,</w:t>
            </w:r>
            <w:r w:rsidRPr="007E5ABB">
              <w:rPr>
                <w:rFonts w:ascii="Arial" w:hAnsi="Arial" w:cs="Arial"/>
                <w:sz w:val="18"/>
                <w:szCs w:val="18"/>
              </w:rPr>
              <w:t>2</w:t>
            </w:r>
          </w:p>
        </w:tc>
        <w:tc>
          <w:tcPr>
            <w:tcW w:w="1445" w:type="dxa"/>
            <w:tcBorders>
              <w:bottom w:val="single" w:sz="4" w:space="0" w:color="auto"/>
            </w:tcBorders>
            <w:shd w:val="clear" w:color="auto" w:fill="FFFFFF" w:themeFill="background1"/>
            <w:vAlign w:val="center"/>
          </w:tcPr>
          <w:p w14:paraId="46DFF5D0" w14:textId="04ABB35F" w:rsidR="007C0D5C" w:rsidRPr="007E5ABB" w:rsidRDefault="007C0D5C" w:rsidP="007C0D5C">
            <w:pPr>
              <w:pStyle w:val="ColorfulList-Accent11"/>
              <w:tabs>
                <w:tab w:val="left" w:pos="0"/>
                <w:tab w:val="left" w:pos="284"/>
              </w:tabs>
              <w:ind w:left="0" w:right="-90"/>
              <w:jc w:val="center"/>
              <w:rPr>
                <w:rFonts w:ascii="Arial" w:hAnsi="Arial" w:cs="Arial"/>
                <w:sz w:val="18"/>
                <w:szCs w:val="18"/>
                <w:lang w:val="el-GR"/>
              </w:rPr>
            </w:pPr>
            <w:r w:rsidRPr="007E5ABB">
              <w:rPr>
                <w:rFonts w:ascii="Arial" w:hAnsi="Arial" w:cs="Arial"/>
                <w:sz w:val="18"/>
                <w:szCs w:val="18"/>
              </w:rPr>
              <w:t>(106</w:t>
            </w:r>
            <w:r w:rsidR="00460E4F" w:rsidRPr="007E5ABB">
              <w:rPr>
                <w:rFonts w:ascii="Arial" w:hAnsi="Arial" w:cs="Arial"/>
                <w:sz w:val="18"/>
                <w:szCs w:val="18"/>
              </w:rPr>
              <w:t>,</w:t>
            </w:r>
            <w:r w:rsidRPr="007E5ABB">
              <w:rPr>
                <w:rFonts w:ascii="Arial" w:hAnsi="Arial" w:cs="Arial"/>
                <w:sz w:val="18"/>
                <w:szCs w:val="18"/>
              </w:rPr>
              <w:t>7)</w:t>
            </w:r>
          </w:p>
        </w:tc>
      </w:tr>
      <w:tr w:rsidR="001E2B78" w:rsidRPr="007E5ABB" w14:paraId="722DB04C" w14:textId="77777777" w:rsidTr="00FB20CB">
        <w:trPr>
          <w:trHeight w:val="360"/>
        </w:trPr>
        <w:tc>
          <w:tcPr>
            <w:tcW w:w="5103" w:type="dxa"/>
            <w:tcBorders>
              <w:bottom w:val="single" w:sz="4" w:space="0" w:color="auto"/>
              <w:right w:val="single" w:sz="4" w:space="0" w:color="auto"/>
            </w:tcBorders>
            <w:shd w:val="clear" w:color="auto" w:fill="FFFFFF" w:themeFill="background1"/>
            <w:vAlign w:val="center"/>
          </w:tcPr>
          <w:p w14:paraId="73004D15" w14:textId="04F40271" w:rsidR="007C0D5C" w:rsidRPr="007E5ABB" w:rsidRDefault="007C0D5C" w:rsidP="005D0709">
            <w:pPr>
              <w:pStyle w:val="Default"/>
              <w:rPr>
                <w:rFonts w:ascii="Arial" w:hAnsi="Arial" w:cs="Arial"/>
                <w:sz w:val="18"/>
                <w:szCs w:val="18"/>
                <w:lang w:val="el-GR"/>
              </w:rPr>
            </w:pPr>
            <w:r w:rsidRPr="00FB20CB">
              <w:rPr>
                <w:rFonts w:ascii="Arial" w:hAnsi="Arial" w:cs="Arial"/>
                <w:sz w:val="18"/>
                <w:szCs w:val="18"/>
                <w:lang w:val="el-GR"/>
              </w:rPr>
              <w:t xml:space="preserve">Καθαρές ταμειακές ροές από λειτουργικές δραστηριότητες διακοπεισών δραστηριοτήτων </w:t>
            </w:r>
          </w:p>
        </w:tc>
        <w:tc>
          <w:tcPr>
            <w:tcW w:w="1444" w:type="dxa"/>
            <w:tcBorders>
              <w:left w:val="single" w:sz="4" w:space="0" w:color="auto"/>
              <w:bottom w:val="single" w:sz="4" w:space="0" w:color="auto"/>
            </w:tcBorders>
            <w:shd w:val="clear" w:color="auto" w:fill="FFFFFF" w:themeFill="background1"/>
            <w:vAlign w:val="center"/>
          </w:tcPr>
          <w:p w14:paraId="6D9A0248" w14:textId="70AAFFB7" w:rsidR="007C0D5C" w:rsidRPr="007E5ABB" w:rsidRDefault="007C0D5C" w:rsidP="007C0D5C">
            <w:pPr>
              <w:pStyle w:val="ColorfulList-Accent11"/>
              <w:tabs>
                <w:tab w:val="left" w:pos="0"/>
                <w:tab w:val="left" w:pos="284"/>
              </w:tabs>
              <w:ind w:left="0" w:right="-90"/>
              <w:jc w:val="center"/>
              <w:rPr>
                <w:rFonts w:ascii="Arial" w:hAnsi="Arial" w:cs="Arial"/>
                <w:sz w:val="18"/>
                <w:szCs w:val="18"/>
                <w:lang w:val="el-GR"/>
              </w:rPr>
            </w:pPr>
            <w:r w:rsidRPr="007E5ABB">
              <w:rPr>
                <w:rFonts w:ascii="Arial" w:hAnsi="Arial" w:cs="Arial"/>
                <w:sz w:val="18"/>
                <w:szCs w:val="18"/>
              </w:rPr>
              <w:t>(27</w:t>
            </w:r>
            <w:r w:rsidR="00460E4F" w:rsidRPr="007E5ABB">
              <w:rPr>
                <w:rFonts w:ascii="Arial" w:hAnsi="Arial" w:cs="Arial"/>
                <w:sz w:val="18"/>
                <w:szCs w:val="18"/>
              </w:rPr>
              <w:t>,</w:t>
            </w:r>
            <w:r w:rsidRPr="007E5ABB">
              <w:rPr>
                <w:rFonts w:ascii="Arial" w:hAnsi="Arial" w:cs="Arial"/>
                <w:sz w:val="18"/>
                <w:szCs w:val="18"/>
              </w:rPr>
              <w:t>1)</w:t>
            </w:r>
          </w:p>
        </w:tc>
        <w:tc>
          <w:tcPr>
            <w:tcW w:w="1445" w:type="dxa"/>
            <w:tcBorders>
              <w:bottom w:val="single" w:sz="4" w:space="0" w:color="auto"/>
              <w:right w:val="single" w:sz="4" w:space="0" w:color="auto"/>
            </w:tcBorders>
            <w:shd w:val="clear" w:color="auto" w:fill="FFFFFF" w:themeFill="background1"/>
            <w:vAlign w:val="center"/>
          </w:tcPr>
          <w:p w14:paraId="48567479" w14:textId="1642B21A" w:rsidR="007C0D5C" w:rsidRPr="007E5ABB" w:rsidRDefault="007C0D5C" w:rsidP="007C0D5C">
            <w:pPr>
              <w:pStyle w:val="ColorfulList-Accent11"/>
              <w:tabs>
                <w:tab w:val="left" w:pos="0"/>
                <w:tab w:val="left" w:pos="284"/>
              </w:tabs>
              <w:ind w:left="0" w:right="-90"/>
              <w:jc w:val="center"/>
              <w:rPr>
                <w:rFonts w:ascii="Arial" w:hAnsi="Arial" w:cs="Arial"/>
                <w:sz w:val="18"/>
                <w:szCs w:val="18"/>
                <w:lang w:val="el-GR"/>
              </w:rPr>
            </w:pPr>
            <w:r w:rsidRPr="007E5ABB">
              <w:rPr>
                <w:rFonts w:ascii="Arial" w:hAnsi="Arial" w:cs="Arial"/>
                <w:sz w:val="18"/>
                <w:szCs w:val="18"/>
              </w:rPr>
              <w:t>7</w:t>
            </w:r>
            <w:r w:rsidR="00460E4F" w:rsidRPr="007E5ABB">
              <w:rPr>
                <w:rFonts w:ascii="Arial" w:hAnsi="Arial" w:cs="Arial"/>
                <w:sz w:val="18"/>
                <w:szCs w:val="18"/>
              </w:rPr>
              <w:t>,</w:t>
            </w:r>
            <w:r w:rsidRPr="007E5ABB">
              <w:rPr>
                <w:rFonts w:ascii="Arial" w:hAnsi="Arial" w:cs="Arial"/>
                <w:sz w:val="18"/>
                <w:szCs w:val="18"/>
              </w:rPr>
              <w:t>2</w:t>
            </w:r>
          </w:p>
        </w:tc>
        <w:tc>
          <w:tcPr>
            <w:tcW w:w="1445" w:type="dxa"/>
            <w:tcBorders>
              <w:left w:val="single" w:sz="4" w:space="0" w:color="auto"/>
              <w:bottom w:val="single" w:sz="4" w:space="0" w:color="auto"/>
            </w:tcBorders>
            <w:shd w:val="clear" w:color="auto" w:fill="FFFFFF" w:themeFill="background1"/>
            <w:vAlign w:val="center"/>
          </w:tcPr>
          <w:p w14:paraId="37BF2A96" w14:textId="0BE1F85B" w:rsidR="007C0D5C" w:rsidRPr="007E5ABB" w:rsidRDefault="007C0D5C" w:rsidP="007C0D5C">
            <w:pPr>
              <w:pStyle w:val="ColorfulList-Accent11"/>
              <w:tabs>
                <w:tab w:val="left" w:pos="0"/>
                <w:tab w:val="left" w:pos="284"/>
              </w:tabs>
              <w:ind w:left="0" w:right="-90"/>
              <w:jc w:val="center"/>
              <w:rPr>
                <w:rFonts w:ascii="Arial" w:hAnsi="Arial" w:cs="Arial"/>
                <w:sz w:val="18"/>
                <w:szCs w:val="18"/>
                <w:lang w:val="el-GR"/>
              </w:rPr>
            </w:pPr>
            <w:r w:rsidRPr="007E5ABB">
              <w:rPr>
                <w:rFonts w:ascii="Arial" w:hAnsi="Arial" w:cs="Arial"/>
                <w:sz w:val="18"/>
                <w:szCs w:val="18"/>
              </w:rPr>
              <w:t>(18</w:t>
            </w:r>
            <w:r w:rsidR="00460E4F" w:rsidRPr="007E5ABB">
              <w:rPr>
                <w:rFonts w:ascii="Arial" w:hAnsi="Arial" w:cs="Arial"/>
                <w:sz w:val="18"/>
                <w:szCs w:val="18"/>
              </w:rPr>
              <w:t>,</w:t>
            </w:r>
            <w:r w:rsidRPr="007E5ABB">
              <w:rPr>
                <w:rFonts w:ascii="Arial" w:hAnsi="Arial" w:cs="Arial"/>
                <w:sz w:val="18"/>
                <w:szCs w:val="18"/>
              </w:rPr>
              <w:t>6)</w:t>
            </w:r>
          </w:p>
        </w:tc>
        <w:tc>
          <w:tcPr>
            <w:tcW w:w="1445" w:type="dxa"/>
            <w:tcBorders>
              <w:bottom w:val="single" w:sz="4" w:space="0" w:color="auto"/>
            </w:tcBorders>
            <w:shd w:val="clear" w:color="auto" w:fill="FFFFFF" w:themeFill="background1"/>
            <w:vAlign w:val="center"/>
          </w:tcPr>
          <w:p w14:paraId="3BD19429" w14:textId="17B756C8" w:rsidR="007C0D5C" w:rsidRPr="007E5ABB" w:rsidRDefault="007C0D5C" w:rsidP="007C0D5C">
            <w:pPr>
              <w:pStyle w:val="ColorfulList-Accent11"/>
              <w:tabs>
                <w:tab w:val="left" w:pos="0"/>
                <w:tab w:val="left" w:pos="284"/>
              </w:tabs>
              <w:ind w:left="0" w:right="-90"/>
              <w:jc w:val="center"/>
              <w:rPr>
                <w:rFonts w:ascii="Arial" w:hAnsi="Arial" w:cs="Arial"/>
                <w:sz w:val="18"/>
                <w:szCs w:val="18"/>
                <w:lang w:val="el-GR"/>
              </w:rPr>
            </w:pPr>
            <w:r w:rsidRPr="007E5ABB">
              <w:rPr>
                <w:rFonts w:ascii="Arial" w:hAnsi="Arial" w:cs="Arial"/>
                <w:sz w:val="18"/>
                <w:szCs w:val="18"/>
              </w:rPr>
              <w:t>10</w:t>
            </w:r>
            <w:r w:rsidR="00460E4F" w:rsidRPr="007E5ABB">
              <w:rPr>
                <w:rFonts w:ascii="Arial" w:hAnsi="Arial" w:cs="Arial"/>
                <w:sz w:val="18"/>
                <w:szCs w:val="18"/>
              </w:rPr>
              <w:t>,</w:t>
            </w:r>
            <w:r w:rsidRPr="007E5ABB">
              <w:rPr>
                <w:rFonts w:ascii="Arial" w:hAnsi="Arial" w:cs="Arial"/>
                <w:sz w:val="18"/>
                <w:szCs w:val="18"/>
              </w:rPr>
              <w:t>2</w:t>
            </w:r>
          </w:p>
        </w:tc>
      </w:tr>
      <w:tr w:rsidR="001E2B78" w:rsidRPr="007E5ABB" w14:paraId="382CBE3C" w14:textId="77777777" w:rsidTr="00FB20CB">
        <w:trPr>
          <w:trHeight w:val="401"/>
        </w:trPr>
        <w:tc>
          <w:tcPr>
            <w:tcW w:w="5103" w:type="dxa"/>
            <w:tcBorders>
              <w:top w:val="single" w:sz="4" w:space="0" w:color="auto"/>
              <w:bottom w:val="single" w:sz="4" w:space="0" w:color="auto"/>
              <w:right w:val="single" w:sz="4" w:space="0" w:color="auto"/>
            </w:tcBorders>
            <w:shd w:val="clear" w:color="auto" w:fill="F2F2F2" w:themeFill="background1" w:themeFillShade="F2"/>
            <w:vAlign w:val="center"/>
          </w:tcPr>
          <w:p w14:paraId="5BDE849D" w14:textId="4A7A5D68" w:rsidR="007C0D5C" w:rsidRPr="007E5ABB" w:rsidRDefault="007C0D5C" w:rsidP="007C0D5C">
            <w:pPr>
              <w:pStyle w:val="ColorfulList-Accent11"/>
              <w:tabs>
                <w:tab w:val="left" w:pos="0"/>
                <w:tab w:val="left" w:pos="284"/>
              </w:tabs>
              <w:ind w:left="0" w:right="-90"/>
              <w:rPr>
                <w:rFonts w:ascii="Arial" w:hAnsi="Arial" w:cs="Arial"/>
                <w:b/>
                <w:sz w:val="18"/>
                <w:szCs w:val="18"/>
                <w:lang w:val="el-GR"/>
              </w:rPr>
            </w:pPr>
            <w:r w:rsidRPr="007E5ABB">
              <w:rPr>
                <w:rFonts w:ascii="Arial" w:hAnsi="Arial" w:cs="Arial"/>
                <w:b/>
                <w:sz w:val="18"/>
                <w:szCs w:val="18"/>
                <w:lang w:val="el-GR"/>
              </w:rPr>
              <w:t>Καθαρές ταμειακές εισροές από λειτουργικές δραστηριότητες</w:t>
            </w:r>
          </w:p>
        </w:tc>
        <w:tc>
          <w:tcPr>
            <w:tcW w:w="1444" w:type="dxa"/>
            <w:tcBorders>
              <w:top w:val="single" w:sz="4" w:space="0" w:color="auto"/>
              <w:left w:val="single" w:sz="4" w:space="0" w:color="auto"/>
              <w:bottom w:val="single" w:sz="4" w:space="0" w:color="auto"/>
            </w:tcBorders>
            <w:shd w:val="clear" w:color="auto" w:fill="F2F2F2" w:themeFill="background1" w:themeFillShade="F2"/>
            <w:vAlign w:val="center"/>
          </w:tcPr>
          <w:p w14:paraId="00AB4899" w14:textId="6F88E722" w:rsidR="007C0D5C" w:rsidRPr="007E5ABB" w:rsidRDefault="007C0D5C" w:rsidP="007C0D5C">
            <w:pPr>
              <w:pStyle w:val="ColorfulList-Accent11"/>
              <w:tabs>
                <w:tab w:val="left" w:pos="0"/>
                <w:tab w:val="left" w:pos="284"/>
              </w:tabs>
              <w:ind w:left="0" w:right="-90"/>
              <w:jc w:val="center"/>
              <w:rPr>
                <w:rFonts w:ascii="Arial" w:hAnsi="Arial" w:cs="Arial"/>
                <w:b/>
                <w:sz w:val="18"/>
                <w:szCs w:val="18"/>
                <w:lang w:val="el-GR"/>
              </w:rPr>
            </w:pPr>
            <w:r w:rsidRPr="007E5ABB">
              <w:rPr>
                <w:rFonts w:ascii="Arial" w:hAnsi="Arial" w:cs="Arial"/>
                <w:b/>
                <w:bCs/>
                <w:sz w:val="18"/>
                <w:szCs w:val="18"/>
              </w:rPr>
              <w:t>240</w:t>
            </w:r>
            <w:r w:rsidR="00460E4F" w:rsidRPr="007E5ABB">
              <w:rPr>
                <w:rFonts w:ascii="Arial" w:hAnsi="Arial" w:cs="Arial"/>
                <w:b/>
                <w:bCs/>
                <w:sz w:val="18"/>
                <w:szCs w:val="18"/>
              </w:rPr>
              <w:t>,</w:t>
            </w:r>
            <w:r w:rsidRPr="007E5ABB">
              <w:rPr>
                <w:rFonts w:ascii="Arial" w:hAnsi="Arial" w:cs="Arial"/>
                <w:b/>
                <w:bCs/>
                <w:sz w:val="18"/>
                <w:szCs w:val="18"/>
              </w:rPr>
              <w:t>4</w:t>
            </w:r>
          </w:p>
        </w:tc>
        <w:tc>
          <w:tcPr>
            <w:tcW w:w="1445" w:type="dxa"/>
            <w:tcBorders>
              <w:top w:val="single" w:sz="4" w:space="0" w:color="auto"/>
              <w:bottom w:val="single" w:sz="4" w:space="0" w:color="auto"/>
              <w:right w:val="single" w:sz="4" w:space="0" w:color="auto"/>
            </w:tcBorders>
            <w:shd w:val="clear" w:color="auto" w:fill="F2F2F2" w:themeFill="background1" w:themeFillShade="F2"/>
            <w:vAlign w:val="center"/>
          </w:tcPr>
          <w:p w14:paraId="460CD545" w14:textId="7217F132" w:rsidR="007C0D5C" w:rsidRPr="007E5ABB" w:rsidRDefault="007C0D5C" w:rsidP="007C0D5C">
            <w:pPr>
              <w:pStyle w:val="ColorfulList-Accent11"/>
              <w:tabs>
                <w:tab w:val="left" w:pos="0"/>
                <w:tab w:val="left" w:pos="284"/>
              </w:tabs>
              <w:ind w:left="0" w:right="-90"/>
              <w:jc w:val="center"/>
              <w:rPr>
                <w:rFonts w:ascii="Arial" w:hAnsi="Arial" w:cs="Arial"/>
                <w:b/>
                <w:sz w:val="18"/>
                <w:szCs w:val="18"/>
                <w:lang w:val="el-GR"/>
              </w:rPr>
            </w:pPr>
            <w:r w:rsidRPr="007E5ABB">
              <w:rPr>
                <w:rFonts w:ascii="Arial" w:hAnsi="Arial" w:cs="Arial"/>
                <w:b/>
                <w:bCs/>
                <w:sz w:val="18"/>
                <w:szCs w:val="18"/>
              </w:rPr>
              <w:t>268</w:t>
            </w:r>
            <w:r w:rsidR="00460E4F" w:rsidRPr="007E5ABB">
              <w:rPr>
                <w:rFonts w:ascii="Arial" w:hAnsi="Arial" w:cs="Arial"/>
                <w:b/>
                <w:bCs/>
                <w:sz w:val="18"/>
                <w:szCs w:val="18"/>
              </w:rPr>
              <w:t>,</w:t>
            </w:r>
            <w:r w:rsidRPr="007E5ABB">
              <w:rPr>
                <w:rFonts w:ascii="Arial" w:hAnsi="Arial" w:cs="Arial"/>
                <w:b/>
                <w:bCs/>
                <w:sz w:val="18"/>
                <w:szCs w:val="18"/>
              </w:rPr>
              <w:t>3</w:t>
            </w:r>
          </w:p>
        </w:tc>
        <w:tc>
          <w:tcPr>
            <w:tcW w:w="1445" w:type="dxa"/>
            <w:tcBorders>
              <w:top w:val="single" w:sz="4" w:space="0" w:color="auto"/>
              <w:left w:val="single" w:sz="4" w:space="0" w:color="auto"/>
              <w:bottom w:val="single" w:sz="4" w:space="0" w:color="auto"/>
            </w:tcBorders>
            <w:shd w:val="clear" w:color="auto" w:fill="F2F2F2" w:themeFill="background1" w:themeFillShade="F2"/>
            <w:vAlign w:val="center"/>
          </w:tcPr>
          <w:p w14:paraId="755EA10A" w14:textId="1B8CF018" w:rsidR="007C0D5C" w:rsidRPr="007E5ABB" w:rsidRDefault="007C0D5C" w:rsidP="007C0D5C">
            <w:pPr>
              <w:pStyle w:val="ColorfulList-Accent11"/>
              <w:tabs>
                <w:tab w:val="left" w:pos="0"/>
                <w:tab w:val="left" w:pos="284"/>
              </w:tabs>
              <w:ind w:left="0" w:right="-90"/>
              <w:jc w:val="center"/>
              <w:rPr>
                <w:rFonts w:ascii="Arial" w:hAnsi="Arial" w:cs="Arial"/>
                <w:b/>
                <w:sz w:val="18"/>
                <w:szCs w:val="18"/>
                <w:lang w:val="el-GR"/>
              </w:rPr>
            </w:pPr>
            <w:r w:rsidRPr="007E5ABB">
              <w:rPr>
                <w:rFonts w:ascii="Arial" w:hAnsi="Arial" w:cs="Arial"/>
                <w:b/>
                <w:bCs/>
                <w:sz w:val="18"/>
                <w:szCs w:val="18"/>
              </w:rPr>
              <w:t>823</w:t>
            </w:r>
            <w:r w:rsidR="00460E4F" w:rsidRPr="007E5ABB">
              <w:rPr>
                <w:rFonts w:ascii="Arial" w:hAnsi="Arial" w:cs="Arial"/>
                <w:b/>
                <w:bCs/>
                <w:sz w:val="18"/>
                <w:szCs w:val="18"/>
              </w:rPr>
              <w:t>,</w:t>
            </w:r>
            <w:r w:rsidRPr="007E5ABB">
              <w:rPr>
                <w:rFonts w:ascii="Arial" w:hAnsi="Arial" w:cs="Arial"/>
                <w:b/>
                <w:bCs/>
                <w:sz w:val="18"/>
                <w:szCs w:val="18"/>
              </w:rPr>
              <w:t>4</w:t>
            </w:r>
          </w:p>
        </w:tc>
        <w:tc>
          <w:tcPr>
            <w:tcW w:w="1445" w:type="dxa"/>
            <w:tcBorders>
              <w:top w:val="single" w:sz="4" w:space="0" w:color="auto"/>
              <w:bottom w:val="single" w:sz="4" w:space="0" w:color="auto"/>
            </w:tcBorders>
            <w:shd w:val="clear" w:color="auto" w:fill="F2F2F2" w:themeFill="background1" w:themeFillShade="F2"/>
            <w:vAlign w:val="center"/>
          </w:tcPr>
          <w:p w14:paraId="4A54F44B" w14:textId="08E395F9" w:rsidR="007C0D5C" w:rsidRPr="007E5ABB" w:rsidRDefault="007C0D5C" w:rsidP="007C0D5C">
            <w:pPr>
              <w:pStyle w:val="ColorfulList-Accent11"/>
              <w:tabs>
                <w:tab w:val="left" w:pos="0"/>
                <w:tab w:val="left" w:pos="284"/>
              </w:tabs>
              <w:ind w:left="0" w:right="-90"/>
              <w:jc w:val="center"/>
              <w:rPr>
                <w:rFonts w:ascii="Arial" w:hAnsi="Arial" w:cs="Arial"/>
                <w:b/>
                <w:sz w:val="18"/>
                <w:szCs w:val="18"/>
                <w:lang w:val="el-GR"/>
              </w:rPr>
            </w:pPr>
            <w:r w:rsidRPr="007E5ABB">
              <w:rPr>
                <w:rFonts w:ascii="Arial" w:hAnsi="Arial" w:cs="Arial"/>
                <w:b/>
                <w:bCs/>
                <w:sz w:val="18"/>
                <w:szCs w:val="18"/>
              </w:rPr>
              <w:t>818</w:t>
            </w:r>
            <w:r w:rsidR="00460E4F" w:rsidRPr="007E5ABB">
              <w:rPr>
                <w:rFonts w:ascii="Arial" w:hAnsi="Arial" w:cs="Arial"/>
                <w:b/>
                <w:bCs/>
                <w:sz w:val="18"/>
                <w:szCs w:val="18"/>
              </w:rPr>
              <w:t>,</w:t>
            </w:r>
            <w:r w:rsidRPr="007E5ABB">
              <w:rPr>
                <w:rFonts w:ascii="Arial" w:hAnsi="Arial" w:cs="Arial"/>
                <w:b/>
                <w:bCs/>
                <w:sz w:val="18"/>
                <w:szCs w:val="18"/>
              </w:rPr>
              <w:t>3</w:t>
            </w:r>
          </w:p>
        </w:tc>
      </w:tr>
      <w:tr w:rsidR="00B4474B" w:rsidRPr="007E5ABB" w14:paraId="6C08B3E1" w14:textId="77777777" w:rsidTr="00FB20CB">
        <w:trPr>
          <w:trHeight w:val="57"/>
        </w:trPr>
        <w:tc>
          <w:tcPr>
            <w:tcW w:w="5103" w:type="dxa"/>
            <w:tcBorders>
              <w:top w:val="single" w:sz="4" w:space="0" w:color="auto"/>
              <w:right w:val="single" w:sz="4" w:space="0" w:color="auto"/>
            </w:tcBorders>
            <w:vAlign w:val="center"/>
          </w:tcPr>
          <w:p w14:paraId="54ACD4F3" w14:textId="1C859743" w:rsidR="00DF6BB4" w:rsidRPr="007E5ABB" w:rsidRDefault="00DF6BB4" w:rsidP="00DF6BB4">
            <w:pPr>
              <w:pStyle w:val="ColorfulList-Accent11"/>
              <w:tabs>
                <w:tab w:val="left" w:pos="0"/>
                <w:tab w:val="left" w:pos="284"/>
              </w:tabs>
              <w:ind w:left="0" w:right="-90"/>
              <w:rPr>
                <w:rFonts w:ascii="Arial" w:hAnsi="Arial" w:cs="Arial"/>
                <w:b/>
                <w:sz w:val="18"/>
                <w:szCs w:val="18"/>
                <w:lang w:val="el-GR"/>
              </w:rPr>
            </w:pPr>
            <w:r w:rsidRPr="007E5ABB">
              <w:rPr>
                <w:rFonts w:ascii="Arial" w:hAnsi="Arial" w:cs="Arial"/>
                <w:b/>
                <w:bCs/>
                <w:sz w:val="18"/>
                <w:szCs w:val="18"/>
                <w:lang w:val="el-GR"/>
              </w:rPr>
              <w:t>Ταμειακές ροές από επενδυτικές δραστηριότητες</w:t>
            </w:r>
          </w:p>
        </w:tc>
        <w:tc>
          <w:tcPr>
            <w:tcW w:w="1444" w:type="dxa"/>
            <w:tcBorders>
              <w:top w:val="single" w:sz="4" w:space="0" w:color="auto"/>
              <w:left w:val="single" w:sz="4" w:space="0" w:color="auto"/>
            </w:tcBorders>
            <w:vAlign w:val="center"/>
          </w:tcPr>
          <w:p w14:paraId="120A0E8F" w14:textId="4FA11EBF" w:rsidR="00DF6BB4" w:rsidRPr="007E5ABB" w:rsidRDefault="00DF6BB4" w:rsidP="00DF6BB4">
            <w:pPr>
              <w:pStyle w:val="ColorfulList-Accent11"/>
              <w:tabs>
                <w:tab w:val="left" w:pos="0"/>
                <w:tab w:val="left" w:pos="284"/>
              </w:tabs>
              <w:ind w:left="0" w:right="-90"/>
              <w:jc w:val="center"/>
              <w:rPr>
                <w:rFonts w:ascii="Arial" w:hAnsi="Arial" w:cs="Arial"/>
                <w:i/>
                <w:color w:val="FF0000"/>
                <w:sz w:val="18"/>
                <w:szCs w:val="18"/>
                <w:lang w:val="el-GR"/>
              </w:rPr>
            </w:pPr>
          </w:p>
        </w:tc>
        <w:tc>
          <w:tcPr>
            <w:tcW w:w="1445" w:type="dxa"/>
            <w:tcBorders>
              <w:top w:val="single" w:sz="4" w:space="0" w:color="auto"/>
              <w:right w:val="single" w:sz="4" w:space="0" w:color="auto"/>
            </w:tcBorders>
            <w:vAlign w:val="center"/>
          </w:tcPr>
          <w:p w14:paraId="26DD3B8C" w14:textId="1FE281FA" w:rsidR="00DF6BB4" w:rsidRPr="007E5ABB" w:rsidRDefault="00DF6BB4" w:rsidP="00DF6BB4">
            <w:pPr>
              <w:pStyle w:val="ColorfulList-Accent11"/>
              <w:tabs>
                <w:tab w:val="left" w:pos="0"/>
                <w:tab w:val="left" w:pos="284"/>
              </w:tabs>
              <w:ind w:left="0" w:right="-90"/>
              <w:jc w:val="center"/>
              <w:rPr>
                <w:rFonts w:ascii="Arial" w:hAnsi="Arial" w:cs="Arial"/>
                <w:i/>
                <w:color w:val="FF0000"/>
                <w:sz w:val="18"/>
                <w:szCs w:val="18"/>
                <w:lang w:val="el-GR"/>
              </w:rPr>
            </w:pPr>
          </w:p>
        </w:tc>
        <w:tc>
          <w:tcPr>
            <w:tcW w:w="1445" w:type="dxa"/>
            <w:tcBorders>
              <w:top w:val="single" w:sz="4" w:space="0" w:color="auto"/>
              <w:left w:val="single" w:sz="4" w:space="0" w:color="auto"/>
            </w:tcBorders>
            <w:vAlign w:val="center"/>
          </w:tcPr>
          <w:p w14:paraId="10423B29" w14:textId="55A46C7B" w:rsidR="00DF6BB4" w:rsidRPr="007E5ABB" w:rsidRDefault="00DF6BB4" w:rsidP="00DF6BB4">
            <w:pPr>
              <w:pStyle w:val="ColorfulList-Accent11"/>
              <w:tabs>
                <w:tab w:val="left" w:pos="0"/>
                <w:tab w:val="left" w:pos="284"/>
              </w:tabs>
              <w:ind w:left="0" w:right="-90"/>
              <w:jc w:val="center"/>
              <w:rPr>
                <w:rFonts w:ascii="Arial" w:hAnsi="Arial" w:cs="Arial"/>
                <w:i/>
                <w:color w:val="FF0000"/>
                <w:sz w:val="18"/>
                <w:szCs w:val="18"/>
                <w:lang w:val="el-GR"/>
              </w:rPr>
            </w:pPr>
          </w:p>
        </w:tc>
        <w:tc>
          <w:tcPr>
            <w:tcW w:w="1445" w:type="dxa"/>
            <w:tcBorders>
              <w:top w:val="single" w:sz="4" w:space="0" w:color="auto"/>
            </w:tcBorders>
            <w:vAlign w:val="center"/>
          </w:tcPr>
          <w:p w14:paraId="57E44A71" w14:textId="481480F7" w:rsidR="00DF6BB4" w:rsidRPr="007E5ABB" w:rsidRDefault="00DF6BB4" w:rsidP="00DF6BB4">
            <w:pPr>
              <w:pStyle w:val="ColorfulList-Accent11"/>
              <w:tabs>
                <w:tab w:val="left" w:pos="0"/>
                <w:tab w:val="left" w:pos="284"/>
              </w:tabs>
              <w:ind w:left="0" w:right="-90"/>
              <w:jc w:val="center"/>
              <w:rPr>
                <w:rFonts w:ascii="Arial" w:hAnsi="Arial" w:cs="Arial"/>
                <w:i/>
                <w:color w:val="FF0000"/>
                <w:sz w:val="18"/>
                <w:szCs w:val="18"/>
                <w:lang w:val="el-GR"/>
              </w:rPr>
            </w:pPr>
          </w:p>
        </w:tc>
      </w:tr>
      <w:tr w:rsidR="00DF6BB4" w:rsidRPr="007E5ABB" w14:paraId="7AF4B9C8" w14:textId="77777777" w:rsidTr="00FB20CB">
        <w:trPr>
          <w:trHeight w:val="228"/>
        </w:trPr>
        <w:tc>
          <w:tcPr>
            <w:tcW w:w="5103" w:type="dxa"/>
            <w:tcBorders>
              <w:right w:val="single" w:sz="4" w:space="0" w:color="auto"/>
            </w:tcBorders>
            <w:vAlign w:val="center"/>
          </w:tcPr>
          <w:p w14:paraId="2CB15D25" w14:textId="4353A410" w:rsidR="00DF6BB4" w:rsidRPr="00FB20CB" w:rsidRDefault="00DF6BB4" w:rsidP="00DF6BB4">
            <w:pPr>
              <w:pStyle w:val="Default"/>
              <w:rPr>
                <w:rFonts w:ascii="Arial" w:hAnsi="Arial" w:cs="Arial"/>
                <w:sz w:val="18"/>
                <w:szCs w:val="18"/>
                <w:lang w:val="el-GR"/>
              </w:rPr>
            </w:pPr>
            <w:r w:rsidRPr="00FB20CB">
              <w:rPr>
                <w:rFonts w:ascii="Arial" w:hAnsi="Arial" w:cs="Arial"/>
                <w:sz w:val="18"/>
                <w:szCs w:val="18"/>
                <w:lang w:val="el-GR"/>
              </w:rPr>
              <w:t xml:space="preserve">Αγορά χρηματοοικονομικών περιουσιακών στοιχείων </w:t>
            </w:r>
          </w:p>
        </w:tc>
        <w:tc>
          <w:tcPr>
            <w:tcW w:w="1444" w:type="dxa"/>
            <w:tcBorders>
              <w:left w:val="single" w:sz="4" w:space="0" w:color="auto"/>
            </w:tcBorders>
            <w:vAlign w:val="center"/>
          </w:tcPr>
          <w:p w14:paraId="33EAB0EC" w14:textId="76CFDB18" w:rsidR="00DF6BB4" w:rsidRPr="007E5ABB" w:rsidRDefault="00DF6BB4" w:rsidP="00DF6BB4">
            <w:pPr>
              <w:pStyle w:val="ColorfulList-Accent11"/>
              <w:tabs>
                <w:tab w:val="left" w:pos="0"/>
                <w:tab w:val="left" w:pos="284"/>
              </w:tabs>
              <w:ind w:left="0" w:right="-90"/>
              <w:jc w:val="center"/>
              <w:rPr>
                <w:rFonts w:ascii="Arial" w:hAnsi="Arial" w:cs="Arial"/>
                <w:color w:val="FF0000"/>
                <w:sz w:val="18"/>
                <w:szCs w:val="18"/>
                <w:lang w:val="el-GR"/>
              </w:rPr>
            </w:pPr>
            <w:r w:rsidRPr="007E5ABB">
              <w:rPr>
                <w:rFonts w:ascii="Arial" w:hAnsi="Arial" w:cs="Arial"/>
                <w:sz w:val="18"/>
                <w:szCs w:val="18"/>
              </w:rPr>
              <w:t>(0</w:t>
            </w:r>
            <w:r w:rsidR="00460E4F" w:rsidRPr="007E5ABB">
              <w:rPr>
                <w:rFonts w:ascii="Arial" w:hAnsi="Arial" w:cs="Arial"/>
                <w:sz w:val="18"/>
                <w:szCs w:val="18"/>
              </w:rPr>
              <w:t>,</w:t>
            </w:r>
            <w:r w:rsidRPr="007E5ABB">
              <w:rPr>
                <w:rFonts w:ascii="Arial" w:hAnsi="Arial" w:cs="Arial"/>
                <w:sz w:val="18"/>
                <w:szCs w:val="18"/>
              </w:rPr>
              <w:t>1)</w:t>
            </w:r>
          </w:p>
        </w:tc>
        <w:tc>
          <w:tcPr>
            <w:tcW w:w="1445" w:type="dxa"/>
            <w:tcBorders>
              <w:right w:val="single" w:sz="4" w:space="0" w:color="auto"/>
            </w:tcBorders>
            <w:vAlign w:val="center"/>
          </w:tcPr>
          <w:p w14:paraId="4D920A20" w14:textId="0648217D" w:rsidR="00DF6BB4" w:rsidRPr="007E5ABB" w:rsidRDefault="00DF6BB4" w:rsidP="00DF6BB4">
            <w:pPr>
              <w:pStyle w:val="ColorfulList-Accent11"/>
              <w:tabs>
                <w:tab w:val="left" w:pos="0"/>
                <w:tab w:val="left" w:pos="284"/>
              </w:tabs>
              <w:ind w:left="0" w:right="-90"/>
              <w:jc w:val="center"/>
              <w:rPr>
                <w:rFonts w:ascii="Arial" w:hAnsi="Arial" w:cs="Arial"/>
                <w:color w:val="FF0000"/>
                <w:sz w:val="18"/>
                <w:szCs w:val="18"/>
                <w:lang w:val="el-GR"/>
              </w:rPr>
            </w:pPr>
            <w:r w:rsidRPr="007E5ABB">
              <w:rPr>
                <w:rFonts w:ascii="Arial" w:hAnsi="Arial" w:cs="Arial"/>
                <w:sz w:val="18"/>
                <w:szCs w:val="18"/>
              </w:rPr>
              <w:t>(0</w:t>
            </w:r>
            <w:r w:rsidR="00460E4F" w:rsidRPr="007E5ABB">
              <w:rPr>
                <w:rFonts w:ascii="Arial" w:hAnsi="Arial" w:cs="Arial"/>
                <w:sz w:val="18"/>
                <w:szCs w:val="18"/>
              </w:rPr>
              <w:t>,</w:t>
            </w:r>
            <w:r w:rsidRPr="007E5ABB">
              <w:rPr>
                <w:rFonts w:ascii="Arial" w:hAnsi="Arial" w:cs="Arial"/>
                <w:sz w:val="18"/>
                <w:szCs w:val="18"/>
              </w:rPr>
              <w:t>4)</w:t>
            </w:r>
          </w:p>
        </w:tc>
        <w:tc>
          <w:tcPr>
            <w:tcW w:w="1445" w:type="dxa"/>
            <w:tcBorders>
              <w:left w:val="single" w:sz="4" w:space="0" w:color="auto"/>
            </w:tcBorders>
            <w:vAlign w:val="center"/>
          </w:tcPr>
          <w:p w14:paraId="769B56E5" w14:textId="6C1DE9F5" w:rsidR="00DF6BB4" w:rsidRPr="007E5ABB" w:rsidRDefault="00DF6BB4" w:rsidP="00DF6BB4">
            <w:pPr>
              <w:pStyle w:val="ColorfulList-Accent11"/>
              <w:tabs>
                <w:tab w:val="left" w:pos="0"/>
                <w:tab w:val="left" w:pos="284"/>
              </w:tabs>
              <w:ind w:left="0" w:right="-90"/>
              <w:jc w:val="center"/>
              <w:rPr>
                <w:rFonts w:ascii="Arial" w:hAnsi="Arial" w:cs="Arial"/>
                <w:sz w:val="18"/>
                <w:szCs w:val="18"/>
                <w:lang w:val="el-GR"/>
              </w:rPr>
            </w:pPr>
            <w:r w:rsidRPr="007E5ABB">
              <w:rPr>
                <w:rFonts w:ascii="Arial" w:hAnsi="Arial" w:cs="Arial"/>
                <w:sz w:val="18"/>
                <w:szCs w:val="18"/>
              </w:rPr>
              <w:t>(0</w:t>
            </w:r>
            <w:r w:rsidR="00460E4F" w:rsidRPr="007E5ABB">
              <w:rPr>
                <w:rFonts w:ascii="Arial" w:hAnsi="Arial" w:cs="Arial"/>
                <w:sz w:val="18"/>
                <w:szCs w:val="18"/>
              </w:rPr>
              <w:t>,</w:t>
            </w:r>
            <w:r w:rsidRPr="007E5ABB">
              <w:rPr>
                <w:rFonts w:ascii="Arial" w:hAnsi="Arial" w:cs="Arial"/>
                <w:sz w:val="18"/>
                <w:szCs w:val="18"/>
              </w:rPr>
              <w:t>1)</w:t>
            </w:r>
          </w:p>
        </w:tc>
        <w:tc>
          <w:tcPr>
            <w:tcW w:w="1445" w:type="dxa"/>
            <w:vAlign w:val="center"/>
          </w:tcPr>
          <w:p w14:paraId="40619743" w14:textId="28B03E64" w:rsidR="00DF6BB4" w:rsidRPr="007E5ABB" w:rsidRDefault="00DF6BB4" w:rsidP="00DF6BB4">
            <w:pPr>
              <w:pStyle w:val="ColorfulList-Accent11"/>
              <w:tabs>
                <w:tab w:val="left" w:pos="0"/>
                <w:tab w:val="left" w:pos="284"/>
              </w:tabs>
              <w:ind w:left="0" w:right="-90"/>
              <w:jc w:val="center"/>
              <w:rPr>
                <w:rFonts w:ascii="Arial" w:hAnsi="Arial" w:cs="Arial"/>
                <w:sz w:val="18"/>
                <w:szCs w:val="18"/>
                <w:lang w:val="el-GR"/>
              </w:rPr>
            </w:pPr>
            <w:r w:rsidRPr="007E5ABB">
              <w:rPr>
                <w:rFonts w:ascii="Arial" w:hAnsi="Arial" w:cs="Arial"/>
                <w:sz w:val="18"/>
                <w:szCs w:val="18"/>
              </w:rPr>
              <w:t>(0</w:t>
            </w:r>
            <w:r w:rsidR="00460E4F" w:rsidRPr="007E5ABB">
              <w:rPr>
                <w:rFonts w:ascii="Arial" w:hAnsi="Arial" w:cs="Arial"/>
                <w:sz w:val="18"/>
                <w:szCs w:val="18"/>
              </w:rPr>
              <w:t>,</w:t>
            </w:r>
            <w:r w:rsidRPr="007E5ABB">
              <w:rPr>
                <w:rFonts w:ascii="Arial" w:hAnsi="Arial" w:cs="Arial"/>
                <w:sz w:val="18"/>
                <w:szCs w:val="18"/>
              </w:rPr>
              <w:t>7)</w:t>
            </w:r>
          </w:p>
        </w:tc>
      </w:tr>
      <w:tr w:rsidR="00DF6BB4" w:rsidRPr="007E5ABB" w14:paraId="7360B75A" w14:textId="77777777" w:rsidTr="00FB20CB">
        <w:trPr>
          <w:trHeight w:val="228"/>
        </w:trPr>
        <w:tc>
          <w:tcPr>
            <w:tcW w:w="5103" w:type="dxa"/>
            <w:tcBorders>
              <w:right w:val="single" w:sz="4" w:space="0" w:color="auto"/>
            </w:tcBorders>
            <w:vAlign w:val="center"/>
          </w:tcPr>
          <w:p w14:paraId="27EFCC56" w14:textId="0AB834FC" w:rsidR="00DF6BB4" w:rsidRPr="007E5ABB" w:rsidRDefault="00DF6BB4" w:rsidP="00DF6BB4">
            <w:pPr>
              <w:pStyle w:val="ColorfulList-Accent11"/>
              <w:tabs>
                <w:tab w:val="left" w:pos="0"/>
                <w:tab w:val="left" w:pos="284"/>
              </w:tabs>
              <w:ind w:left="0" w:right="-90"/>
              <w:rPr>
                <w:rFonts w:ascii="Arial" w:hAnsi="Arial" w:cs="Arial"/>
                <w:sz w:val="18"/>
                <w:szCs w:val="18"/>
              </w:rPr>
            </w:pPr>
            <w:r w:rsidRPr="007E5ABB">
              <w:rPr>
                <w:rFonts w:ascii="Arial" w:hAnsi="Arial" w:cs="Arial"/>
                <w:sz w:val="18"/>
                <w:szCs w:val="18"/>
              </w:rPr>
              <w:t>Αποπ</w:t>
            </w:r>
            <w:proofErr w:type="spellStart"/>
            <w:r w:rsidRPr="007E5ABB">
              <w:rPr>
                <w:rFonts w:ascii="Arial" w:hAnsi="Arial" w:cs="Arial"/>
                <w:sz w:val="18"/>
                <w:szCs w:val="18"/>
              </w:rPr>
              <w:t>ληρωμές</w:t>
            </w:r>
            <w:proofErr w:type="spellEnd"/>
            <w:r w:rsidRPr="007E5ABB">
              <w:rPr>
                <w:rFonts w:ascii="Arial" w:hAnsi="Arial" w:cs="Arial"/>
                <w:sz w:val="18"/>
                <w:szCs w:val="18"/>
              </w:rPr>
              <w:t xml:space="preserve"> </w:t>
            </w:r>
            <w:proofErr w:type="spellStart"/>
            <w:r w:rsidRPr="007E5ABB">
              <w:rPr>
                <w:rFonts w:ascii="Arial" w:hAnsi="Arial" w:cs="Arial"/>
                <w:sz w:val="18"/>
                <w:szCs w:val="18"/>
              </w:rPr>
              <w:t>εισ</w:t>
            </w:r>
            <w:proofErr w:type="spellEnd"/>
            <w:r w:rsidRPr="007E5ABB">
              <w:rPr>
                <w:rFonts w:ascii="Arial" w:hAnsi="Arial" w:cs="Arial"/>
                <w:sz w:val="18"/>
                <w:szCs w:val="18"/>
              </w:rPr>
              <w:t>πρακτέων δα</w:t>
            </w:r>
            <w:proofErr w:type="spellStart"/>
            <w:r w:rsidRPr="007E5ABB">
              <w:rPr>
                <w:rFonts w:ascii="Arial" w:hAnsi="Arial" w:cs="Arial"/>
                <w:sz w:val="18"/>
                <w:szCs w:val="18"/>
              </w:rPr>
              <w:t>νείων</w:t>
            </w:r>
            <w:proofErr w:type="spellEnd"/>
          </w:p>
        </w:tc>
        <w:tc>
          <w:tcPr>
            <w:tcW w:w="1444" w:type="dxa"/>
            <w:tcBorders>
              <w:left w:val="single" w:sz="4" w:space="0" w:color="auto"/>
            </w:tcBorders>
            <w:vAlign w:val="center"/>
          </w:tcPr>
          <w:p w14:paraId="16A7D604" w14:textId="1DFD2F5A" w:rsidR="00DF6BB4" w:rsidRPr="007E5ABB" w:rsidRDefault="00DF6BB4" w:rsidP="00DF6BB4">
            <w:pPr>
              <w:pStyle w:val="ColorfulList-Accent11"/>
              <w:tabs>
                <w:tab w:val="left" w:pos="0"/>
                <w:tab w:val="left" w:pos="284"/>
              </w:tabs>
              <w:ind w:left="0" w:right="-90"/>
              <w:jc w:val="center"/>
              <w:rPr>
                <w:rFonts w:ascii="Arial" w:hAnsi="Arial" w:cs="Arial"/>
                <w:color w:val="FF0000"/>
                <w:sz w:val="18"/>
                <w:szCs w:val="18"/>
              </w:rPr>
            </w:pPr>
            <w:r w:rsidRPr="007E5ABB">
              <w:rPr>
                <w:rFonts w:ascii="Arial" w:hAnsi="Arial" w:cs="Arial"/>
                <w:sz w:val="18"/>
                <w:szCs w:val="18"/>
              </w:rPr>
              <w:t>1</w:t>
            </w:r>
            <w:r w:rsidR="00460E4F" w:rsidRPr="007E5ABB">
              <w:rPr>
                <w:rFonts w:ascii="Arial" w:hAnsi="Arial" w:cs="Arial"/>
                <w:sz w:val="18"/>
                <w:szCs w:val="18"/>
              </w:rPr>
              <w:t>,</w:t>
            </w:r>
            <w:r w:rsidRPr="007E5ABB">
              <w:rPr>
                <w:rFonts w:ascii="Arial" w:hAnsi="Arial" w:cs="Arial"/>
                <w:sz w:val="18"/>
                <w:szCs w:val="18"/>
              </w:rPr>
              <w:t>8</w:t>
            </w:r>
          </w:p>
        </w:tc>
        <w:tc>
          <w:tcPr>
            <w:tcW w:w="1445" w:type="dxa"/>
            <w:tcBorders>
              <w:right w:val="single" w:sz="4" w:space="0" w:color="auto"/>
            </w:tcBorders>
            <w:vAlign w:val="center"/>
          </w:tcPr>
          <w:p w14:paraId="3FCA18A4" w14:textId="150E4486" w:rsidR="00DF6BB4" w:rsidRPr="007E5ABB" w:rsidRDefault="00DF6BB4" w:rsidP="00DF6BB4">
            <w:pPr>
              <w:pStyle w:val="ColorfulList-Accent11"/>
              <w:tabs>
                <w:tab w:val="left" w:pos="0"/>
                <w:tab w:val="left" w:pos="284"/>
              </w:tabs>
              <w:ind w:left="0" w:right="-90"/>
              <w:jc w:val="center"/>
              <w:rPr>
                <w:rFonts w:ascii="Arial" w:hAnsi="Arial" w:cs="Arial"/>
                <w:color w:val="FF0000"/>
                <w:sz w:val="18"/>
                <w:szCs w:val="18"/>
              </w:rPr>
            </w:pPr>
            <w:r w:rsidRPr="007E5ABB">
              <w:rPr>
                <w:rFonts w:ascii="Arial" w:hAnsi="Arial" w:cs="Arial"/>
                <w:sz w:val="18"/>
                <w:szCs w:val="18"/>
              </w:rPr>
              <w:t>2</w:t>
            </w:r>
            <w:r w:rsidR="00460E4F" w:rsidRPr="007E5ABB">
              <w:rPr>
                <w:rFonts w:ascii="Arial" w:hAnsi="Arial" w:cs="Arial"/>
                <w:sz w:val="18"/>
                <w:szCs w:val="18"/>
              </w:rPr>
              <w:t>,</w:t>
            </w:r>
            <w:r w:rsidRPr="007E5ABB">
              <w:rPr>
                <w:rFonts w:ascii="Arial" w:hAnsi="Arial" w:cs="Arial"/>
                <w:sz w:val="18"/>
                <w:szCs w:val="18"/>
              </w:rPr>
              <w:t>4</w:t>
            </w:r>
          </w:p>
        </w:tc>
        <w:tc>
          <w:tcPr>
            <w:tcW w:w="1445" w:type="dxa"/>
            <w:tcBorders>
              <w:left w:val="single" w:sz="4" w:space="0" w:color="auto"/>
            </w:tcBorders>
            <w:vAlign w:val="center"/>
          </w:tcPr>
          <w:p w14:paraId="47202677" w14:textId="5F677E54" w:rsidR="00DF6BB4" w:rsidRPr="007E5ABB" w:rsidRDefault="00DF6BB4" w:rsidP="00DF6BB4">
            <w:pPr>
              <w:pStyle w:val="ColorfulList-Accent11"/>
              <w:tabs>
                <w:tab w:val="left" w:pos="0"/>
                <w:tab w:val="left" w:pos="284"/>
              </w:tabs>
              <w:ind w:left="0" w:right="-90"/>
              <w:jc w:val="center"/>
              <w:rPr>
                <w:rFonts w:ascii="Arial" w:hAnsi="Arial" w:cs="Arial"/>
                <w:sz w:val="18"/>
                <w:szCs w:val="18"/>
              </w:rPr>
            </w:pPr>
            <w:r w:rsidRPr="007E5ABB">
              <w:rPr>
                <w:rFonts w:ascii="Arial" w:hAnsi="Arial" w:cs="Arial"/>
                <w:sz w:val="18"/>
                <w:szCs w:val="18"/>
              </w:rPr>
              <w:t>5</w:t>
            </w:r>
            <w:r w:rsidR="00460E4F" w:rsidRPr="007E5ABB">
              <w:rPr>
                <w:rFonts w:ascii="Arial" w:hAnsi="Arial" w:cs="Arial"/>
                <w:sz w:val="18"/>
                <w:szCs w:val="18"/>
              </w:rPr>
              <w:t>,</w:t>
            </w:r>
            <w:r w:rsidRPr="007E5ABB">
              <w:rPr>
                <w:rFonts w:ascii="Arial" w:hAnsi="Arial" w:cs="Arial"/>
                <w:sz w:val="18"/>
                <w:szCs w:val="18"/>
              </w:rPr>
              <w:t>4</w:t>
            </w:r>
          </w:p>
        </w:tc>
        <w:tc>
          <w:tcPr>
            <w:tcW w:w="1445" w:type="dxa"/>
            <w:vAlign w:val="center"/>
          </w:tcPr>
          <w:p w14:paraId="377089BC" w14:textId="20663874" w:rsidR="00DF6BB4" w:rsidRPr="007E5ABB" w:rsidRDefault="00DF6BB4" w:rsidP="00DF6BB4">
            <w:pPr>
              <w:pStyle w:val="ColorfulList-Accent11"/>
              <w:tabs>
                <w:tab w:val="left" w:pos="0"/>
                <w:tab w:val="left" w:pos="284"/>
              </w:tabs>
              <w:ind w:left="0" w:right="-90"/>
              <w:jc w:val="center"/>
              <w:rPr>
                <w:rFonts w:ascii="Arial" w:hAnsi="Arial" w:cs="Arial"/>
                <w:sz w:val="18"/>
                <w:szCs w:val="18"/>
              </w:rPr>
            </w:pPr>
            <w:r w:rsidRPr="007E5ABB">
              <w:rPr>
                <w:rFonts w:ascii="Arial" w:hAnsi="Arial" w:cs="Arial"/>
                <w:sz w:val="18"/>
                <w:szCs w:val="18"/>
              </w:rPr>
              <w:t>6</w:t>
            </w:r>
            <w:r w:rsidR="00460E4F" w:rsidRPr="007E5ABB">
              <w:rPr>
                <w:rFonts w:ascii="Arial" w:hAnsi="Arial" w:cs="Arial"/>
                <w:sz w:val="18"/>
                <w:szCs w:val="18"/>
              </w:rPr>
              <w:t>,</w:t>
            </w:r>
            <w:r w:rsidRPr="007E5ABB">
              <w:rPr>
                <w:rFonts w:ascii="Arial" w:hAnsi="Arial" w:cs="Arial"/>
                <w:sz w:val="18"/>
                <w:szCs w:val="18"/>
              </w:rPr>
              <w:t>0</w:t>
            </w:r>
          </w:p>
        </w:tc>
      </w:tr>
      <w:tr w:rsidR="00DF6BB4" w:rsidRPr="007E5ABB" w14:paraId="225DD4A1" w14:textId="77777777" w:rsidTr="00FB20CB">
        <w:trPr>
          <w:trHeight w:val="228"/>
        </w:trPr>
        <w:tc>
          <w:tcPr>
            <w:tcW w:w="5103" w:type="dxa"/>
            <w:tcBorders>
              <w:right w:val="single" w:sz="4" w:space="0" w:color="auto"/>
            </w:tcBorders>
            <w:vAlign w:val="center"/>
          </w:tcPr>
          <w:p w14:paraId="7F8843C5" w14:textId="57D570C0" w:rsidR="00DF6BB4" w:rsidRPr="007E5ABB" w:rsidRDefault="00DF6BB4" w:rsidP="00DF6BB4">
            <w:pPr>
              <w:pStyle w:val="ColorfulList-Accent11"/>
              <w:tabs>
                <w:tab w:val="left" w:pos="0"/>
                <w:tab w:val="left" w:pos="284"/>
              </w:tabs>
              <w:ind w:left="0" w:right="-90"/>
              <w:rPr>
                <w:rFonts w:ascii="Arial" w:hAnsi="Arial" w:cs="Arial"/>
                <w:sz w:val="18"/>
                <w:szCs w:val="18"/>
                <w:lang w:val="el-GR"/>
              </w:rPr>
            </w:pPr>
            <w:r w:rsidRPr="007E5ABB">
              <w:rPr>
                <w:rFonts w:ascii="Arial" w:hAnsi="Arial" w:cs="Arial"/>
                <w:sz w:val="18"/>
                <w:szCs w:val="18"/>
                <w:lang w:val="el-GR"/>
              </w:rPr>
              <w:t>Αγορά ενσώματων και άυλων παγίων περιουσιακών στοιχείων</w:t>
            </w:r>
          </w:p>
        </w:tc>
        <w:tc>
          <w:tcPr>
            <w:tcW w:w="1444" w:type="dxa"/>
            <w:tcBorders>
              <w:left w:val="single" w:sz="4" w:space="0" w:color="auto"/>
            </w:tcBorders>
            <w:vAlign w:val="center"/>
          </w:tcPr>
          <w:p w14:paraId="684CAF5E" w14:textId="0D6B9B75" w:rsidR="00DF6BB4" w:rsidRPr="007E5ABB" w:rsidRDefault="00DF6BB4" w:rsidP="00DF6BB4">
            <w:pPr>
              <w:pStyle w:val="ColorfulList-Accent11"/>
              <w:tabs>
                <w:tab w:val="left" w:pos="0"/>
                <w:tab w:val="left" w:pos="284"/>
              </w:tabs>
              <w:ind w:left="0" w:right="-90"/>
              <w:jc w:val="center"/>
              <w:rPr>
                <w:rFonts w:ascii="Arial" w:hAnsi="Arial" w:cs="Arial"/>
                <w:color w:val="FF0000"/>
                <w:sz w:val="18"/>
                <w:szCs w:val="18"/>
              </w:rPr>
            </w:pPr>
            <w:r w:rsidRPr="007E5ABB">
              <w:rPr>
                <w:rFonts w:ascii="Arial" w:hAnsi="Arial" w:cs="Arial"/>
                <w:sz w:val="18"/>
                <w:szCs w:val="18"/>
              </w:rPr>
              <w:t>(149</w:t>
            </w:r>
            <w:r w:rsidR="00460E4F" w:rsidRPr="007E5ABB">
              <w:rPr>
                <w:rFonts w:ascii="Arial" w:hAnsi="Arial" w:cs="Arial"/>
                <w:sz w:val="18"/>
                <w:szCs w:val="18"/>
              </w:rPr>
              <w:t>,</w:t>
            </w:r>
            <w:r w:rsidRPr="007E5ABB">
              <w:rPr>
                <w:rFonts w:ascii="Arial" w:hAnsi="Arial" w:cs="Arial"/>
                <w:sz w:val="18"/>
                <w:szCs w:val="18"/>
              </w:rPr>
              <w:t>8)</w:t>
            </w:r>
          </w:p>
        </w:tc>
        <w:tc>
          <w:tcPr>
            <w:tcW w:w="1445" w:type="dxa"/>
            <w:tcBorders>
              <w:right w:val="single" w:sz="4" w:space="0" w:color="auto"/>
            </w:tcBorders>
            <w:vAlign w:val="center"/>
          </w:tcPr>
          <w:p w14:paraId="60F0957E" w14:textId="13D859F8" w:rsidR="00DF6BB4" w:rsidRPr="007E5ABB" w:rsidRDefault="00DF6BB4" w:rsidP="00DF6BB4">
            <w:pPr>
              <w:pStyle w:val="ColorfulList-Accent11"/>
              <w:tabs>
                <w:tab w:val="left" w:pos="0"/>
                <w:tab w:val="left" w:pos="284"/>
              </w:tabs>
              <w:ind w:left="0" w:right="-90"/>
              <w:jc w:val="center"/>
              <w:rPr>
                <w:rFonts w:ascii="Arial" w:hAnsi="Arial" w:cs="Arial"/>
                <w:color w:val="FF0000"/>
                <w:sz w:val="18"/>
                <w:szCs w:val="18"/>
              </w:rPr>
            </w:pPr>
            <w:r w:rsidRPr="007E5ABB">
              <w:rPr>
                <w:rFonts w:ascii="Arial" w:hAnsi="Arial" w:cs="Arial"/>
                <w:sz w:val="18"/>
                <w:szCs w:val="18"/>
              </w:rPr>
              <w:t>(152</w:t>
            </w:r>
            <w:r w:rsidR="00460E4F" w:rsidRPr="007E5ABB">
              <w:rPr>
                <w:rFonts w:ascii="Arial" w:hAnsi="Arial" w:cs="Arial"/>
                <w:sz w:val="18"/>
                <w:szCs w:val="18"/>
              </w:rPr>
              <w:t>,</w:t>
            </w:r>
            <w:r w:rsidRPr="007E5ABB">
              <w:rPr>
                <w:rFonts w:ascii="Arial" w:hAnsi="Arial" w:cs="Arial"/>
                <w:sz w:val="18"/>
                <w:szCs w:val="18"/>
              </w:rPr>
              <w:t>2)</w:t>
            </w:r>
          </w:p>
        </w:tc>
        <w:tc>
          <w:tcPr>
            <w:tcW w:w="1445" w:type="dxa"/>
            <w:tcBorders>
              <w:left w:val="single" w:sz="4" w:space="0" w:color="auto"/>
            </w:tcBorders>
            <w:vAlign w:val="center"/>
          </w:tcPr>
          <w:p w14:paraId="08A3F5A4" w14:textId="187E5E44" w:rsidR="00DF6BB4" w:rsidRPr="007E5ABB" w:rsidRDefault="00DF6BB4" w:rsidP="00DF6BB4">
            <w:pPr>
              <w:pStyle w:val="ColorfulList-Accent11"/>
              <w:tabs>
                <w:tab w:val="left" w:pos="0"/>
                <w:tab w:val="left" w:pos="284"/>
              </w:tabs>
              <w:ind w:left="0" w:right="-90"/>
              <w:jc w:val="center"/>
              <w:rPr>
                <w:rFonts w:ascii="Arial" w:hAnsi="Arial" w:cs="Arial"/>
                <w:sz w:val="18"/>
                <w:szCs w:val="18"/>
              </w:rPr>
            </w:pPr>
            <w:r w:rsidRPr="007E5ABB">
              <w:rPr>
                <w:rFonts w:ascii="Arial" w:hAnsi="Arial" w:cs="Arial"/>
                <w:sz w:val="18"/>
                <w:szCs w:val="18"/>
              </w:rPr>
              <w:t>(437</w:t>
            </w:r>
            <w:r w:rsidR="00460E4F" w:rsidRPr="007E5ABB">
              <w:rPr>
                <w:rFonts w:ascii="Arial" w:hAnsi="Arial" w:cs="Arial"/>
                <w:sz w:val="18"/>
                <w:szCs w:val="18"/>
              </w:rPr>
              <w:t>,</w:t>
            </w:r>
            <w:r w:rsidRPr="007E5ABB">
              <w:rPr>
                <w:rFonts w:ascii="Arial" w:hAnsi="Arial" w:cs="Arial"/>
                <w:sz w:val="18"/>
                <w:szCs w:val="18"/>
              </w:rPr>
              <w:t>1)</w:t>
            </w:r>
          </w:p>
        </w:tc>
        <w:tc>
          <w:tcPr>
            <w:tcW w:w="1445" w:type="dxa"/>
            <w:vAlign w:val="center"/>
          </w:tcPr>
          <w:p w14:paraId="15135984" w14:textId="027845C4" w:rsidR="00DF6BB4" w:rsidRPr="007E5ABB" w:rsidRDefault="00DF6BB4" w:rsidP="00DF6BB4">
            <w:pPr>
              <w:pStyle w:val="ColorfulList-Accent11"/>
              <w:tabs>
                <w:tab w:val="left" w:pos="0"/>
                <w:tab w:val="left" w:pos="284"/>
              </w:tabs>
              <w:ind w:left="0" w:right="-90"/>
              <w:jc w:val="center"/>
              <w:rPr>
                <w:rFonts w:ascii="Arial" w:hAnsi="Arial" w:cs="Arial"/>
                <w:sz w:val="18"/>
                <w:szCs w:val="18"/>
              </w:rPr>
            </w:pPr>
            <w:r w:rsidRPr="007E5ABB">
              <w:rPr>
                <w:rFonts w:ascii="Arial" w:hAnsi="Arial" w:cs="Arial"/>
                <w:sz w:val="18"/>
                <w:szCs w:val="18"/>
              </w:rPr>
              <w:t>(404</w:t>
            </w:r>
            <w:r w:rsidR="00460E4F" w:rsidRPr="007E5ABB">
              <w:rPr>
                <w:rFonts w:ascii="Arial" w:hAnsi="Arial" w:cs="Arial"/>
                <w:sz w:val="18"/>
                <w:szCs w:val="18"/>
              </w:rPr>
              <w:t>,</w:t>
            </w:r>
            <w:r w:rsidRPr="007E5ABB">
              <w:rPr>
                <w:rFonts w:ascii="Arial" w:hAnsi="Arial" w:cs="Arial"/>
                <w:sz w:val="18"/>
                <w:szCs w:val="18"/>
              </w:rPr>
              <w:t>1)</w:t>
            </w:r>
          </w:p>
        </w:tc>
      </w:tr>
      <w:tr w:rsidR="00F82DE5" w:rsidRPr="007E5ABB" w14:paraId="520D8844" w14:textId="77777777" w:rsidTr="00FB20CB">
        <w:trPr>
          <w:trHeight w:val="228"/>
        </w:trPr>
        <w:tc>
          <w:tcPr>
            <w:tcW w:w="5103" w:type="dxa"/>
            <w:tcBorders>
              <w:right w:val="single" w:sz="4" w:space="0" w:color="auto"/>
            </w:tcBorders>
            <w:vAlign w:val="center"/>
          </w:tcPr>
          <w:p w14:paraId="3BA559C8" w14:textId="12818D3C" w:rsidR="00F82DE5" w:rsidRPr="007E5ABB" w:rsidRDefault="00F82DE5" w:rsidP="00F82DE5">
            <w:pPr>
              <w:pStyle w:val="ColorfulList-Accent11"/>
              <w:tabs>
                <w:tab w:val="left" w:pos="0"/>
                <w:tab w:val="left" w:pos="284"/>
              </w:tabs>
              <w:ind w:left="0" w:right="-90"/>
              <w:rPr>
                <w:rFonts w:ascii="Arial" w:hAnsi="Arial" w:cs="Arial"/>
                <w:sz w:val="18"/>
                <w:szCs w:val="18"/>
                <w:lang w:val="el-GR"/>
              </w:rPr>
            </w:pPr>
            <w:r w:rsidRPr="007E5ABB">
              <w:rPr>
                <w:rFonts w:ascii="Arial" w:hAnsi="Arial" w:cs="Arial"/>
                <w:sz w:val="18"/>
                <w:szCs w:val="18"/>
                <w:lang w:val="el-GR"/>
              </w:rPr>
              <w:t>Καθαρές εκροές σχετιζόμενες με πώληση θυγατρικών / συμμετοχών</w:t>
            </w:r>
          </w:p>
        </w:tc>
        <w:tc>
          <w:tcPr>
            <w:tcW w:w="1444" w:type="dxa"/>
            <w:tcBorders>
              <w:left w:val="single" w:sz="4" w:space="0" w:color="auto"/>
            </w:tcBorders>
            <w:vAlign w:val="center"/>
          </w:tcPr>
          <w:p w14:paraId="51722818" w14:textId="0C908F1D" w:rsidR="00F82DE5" w:rsidRPr="007E5ABB" w:rsidRDefault="00F82DE5" w:rsidP="00F82DE5">
            <w:pPr>
              <w:pStyle w:val="ColorfulList-Accent11"/>
              <w:tabs>
                <w:tab w:val="left" w:pos="0"/>
                <w:tab w:val="left" w:pos="284"/>
              </w:tabs>
              <w:ind w:left="0" w:right="-90"/>
              <w:jc w:val="center"/>
              <w:rPr>
                <w:rFonts w:ascii="Arial" w:hAnsi="Arial" w:cs="Arial"/>
                <w:sz w:val="18"/>
                <w:szCs w:val="18"/>
              </w:rPr>
            </w:pPr>
            <w:r w:rsidRPr="007E5ABB">
              <w:rPr>
                <w:rFonts w:ascii="Arial" w:hAnsi="Arial" w:cs="Arial"/>
                <w:sz w:val="18"/>
                <w:szCs w:val="18"/>
              </w:rPr>
              <w:t>-</w:t>
            </w:r>
          </w:p>
        </w:tc>
        <w:tc>
          <w:tcPr>
            <w:tcW w:w="1445" w:type="dxa"/>
            <w:tcBorders>
              <w:right w:val="single" w:sz="4" w:space="0" w:color="auto"/>
            </w:tcBorders>
            <w:vAlign w:val="center"/>
          </w:tcPr>
          <w:p w14:paraId="2379122A" w14:textId="20CEFE44" w:rsidR="00F82DE5" w:rsidRPr="007E5ABB" w:rsidRDefault="00F82DE5" w:rsidP="00F82DE5">
            <w:pPr>
              <w:pStyle w:val="ColorfulList-Accent11"/>
              <w:tabs>
                <w:tab w:val="left" w:pos="0"/>
                <w:tab w:val="left" w:pos="284"/>
              </w:tabs>
              <w:ind w:left="0" w:right="-90"/>
              <w:jc w:val="center"/>
              <w:rPr>
                <w:rFonts w:ascii="Arial" w:hAnsi="Arial" w:cs="Arial"/>
                <w:sz w:val="18"/>
                <w:szCs w:val="18"/>
              </w:rPr>
            </w:pPr>
            <w:r w:rsidRPr="007E5ABB">
              <w:rPr>
                <w:rFonts w:ascii="Arial" w:hAnsi="Arial" w:cs="Arial"/>
                <w:sz w:val="18"/>
                <w:szCs w:val="18"/>
              </w:rPr>
              <w:t>7,5</w:t>
            </w:r>
          </w:p>
        </w:tc>
        <w:tc>
          <w:tcPr>
            <w:tcW w:w="1445" w:type="dxa"/>
            <w:tcBorders>
              <w:left w:val="single" w:sz="4" w:space="0" w:color="auto"/>
            </w:tcBorders>
            <w:vAlign w:val="center"/>
          </w:tcPr>
          <w:p w14:paraId="76BA88E1" w14:textId="359CCC60" w:rsidR="00F82DE5" w:rsidRPr="007E5ABB" w:rsidRDefault="00F82DE5" w:rsidP="00F82DE5">
            <w:pPr>
              <w:pStyle w:val="ColorfulList-Accent11"/>
              <w:tabs>
                <w:tab w:val="left" w:pos="0"/>
                <w:tab w:val="left" w:pos="284"/>
              </w:tabs>
              <w:ind w:left="0" w:right="-90"/>
              <w:jc w:val="center"/>
              <w:rPr>
                <w:rFonts w:ascii="Arial" w:hAnsi="Arial" w:cs="Arial"/>
                <w:sz w:val="18"/>
                <w:szCs w:val="18"/>
              </w:rPr>
            </w:pPr>
            <w:r w:rsidRPr="007E5ABB">
              <w:rPr>
                <w:rFonts w:ascii="Arial" w:hAnsi="Arial" w:cs="Arial"/>
                <w:sz w:val="18"/>
                <w:szCs w:val="18"/>
              </w:rPr>
              <w:t>(0,2)</w:t>
            </w:r>
          </w:p>
        </w:tc>
        <w:tc>
          <w:tcPr>
            <w:tcW w:w="1445" w:type="dxa"/>
            <w:vAlign w:val="center"/>
          </w:tcPr>
          <w:p w14:paraId="6D2225B5" w14:textId="5B59430F" w:rsidR="00F82DE5" w:rsidRPr="007E5ABB" w:rsidRDefault="00F82DE5" w:rsidP="00F82DE5">
            <w:pPr>
              <w:pStyle w:val="ColorfulList-Accent11"/>
              <w:tabs>
                <w:tab w:val="left" w:pos="0"/>
                <w:tab w:val="left" w:pos="284"/>
              </w:tabs>
              <w:ind w:left="0" w:right="-90"/>
              <w:jc w:val="center"/>
              <w:rPr>
                <w:rFonts w:ascii="Arial" w:hAnsi="Arial" w:cs="Arial"/>
                <w:sz w:val="18"/>
                <w:szCs w:val="18"/>
              </w:rPr>
            </w:pPr>
            <w:r w:rsidRPr="007E5ABB">
              <w:rPr>
                <w:rFonts w:ascii="Arial" w:hAnsi="Arial" w:cs="Arial"/>
                <w:sz w:val="18"/>
                <w:szCs w:val="18"/>
              </w:rPr>
              <w:t>(1,2)</w:t>
            </w:r>
          </w:p>
        </w:tc>
      </w:tr>
      <w:tr w:rsidR="00DF6BB4" w:rsidRPr="007E5ABB" w14:paraId="205DEAC5" w14:textId="77777777" w:rsidTr="00FB20CB">
        <w:trPr>
          <w:trHeight w:val="228"/>
        </w:trPr>
        <w:tc>
          <w:tcPr>
            <w:tcW w:w="5103" w:type="dxa"/>
            <w:tcBorders>
              <w:right w:val="single" w:sz="4" w:space="0" w:color="auto"/>
            </w:tcBorders>
            <w:vAlign w:val="center"/>
          </w:tcPr>
          <w:p w14:paraId="3C520A9E" w14:textId="184151D3" w:rsidR="00DF6BB4" w:rsidRPr="00FB20CB" w:rsidRDefault="004C34B3" w:rsidP="00DF6BB4">
            <w:pPr>
              <w:pStyle w:val="Default"/>
              <w:rPr>
                <w:rFonts w:ascii="Arial" w:hAnsi="Arial" w:cs="Arial"/>
                <w:sz w:val="18"/>
                <w:szCs w:val="18"/>
                <w:lang w:val="el-GR"/>
              </w:rPr>
            </w:pPr>
            <w:r w:rsidRPr="00FB20CB">
              <w:rPr>
                <w:rFonts w:ascii="Arial" w:hAnsi="Arial" w:cs="Arial"/>
                <w:sz w:val="18"/>
                <w:szCs w:val="18"/>
              </w:rPr>
              <w:t>T</w:t>
            </w:r>
            <w:proofErr w:type="spellStart"/>
            <w:r w:rsidRPr="00FB20CB">
              <w:rPr>
                <w:rFonts w:ascii="Arial" w:hAnsi="Arial" w:cs="Arial"/>
                <w:sz w:val="18"/>
                <w:szCs w:val="18"/>
                <w:lang w:val="el-GR"/>
              </w:rPr>
              <w:t>αμειακά</w:t>
            </w:r>
            <w:proofErr w:type="spellEnd"/>
            <w:r w:rsidRPr="00FB20CB">
              <w:rPr>
                <w:rFonts w:ascii="Arial" w:hAnsi="Arial" w:cs="Arial"/>
                <w:sz w:val="18"/>
                <w:szCs w:val="18"/>
                <w:lang w:val="el-GR"/>
              </w:rPr>
              <w:t xml:space="preserve"> διαθέσιμα και ταμειακά ισοδύναμα θυγατρικών που πουλήθηκαν </w:t>
            </w:r>
          </w:p>
        </w:tc>
        <w:tc>
          <w:tcPr>
            <w:tcW w:w="1444" w:type="dxa"/>
            <w:tcBorders>
              <w:left w:val="single" w:sz="4" w:space="0" w:color="auto"/>
            </w:tcBorders>
            <w:vAlign w:val="center"/>
          </w:tcPr>
          <w:p w14:paraId="326E34DA" w14:textId="3FFD290E" w:rsidR="00DF6BB4" w:rsidRPr="007E5ABB" w:rsidRDefault="00DF6BB4" w:rsidP="00DF6BB4">
            <w:pPr>
              <w:pStyle w:val="ColorfulList-Accent11"/>
              <w:tabs>
                <w:tab w:val="left" w:pos="0"/>
                <w:tab w:val="left" w:pos="284"/>
              </w:tabs>
              <w:ind w:left="0" w:right="-90"/>
              <w:jc w:val="center"/>
              <w:rPr>
                <w:rFonts w:ascii="Arial" w:hAnsi="Arial" w:cs="Arial"/>
                <w:sz w:val="18"/>
                <w:szCs w:val="18"/>
                <w:lang w:val="el-GR"/>
              </w:rPr>
            </w:pPr>
            <w:r w:rsidRPr="007E5ABB">
              <w:rPr>
                <w:rFonts w:ascii="Arial" w:hAnsi="Arial" w:cs="Arial"/>
                <w:sz w:val="18"/>
                <w:szCs w:val="18"/>
              </w:rPr>
              <w:t>-</w:t>
            </w:r>
          </w:p>
        </w:tc>
        <w:tc>
          <w:tcPr>
            <w:tcW w:w="1445" w:type="dxa"/>
            <w:tcBorders>
              <w:right w:val="single" w:sz="4" w:space="0" w:color="auto"/>
            </w:tcBorders>
            <w:vAlign w:val="center"/>
          </w:tcPr>
          <w:p w14:paraId="48EE66C9" w14:textId="6BB77BB2" w:rsidR="00DF6BB4" w:rsidRPr="007E5ABB" w:rsidRDefault="00DF6BB4" w:rsidP="00DF6BB4">
            <w:pPr>
              <w:pStyle w:val="ColorfulList-Accent11"/>
              <w:tabs>
                <w:tab w:val="left" w:pos="0"/>
                <w:tab w:val="left" w:pos="284"/>
              </w:tabs>
              <w:ind w:left="0" w:right="-90"/>
              <w:jc w:val="center"/>
              <w:rPr>
                <w:rFonts w:ascii="Arial" w:hAnsi="Arial" w:cs="Arial"/>
                <w:sz w:val="18"/>
                <w:szCs w:val="18"/>
                <w:lang w:val="el-GR"/>
              </w:rPr>
            </w:pPr>
            <w:r w:rsidRPr="007E5ABB">
              <w:rPr>
                <w:rFonts w:ascii="Arial" w:hAnsi="Arial" w:cs="Arial"/>
                <w:sz w:val="18"/>
                <w:szCs w:val="18"/>
              </w:rPr>
              <w:t>(2</w:t>
            </w:r>
            <w:r w:rsidR="00460E4F" w:rsidRPr="007E5ABB">
              <w:rPr>
                <w:rFonts w:ascii="Arial" w:hAnsi="Arial" w:cs="Arial"/>
                <w:sz w:val="18"/>
                <w:szCs w:val="18"/>
              </w:rPr>
              <w:t>,</w:t>
            </w:r>
            <w:r w:rsidRPr="007E5ABB">
              <w:rPr>
                <w:rFonts w:ascii="Arial" w:hAnsi="Arial" w:cs="Arial"/>
                <w:sz w:val="18"/>
                <w:szCs w:val="18"/>
              </w:rPr>
              <w:t>4)</w:t>
            </w:r>
          </w:p>
        </w:tc>
        <w:tc>
          <w:tcPr>
            <w:tcW w:w="1445" w:type="dxa"/>
            <w:tcBorders>
              <w:left w:val="single" w:sz="4" w:space="0" w:color="auto"/>
            </w:tcBorders>
            <w:vAlign w:val="center"/>
          </w:tcPr>
          <w:p w14:paraId="7CEA13D1" w14:textId="6E1CDA52" w:rsidR="00DF6BB4" w:rsidRPr="007E5ABB" w:rsidRDefault="00DF6BB4" w:rsidP="00DF6BB4">
            <w:pPr>
              <w:pStyle w:val="ColorfulList-Accent11"/>
              <w:tabs>
                <w:tab w:val="left" w:pos="0"/>
                <w:tab w:val="left" w:pos="284"/>
              </w:tabs>
              <w:ind w:left="0" w:right="-90"/>
              <w:jc w:val="center"/>
              <w:rPr>
                <w:rFonts w:ascii="Arial" w:hAnsi="Arial" w:cs="Arial"/>
                <w:sz w:val="18"/>
                <w:szCs w:val="18"/>
                <w:lang w:val="el-GR"/>
              </w:rPr>
            </w:pPr>
            <w:r w:rsidRPr="007E5ABB">
              <w:rPr>
                <w:rFonts w:ascii="Arial" w:hAnsi="Arial" w:cs="Arial"/>
                <w:sz w:val="18"/>
                <w:szCs w:val="18"/>
              </w:rPr>
              <w:t>-</w:t>
            </w:r>
          </w:p>
        </w:tc>
        <w:tc>
          <w:tcPr>
            <w:tcW w:w="1445" w:type="dxa"/>
            <w:vAlign w:val="center"/>
          </w:tcPr>
          <w:p w14:paraId="3B074139" w14:textId="2A124491" w:rsidR="00DF6BB4" w:rsidRPr="007E5ABB" w:rsidRDefault="00DF6BB4" w:rsidP="00DF6BB4">
            <w:pPr>
              <w:pStyle w:val="ColorfulList-Accent11"/>
              <w:tabs>
                <w:tab w:val="left" w:pos="0"/>
                <w:tab w:val="left" w:pos="284"/>
              </w:tabs>
              <w:ind w:left="0" w:right="-90"/>
              <w:jc w:val="center"/>
              <w:rPr>
                <w:rFonts w:ascii="Arial" w:hAnsi="Arial" w:cs="Arial"/>
                <w:sz w:val="18"/>
                <w:szCs w:val="18"/>
                <w:lang w:val="el-GR"/>
              </w:rPr>
            </w:pPr>
            <w:r w:rsidRPr="007E5ABB">
              <w:rPr>
                <w:rFonts w:ascii="Arial" w:hAnsi="Arial" w:cs="Arial"/>
                <w:sz w:val="18"/>
                <w:szCs w:val="18"/>
              </w:rPr>
              <w:t>(2</w:t>
            </w:r>
            <w:r w:rsidR="00460E4F" w:rsidRPr="007E5ABB">
              <w:rPr>
                <w:rFonts w:ascii="Arial" w:hAnsi="Arial" w:cs="Arial"/>
                <w:sz w:val="18"/>
                <w:szCs w:val="18"/>
              </w:rPr>
              <w:t>,</w:t>
            </w:r>
            <w:r w:rsidRPr="007E5ABB">
              <w:rPr>
                <w:rFonts w:ascii="Arial" w:hAnsi="Arial" w:cs="Arial"/>
                <w:sz w:val="18"/>
                <w:szCs w:val="18"/>
              </w:rPr>
              <w:t>4)</w:t>
            </w:r>
          </w:p>
        </w:tc>
      </w:tr>
      <w:tr w:rsidR="00DF6BB4" w:rsidRPr="007E5ABB" w14:paraId="1E08AB96" w14:textId="77777777" w:rsidTr="00FB20CB">
        <w:trPr>
          <w:trHeight w:val="228"/>
        </w:trPr>
        <w:tc>
          <w:tcPr>
            <w:tcW w:w="5103" w:type="dxa"/>
            <w:tcBorders>
              <w:bottom w:val="single" w:sz="2" w:space="0" w:color="808080" w:themeColor="background1" w:themeShade="80"/>
              <w:right w:val="single" w:sz="4" w:space="0" w:color="auto"/>
            </w:tcBorders>
            <w:vAlign w:val="center"/>
          </w:tcPr>
          <w:p w14:paraId="2B9DE23E" w14:textId="32536159" w:rsidR="00DF6BB4" w:rsidRPr="007E5ABB" w:rsidRDefault="00DF6BB4" w:rsidP="00DF6BB4">
            <w:pPr>
              <w:pStyle w:val="ColorfulList-Accent11"/>
              <w:tabs>
                <w:tab w:val="left" w:pos="0"/>
                <w:tab w:val="left" w:pos="284"/>
              </w:tabs>
              <w:ind w:left="0" w:right="-90"/>
              <w:rPr>
                <w:rFonts w:ascii="Arial" w:hAnsi="Arial" w:cs="Arial"/>
                <w:sz w:val="18"/>
                <w:szCs w:val="18"/>
              </w:rPr>
            </w:pPr>
            <w:proofErr w:type="spellStart"/>
            <w:r w:rsidRPr="007E5ABB">
              <w:rPr>
                <w:rFonts w:ascii="Arial" w:hAnsi="Arial" w:cs="Arial"/>
                <w:sz w:val="18"/>
                <w:szCs w:val="18"/>
              </w:rPr>
              <w:t>Πιστωτικοί</w:t>
            </w:r>
            <w:proofErr w:type="spellEnd"/>
            <w:r w:rsidRPr="007E5ABB">
              <w:rPr>
                <w:rFonts w:ascii="Arial" w:hAnsi="Arial" w:cs="Arial"/>
                <w:sz w:val="18"/>
                <w:szCs w:val="18"/>
              </w:rPr>
              <w:t xml:space="preserve"> </w:t>
            </w:r>
            <w:proofErr w:type="spellStart"/>
            <w:r w:rsidRPr="007E5ABB">
              <w:rPr>
                <w:rFonts w:ascii="Arial" w:hAnsi="Arial" w:cs="Arial"/>
                <w:sz w:val="18"/>
                <w:szCs w:val="18"/>
              </w:rPr>
              <w:t>τόκοι</w:t>
            </w:r>
            <w:proofErr w:type="spellEnd"/>
            <w:r w:rsidRPr="007E5ABB">
              <w:rPr>
                <w:rFonts w:ascii="Arial" w:hAnsi="Arial" w:cs="Arial"/>
                <w:sz w:val="18"/>
                <w:szCs w:val="18"/>
              </w:rPr>
              <w:t xml:space="preserve"> </w:t>
            </w:r>
            <w:proofErr w:type="spellStart"/>
            <w:r w:rsidRPr="007E5ABB">
              <w:rPr>
                <w:rFonts w:ascii="Arial" w:hAnsi="Arial" w:cs="Arial"/>
                <w:sz w:val="18"/>
                <w:szCs w:val="18"/>
              </w:rPr>
              <w:t>εισ</w:t>
            </w:r>
            <w:proofErr w:type="spellEnd"/>
            <w:r w:rsidRPr="007E5ABB">
              <w:rPr>
                <w:rFonts w:ascii="Arial" w:hAnsi="Arial" w:cs="Arial"/>
                <w:sz w:val="18"/>
                <w:szCs w:val="18"/>
              </w:rPr>
              <w:t>πραχθέντες</w:t>
            </w:r>
          </w:p>
        </w:tc>
        <w:tc>
          <w:tcPr>
            <w:tcW w:w="1444" w:type="dxa"/>
            <w:tcBorders>
              <w:left w:val="single" w:sz="4" w:space="0" w:color="auto"/>
              <w:bottom w:val="single" w:sz="2" w:space="0" w:color="808080" w:themeColor="background1" w:themeShade="80"/>
            </w:tcBorders>
            <w:vAlign w:val="center"/>
          </w:tcPr>
          <w:p w14:paraId="5BD7931E" w14:textId="63F06CA1" w:rsidR="00DF6BB4" w:rsidRPr="007E5ABB" w:rsidRDefault="00DF6BB4" w:rsidP="00DF6BB4">
            <w:pPr>
              <w:pStyle w:val="ColorfulList-Accent11"/>
              <w:tabs>
                <w:tab w:val="left" w:pos="0"/>
                <w:tab w:val="left" w:pos="284"/>
              </w:tabs>
              <w:ind w:left="0" w:right="-90"/>
              <w:jc w:val="center"/>
              <w:rPr>
                <w:rFonts w:ascii="Arial" w:hAnsi="Arial" w:cs="Arial"/>
                <w:color w:val="FF0000"/>
                <w:sz w:val="18"/>
                <w:szCs w:val="18"/>
              </w:rPr>
            </w:pPr>
            <w:r w:rsidRPr="007E5ABB">
              <w:rPr>
                <w:rFonts w:ascii="Arial" w:hAnsi="Arial" w:cs="Arial"/>
                <w:sz w:val="18"/>
                <w:szCs w:val="18"/>
              </w:rPr>
              <w:t>1</w:t>
            </w:r>
            <w:r w:rsidR="00460E4F" w:rsidRPr="007E5ABB">
              <w:rPr>
                <w:rFonts w:ascii="Arial" w:hAnsi="Arial" w:cs="Arial"/>
                <w:sz w:val="18"/>
                <w:szCs w:val="18"/>
              </w:rPr>
              <w:t>,</w:t>
            </w:r>
            <w:r w:rsidRPr="007E5ABB">
              <w:rPr>
                <w:rFonts w:ascii="Arial" w:hAnsi="Arial" w:cs="Arial"/>
                <w:sz w:val="18"/>
                <w:szCs w:val="18"/>
              </w:rPr>
              <w:t>4</w:t>
            </w:r>
          </w:p>
        </w:tc>
        <w:tc>
          <w:tcPr>
            <w:tcW w:w="1445" w:type="dxa"/>
            <w:tcBorders>
              <w:bottom w:val="single" w:sz="2" w:space="0" w:color="808080" w:themeColor="background1" w:themeShade="80"/>
              <w:right w:val="single" w:sz="4" w:space="0" w:color="auto"/>
            </w:tcBorders>
            <w:vAlign w:val="center"/>
          </w:tcPr>
          <w:p w14:paraId="7833C91A" w14:textId="19844B9C" w:rsidR="00DF6BB4" w:rsidRPr="007E5ABB" w:rsidRDefault="00DF6BB4" w:rsidP="00DF6BB4">
            <w:pPr>
              <w:pStyle w:val="ColorfulList-Accent11"/>
              <w:tabs>
                <w:tab w:val="left" w:pos="0"/>
                <w:tab w:val="left" w:pos="284"/>
              </w:tabs>
              <w:ind w:left="0" w:right="-90"/>
              <w:jc w:val="center"/>
              <w:rPr>
                <w:rFonts w:ascii="Arial" w:hAnsi="Arial" w:cs="Arial"/>
                <w:color w:val="FF0000"/>
                <w:sz w:val="18"/>
                <w:szCs w:val="18"/>
              </w:rPr>
            </w:pPr>
            <w:r w:rsidRPr="007E5ABB">
              <w:rPr>
                <w:rFonts w:ascii="Arial" w:hAnsi="Arial" w:cs="Arial"/>
                <w:sz w:val="18"/>
                <w:szCs w:val="18"/>
              </w:rPr>
              <w:t>2</w:t>
            </w:r>
            <w:r w:rsidR="00460E4F" w:rsidRPr="007E5ABB">
              <w:rPr>
                <w:rFonts w:ascii="Arial" w:hAnsi="Arial" w:cs="Arial"/>
                <w:sz w:val="18"/>
                <w:szCs w:val="18"/>
              </w:rPr>
              <w:t>,</w:t>
            </w:r>
            <w:r w:rsidRPr="007E5ABB">
              <w:rPr>
                <w:rFonts w:ascii="Arial" w:hAnsi="Arial" w:cs="Arial"/>
                <w:sz w:val="18"/>
                <w:szCs w:val="18"/>
              </w:rPr>
              <w:t>2</w:t>
            </w:r>
          </w:p>
        </w:tc>
        <w:tc>
          <w:tcPr>
            <w:tcW w:w="1445" w:type="dxa"/>
            <w:tcBorders>
              <w:left w:val="single" w:sz="4" w:space="0" w:color="auto"/>
              <w:bottom w:val="single" w:sz="2" w:space="0" w:color="808080" w:themeColor="background1" w:themeShade="80"/>
            </w:tcBorders>
            <w:vAlign w:val="center"/>
          </w:tcPr>
          <w:p w14:paraId="75B6D72A" w14:textId="03556177" w:rsidR="00DF6BB4" w:rsidRPr="007E5ABB" w:rsidRDefault="00DF6BB4" w:rsidP="00DF6BB4">
            <w:pPr>
              <w:pStyle w:val="ColorfulList-Accent11"/>
              <w:tabs>
                <w:tab w:val="left" w:pos="0"/>
                <w:tab w:val="left" w:pos="284"/>
              </w:tabs>
              <w:ind w:left="0" w:right="-90"/>
              <w:jc w:val="center"/>
              <w:rPr>
                <w:rFonts w:ascii="Arial" w:hAnsi="Arial" w:cs="Arial"/>
                <w:sz w:val="18"/>
                <w:szCs w:val="18"/>
              </w:rPr>
            </w:pPr>
            <w:r w:rsidRPr="007E5ABB">
              <w:rPr>
                <w:rFonts w:ascii="Arial" w:hAnsi="Arial" w:cs="Arial"/>
                <w:sz w:val="18"/>
                <w:szCs w:val="18"/>
              </w:rPr>
              <w:t>6</w:t>
            </w:r>
            <w:r w:rsidR="00460E4F" w:rsidRPr="007E5ABB">
              <w:rPr>
                <w:rFonts w:ascii="Arial" w:hAnsi="Arial" w:cs="Arial"/>
                <w:sz w:val="18"/>
                <w:szCs w:val="18"/>
              </w:rPr>
              <w:t>,</w:t>
            </w:r>
            <w:r w:rsidRPr="007E5ABB">
              <w:rPr>
                <w:rFonts w:ascii="Arial" w:hAnsi="Arial" w:cs="Arial"/>
                <w:sz w:val="18"/>
                <w:szCs w:val="18"/>
              </w:rPr>
              <w:t>2</w:t>
            </w:r>
          </w:p>
        </w:tc>
        <w:tc>
          <w:tcPr>
            <w:tcW w:w="1445" w:type="dxa"/>
            <w:tcBorders>
              <w:bottom w:val="single" w:sz="2" w:space="0" w:color="808080" w:themeColor="background1" w:themeShade="80"/>
            </w:tcBorders>
            <w:vAlign w:val="center"/>
          </w:tcPr>
          <w:p w14:paraId="026955AE" w14:textId="7D88B1C6" w:rsidR="00DF6BB4" w:rsidRPr="007E5ABB" w:rsidRDefault="00DF6BB4" w:rsidP="00DF6BB4">
            <w:pPr>
              <w:pStyle w:val="ColorfulList-Accent11"/>
              <w:tabs>
                <w:tab w:val="left" w:pos="0"/>
                <w:tab w:val="left" w:pos="284"/>
              </w:tabs>
              <w:ind w:left="0" w:right="-90"/>
              <w:jc w:val="center"/>
              <w:rPr>
                <w:rFonts w:ascii="Arial" w:hAnsi="Arial" w:cs="Arial"/>
                <w:sz w:val="18"/>
                <w:szCs w:val="18"/>
              </w:rPr>
            </w:pPr>
            <w:r w:rsidRPr="007E5ABB">
              <w:rPr>
                <w:rFonts w:ascii="Arial" w:hAnsi="Arial" w:cs="Arial"/>
                <w:sz w:val="18"/>
                <w:szCs w:val="18"/>
              </w:rPr>
              <w:t>9</w:t>
            </w:r>
            <w:r w:rsidR="00460E4F" w:rsidRPr="007E5ABB">
              <w:rPr>
                <w:rFonts w:ascii="Arial" w:hAnsi="Arial" w:cs="Arial"/>
                <w:sz w:val="18"/>
                <w:szCs w:val="18"/>
              </w:rPr>
              <w:t>,</w:t>
            </w:r>
            <w:r w:rsidRPr="007E5ABB">
              <w:rPr>
                <w:rFonts w:ascii="Arial" w:hAnsi="Arial" w:cs="Arial"/>
                <w:sz w:val="18"/>
                <w:szCs w:val="18"/>
              </w:rPr>
              <w:t>2</w:t>
            </w:r>
          </w:p>
        </w:tc>
      </w:tr>
      <w:tr w:rsidR="00DF6BB4" w:rsidRPr="007E5ABB" w14:paraId="340DDF18" w14:textId="77777777" w:rsidTr="00FB20CB">
        <w:trPr>
          <w:trHeight w:val="370"/>
        </w:trPr>
        <w:tc>
          <w:tcPr>
            <w:tcW w:w="5103" w:type="dxa"/>
            <w:tcBorders>
              <w:bottom w:val="single" w:sz="2" w:space="0" w:color="808080" w:themeColor="background1" w:themeShade="80"/>
              <w:right w:val="single" w:sz="4" w:space="0" w:color="auto"/>
            </w:tcBorders>
            <w:vAlign w:val="center"/>
          </w:tcPr>
          <w:p w14:paraId="49DEF89A" w14:textId="13FD1CB7" w:rsidR="00DF6BB4" w:rsidRPr="007E5ABB" w:rsidRDefault="00DF6BB4" w:rsidP="005D0709">
            <w:pPr>
              <w:pStyle w:val="Default"/>
              <w:rPr>
                <w:rFonts w:ascii="Arial" w:hAnsi="Arial" w:cs="Arial"/>
                <w:sz w:val="18"/>
                <w:szCs w:val="18"/>
                <w:lang w:val="el-GR"/>
              </w:rPr>
            </w:pPr>
            <w:r w:rsidRPr="00FB20CB">
              <w:rPr>
                <w:rFonts w:ascii="Arial" w:hAnsi="Arial" w:cs="Arial"/>
                <w:sz w:val="18"/>
                <w:szCs w:val="18"/>
                <w:lang w:val="el-GR"/>
              </w:rPr>
              <w:t xml:space="preserve">Καθαρές ταμειακές ροές από επενδυτικές δραστηριότητες διακοπεισών δραστηριοτήτων </w:t>
            </w:r>
          </w:p>
        </w:tc>
        <w:tc>
          <w:tcPr>
            <w:tcW w:w="1444" w:type="dxa"/>
            <w:tcBorders>
              <w:left w:val="single" w:sz="4" w:space="0" w:color="auto"/>
              <w:bottom w:val="single" w:sz="2" w:space="0" w:color="808080" w:themeColor="background1" w:themeShade="80"/>
            </w:tcBorders>
            <w:vAlign w:val="center"/>
          </w:tcPr>
          <w:p w14:paraId="09F406B0" w14:textId="72049608" w:rsidR="00DF6BB4" w:rsidRPr="007E5ABB" w:rsidRDefault="00DF6BB4" w:rsidP="00DF6BB4">
            <w:pPr>
              <w:pStyle w:val="ColorfulList-Accent11"/>
              <w:tabs>
                <w:tab w:val="left" w:pos="0"/>
                <w:tab w:val="left" w:pos="284"/>
              </w:tabs>
              <w:ind w:left="0" w:right="-90"/>
              <w:jc w:val="center"/>
              <w:rPr>
                <w:rFonts w:ascii="Arial" w:hAnsi="Arial" w:cs="Arial"/>
                <w:color w:val="FF0000"/>
                <w:sz w:val="18"/>
                <w:szCs w:val="18"/>
                <w:lang w:val="el-GR"/>
              </w:rPr>
            </w:pPr>
            <w:r w:rsidRPr="007E5ABB">
              <w:rPr>
                <w:rFonts w:ascii="Arial" w:hAnsi="Arial" w:cs="Arial"/>
                <w:sz w:val="18"/>
                <w:szCs w:val="18"/>
              </w:rPr>
              <w:t>(8</w:t>
            </w:r>
            <w:r w:rsidR="00460E4F" w:rsidRPr="007E5ABB">
              <w:rPr>
                <w:rFonts w:ascii="Arial" w:hAnsi="Arial" w:cs="Arial"/>
                <w:sz w:val="18"/>
                <w:szCs w:val="18"/>
              </w:rPr>
              <w:t>,</w:t>
            </w:r>
            <w:r w:rsidRPr="007E5ABB">
              <w:rPr>
                <w:rFonts w:ascii="Arial" w:hAnsi="Arial" w:cs="Arial"/>
                <w:sz w:val="18"/>
                <w:szCs w:val="18"/>
              </w:rPr>
              <w:t>3)</w:t>
            </w:r>
          </w:p>
        </w:tc>
        <w:tc>
          <w:tcPr>
            <w:tcW w:w="1445" w:type="dxa"/>
            <w:tcBorders>
              <w:bottom w:val="single" w:sz="2" w:space="0" w:color="808080" w:themeColor="background1" w:themeShade="80"/>
              <w:right w:val="single" w:sz="4" w:space="0" w:color="auto"/>
            </w:tcBorders>
            <w:vAlign w:val="center"/>
          </w:tcPr>
          <w:p w14:paraId="71B14023" w14:textId="5E28E539" w:rsidR="00DF6BB4" w:rsidRPr="007E5ABB" w:rsidRDefault="00DF6BB4" w:rsidP="00DF6BB4">
            <w:pPr>
              <w:pStyle w:val="ColorfulList-Accent11"/>
              <w:tabs>
                <w:tab w:val="left" w:pos="0"/>
                <w:tab w:val="left" w:pos="284"/>
              </w:tabs>
              <w:ind w:left="0" w:right="-90"/>
              <w:jc w:val="center"/>
              <w:rPr>
                <w:rFonts w:ascii="Arial" w:hAnsi="Arial" w:cs="Arial"/>
                <w:color w:val="FF0000"/>
                <w:sz w:val="18"/>
                <w:szCs w:val="18"/>
                <w:lang w:val="el-GR"/>
              </w:rPr>
            </w:pPr>
            <w:r w:rsidRPr="007E5ABB">
              <w:rPr>
                <w:rFonts w:ascii="Arial" w:hAnsi="Arial" w:cs="Arial"/>
                <w:sz w:val="18"/>
                <w:szCs w:val="18"/>
              </w:rPr>
              <w:t>(7</w:t>
            </w:r>
            <w:r w:rsidR="00460E4F" w:rsidRPr="007E5ABB">
              <w:rPr>
                <w:rFonts w:ascii="Arial" w:hAnsi="Arial" w:cs="Arial"/>
                <w:sz w:val="18"/>
                <w:szCs w:val="18"/>
              </w:rPr>
              <w:t>,</w:t>
            </w:r>
            <w:r w:rsidRPr="007E5ABB">
              <w:rPr>
                <w:rFonts w:ascii="Arial" w:hAnsi="Arial" w:cs="Arial"/>
                <w:sz w:val="18"/>
                <w:szCs w:val="18"/>
              </w:rPr>
              <w:t>0)</w:t>
            </w:r>
          </w:p>
        </w:tc>
        <w:tc>
          <w:tcPr>
            <w:tcW w:w="1445" w:type="dxa"/>
            <w:tcBorders>
              <w:left w:val="single" w:sz="4" w:space="0" w:color="auto"/>
              <w:bottom w:val="single" w:sz="2" w:space="0" w:color="808080" w:themeColor="background1" w:themeShade="80"/>
            </w:tcBorders>
            <w:vAlign w:val="center"/>
          </w:tcPr>
          <w:p w14:paraId="37F67361" w14:textId="1C3BE762" w:rsidR="00DF6BB4" w:rsidRPr="007E5ABB" w:rsidRDefault="00DF6BB4" w:rsidP="00DF6BB4">
            <w:pPr>
              <w:pStyle w:val="ColorfulList-Accent11"/>
              <w:tabs>
                <w:tab w:val="left" w:pos="0"/>
                <w:tab w:val="left" w:pos="284"/>
              </w:tabs>
              <w:ind w:left="0" w:right="-90"/>
              <w:jc w:val="center"/>
              <w:rPr>
                <w:rFonts w:ascii="Arial" w:hAnsi="Arial" w:cs="Arial"/>
                <w:sz w:val="18"/>
                <w:szCs w:val="18"/>
                <w:lang w:val="el-GR"/>
              </w:rPr>
            </w:pPr>
            <w:r w:rsidRPr="007E5ABB">
              <w:rPr>
                <w:rFonts w:ascii="Arial" w:hAnsi="Arial" w:cs="Arial"/>
                <w:sz w:val="18"/>
                <w:szCs w:val="18"/>
              </w:rPr>
              <w:t>(22</w:t>
            </w:r>
            <w:r w:rsidR="00460E4F" w:rsidRPr="007E5ABB">
              <w:rPr>
                <w:rFonts w:ascii="Arial" w:hAnsi="Arial" w:cs="Arial"/>
                <w:sz w:val="18"/>
                <w:szCs w:val="18"/>
              </w:rPr>
              <w:t>,</w:t>
            </w:r>
            <w:r w:rsidRPr="007E5ABB">
              <w:rPr>
                <w:rFonts w:ascii="Arial" w:hAnsi="Arial" w:cs="Arial"/>
                <w:sz w:val="18"/>
                <w:szCs w:val="18"/>
              </w:rPr>
              <w:t>0)</w:t>
            </w:r>
          </w:p>
        </w:tc>
        <w:tc>
          <w:tcPr>
            <w:tcW w:w="1445" w:type="dxa"/>
            <w:tcBorders>
              <w:bottom w:val="single" w:sz="2" w:space="0" w:color="808080" w:themeColor="background1" w:themeShade="80"/>
            </w:tcBorders>
            <w:vAlign w:val="center"/>
          </w:tcPr>
          <w:p w14:paraId="04B5230A" w14:textId="43FFF327" w:rsidR="00DF6BB4" w:rsidRPr="007E5ABB" w:rsidRDefault="00DF6BB4" w:rsidP="00DF6BB4">
            <w:pPr>
              <w:pStyle w:val="ColorfulList-Accent11"/>
              <w:tabs>
                <w:tab w:val="left" w:pos="0"/>
                <w:tab w:val="left" w:pos="284"/>
              </w:tabs>
              <w:ind w:left="0" w:right="-90"/>
              <w:jc w:val="center"/>
              <w:rPr>
                <w:rFonts w:ascii="Arial" w:hAnsi="Arial" w:cs="Arial"/>
                <w:sz w:val="18"/>
                <w:szCs w:val="18"/>
                <w:lang w:val="el-GR"/>
              </w:rPr>
            </w:pPr>
            <w:r w:rsidRPr="007E5ABB">
              <w:rPr>
                <w:rFonts w:ascii="Arial" w:hAnsi="Arial" w:cs="Arial"/>
                <w:sz w:val="18"/>
                <w:szCs w:val="18"/>
              </w:rPr>
              <w:t>(28</w:t>
            </w:r>
            <w:r w:rsidR="00460E4F" w:rsidRPr="007E5ABB">
              <w:rPr>
                <w:rFonts w:ascii="Arial" w:hAnsi="Arial" w:cs="Arial"/>
                <w:sz w:val="18"/>
                <w:szCs w:val="18"/>
              </w:rPr>
              <w:t>,</w:t>
            </w:r>
            <w:r w:rsidRPr="007E5ABB">
              <w:rPr>
                <w:rFonts w:ascii="Arial" w:hAnsi="Arial" w:cs="Arial"/>
                <w:sz w:val="18"/>
                <w:szCs w:val="18"/>
              </w:rPr>
              <w:t>3)</w:t>
            </w:r>
          </w:p>
        </w:tc>
      </w:tr>
      <w:tr w:rsidR="00CA6DAC" w:rsidRPr="007E5ABB" w14:paraId="7473B6BE" w14:textId="77777777" w:rsidTr="00FB20CB">
        <w:trPr>
          <w:trHeight w:val="289"/>
        </w:trPr>
        <w:tc>
          <w:tcPr>
            <w:tcW w:w="5103" w:type="dxa"/>
            <w:tcBorders>
              <w:top w:val="single" w:sz="2" w:space="0" w:color="808080" w:themeColor="background1" w:themeShade="80"/>
              <w:bottom w:val="single" w:sz="2" w:space="0" w:color="808080" w:themeColor="background1" w:themeShade="80"/>
              <w:right w:val="single" w:sz="4" w:space="0" w:color="auto"/>
            </w:tcBorders>
            <w:shd w:val="clear" w:color="auto" w:fill="F2F2F2" w:themeFill="background1" w:themeFillShade="F2"/>
            <w:vAlign w:val="center"/>
          </w:tcPr>
          <w:p w14:paraId="73A8C4B9" w14:textId="43CA66E1" w:rsidR="00DF6BB4" w:rsidRPr="007E5ABB" w:rsidRDefault="00DF6BB4" w:rsidP="00DF6BB4">
            <w:pPr>
              <w:pStyle w:val="ColorfulList-Accent11"/>
              <w:tabs>
                <w:tab w:val="left" w:pos="0"/>
                <w:tab w:val="left" w:pos="284"/>
              </w:tabs>
              <w:ind w:left="0" w:right="-90"/>
              <w:rPr>
                <w:rFonts w:ascii="Arial" w:hAnsi="Arial" w:cs="Arial"/>
                <w:b/>
                <w:sz w:val="18"/>
                <w:szCs w:val="18"/>
                <w:lang w:val="el-GR"/>
              </w:rPr>
            </w:pPr>
            <w:r w:rsidRPr="007E5ABB">
              <w:rPr>
                <w:rFonts w:ascii="Arial" w:hAnsi="Arial" w:cs="Arial"/>
                <w:b/>
                <w:sz w:val="18"/>
                <w:szCs w:val="18"/>
                <w:lang w:val="el-GR"/>
              </w:rPr>
              <w:t>Καθαρές ταμειακές ροές από επενδυτικές δραστηριότητες</w:t>
            </w:r>
          </w:p>
        </w:tc>
        <w:tc>
          <w:tcPr>
            <w:tcW w:w="1444" w:type="dxa"/>
            <w:tcBorders>
              <w:top w:val="single" w:sz="2" w:space="0" w:color="808080" w:themeColor="background1" w:themeShade="80"/>
              <w:left w:val="single" w:sz="4" w:space="0" w:color="auto"/>
              <w:bottom w:val="single" w:sz="2" w:space="0" w:color="808080" w:themeColor="background1" w:themeShade="80"/>
            </w:tcBorders>
            <w:shd w:val="clear" w:color="auto" w:fill="F2F2F2" w:themeFill="background1" w:themeFillShade="F2"/>
            <w:vAlign w:val="center"/>
          </w:tcPr>
          <w:p w14:paraId="410ABF61" w14:textId="5C0E5103" w:rsidR="00DF6BB4" w:rsidRPr="007E5ABB" w:rsidRDefault="00DF6BB4" w:rsidP="00DF6BB4">
            <w:pPr>
              <w:pStyle w:val="ColorfulList-Accent11"/>
              <w:tabs>
                <w:tab w:val="left" w:pos="0"/>
                <w:tab w:val="left" w:pos="284"/>
              </w:tabs>
              <w:ind w:left="0" w:right="-90"/>
              <w:jc w:val="center"/>
              <w:rPr>
                <w:rFonts w:ascii="Arial" w:hAnsi="Arial" w:cs="Arial"/>
                <w:i/>
                <w:color w:val="FF0000"/>
                <w:sz w:val="18"/>
                <w:szCs w:val="18"/>
                <w:lang w:val="el-GR"/>
              </w:rPr>
            </w:pPr>
            <w:r w:rsidRPr="007E5ABB">
              <w:rPr>
                <w:rFonts w:ascii="Arial" w:hAnsi="Arial" w:cs="Arial"/>
                <w:b/>
                <w:bCs/>
                <w:sz w:val="18"/>
                <w:szCs w:val="18"/>
              </w:rPr>
              <w:t>(155</w:t>
            </w:r>
            <w:r w:rsidR="00460E4F" w:rsidRPr="007E5ABB">
              <w:rPr>
                <w:rFonts w:ascii="Arial" w:hAnsi="Arial" w:cs="Arial"/>
                <w:b/>
                <w:bCs/>
                <w:sz w:val="18"/>
                <w:szCs w:val="18"/>
              </w:rPr>
              <w:t>,</w:t>
            </w:r>
            <w:r w:rsidRPr="007E5ABB">
              <w:rPr>
                <w:rFonts w:ascii="Arial" w:hAnsi="Arial" w:cs="Arial"/>
                <w:b/>
                <w:bCs/>
                <w:sz w:val="18"/>
                <w:szCs w:val="18"/>
              </w:rPr>
              <w:t>0)</w:t>
            </w:r>
          </w:p>
        </w:tc>
        <w:tc>
          <w:tcPr>
            <w:tcW w:w="1445" w:type="dxa"/>
            <w:tcBorders>
              <w:top w:val="single" w:sz="2" w:space="0" w:color="808080" w:themeColor="background1" w:themeShade="80"/>
              <w:bottom w:val="single" w:sz="2" w:space="0" w:color="808080" w:themeColor="background1" w:themeShade="80"/>
              <w:right w:val="single" w:sz="4" w:space="0" w:color="auto"/>
            </w:tcBorders>
            <w:shd w:val="clear" w:color="auto" w:fill="F2F2F2" w:themeFill="background1" w:themeFillShade="F2"/>
            <w:vAlign w:val="center"/>
          </w:tcPr>
          <w:p w14:paraId="545CC4E1" w14:textId="33B8EA35" w:rsidR="00DF6BB4" w:rsidRPr="007E5ABB" w:rsidRDefault="00DF6BB4" w:rsidP="00DF6BB4">
            <w:pPr>
              <w:pStyle w:val="ColorfulList-Accent11"/>
              <w:tabs>
                <w:tab w:val="left" w:pos="0"/>
                <w:tab w:val="left" w:pos="284"/>
              </w:tabs>
              <w:ind w:left="0" w:right="-90"/>
              <w:jc w:val="center"/>
              <w:rPr>
                <w:rFonts w:ascii="Arial" w:hAnsi="Arial" w:cs="Arial"/>
                <w:i/>
                <w:color w:val="FF0000"/>
                <w:sz w:val="18"/>
                <w:szCs w:val="18"/>
                <w:lang w:val="el-GR"/>
              </w:rPr>
            </w:pPr>
            <w:r w:rsidRPr="007E5ABB">
              <w:rPr>
                <w:rFonts w:ascii="Arial" w:hAnsi="Arial" w:cs="Arial"/>
                <w:b/>
                <w:bCs/>
                <w:sz w:val="18"/>
                <w:szCs w:val="18"/>
              </w:rPr>
              <w:t>(149</w:t>
            </w:r>
            <w:r w:rsidR="00460E4F" w:rsidRPr="007E5ABB">
              <w:rPr>
                <w:rFonts w:ascii="Arial" w:hAnsi="Arial" w:cs="Arial"/>
                <w:b/>
                <w:bCs/>
                <w:sz w:val="18"/>
                <w:szCs w:val="18"/>
              </w:rPr>
              <w:t>,</w:t>
            </w:r>
            <w:r w:rsidRPr="007E5ABB">
              <w:rPr>
                <w:rFonts w:ascii="Arial" w:hAnsi="Arial" w:cs="Arial"/>
                <w:b/>
                <w:bCs/>
                <w:sz w:val="18"/>
                <w:szCs w:val="18"/>
              </w:rPr>
              <w:t>9)</w:t>
            </w:r>
          </w:p>
        </w:tc>
        <w:tc>
          <w:tcPr>
            <w:tcW w:w="1445" w:type="dxa"/>
            <w:tcBorders>
              <w:top w:val="single" w:sz="2" w:space="0" w:color="808080" w:themeColor="background1" w:themeShade="80"/>
              <w:left w:val="single" w:sz="4" w:space="0" w:color="auto"/>
              <w:bottom w:val="single" w:sz="2" w:space="0" w:color="808080" w:themeColor="background1" w:themeShade="80"/>
            </w:tcBorders>
            <w:shd w:val="clear" w:color="auto" w:fill="F2F2F2" w:themeFill="background1" w:themeFillShade="F2"/>
            <w:vAlign w:val="center"/>
          </w:tcPr>
          <w:p w14:paraId="05F9C103" w14:textId="3CB51A48" w:rsidR="00DF6BB4" w:rsidRPr="007E5ABB" w:rsidRDefault="00DF6BB4" w:rsidP="00DF6BB4">
            <w:pPr>
              <w:pStyle w:val="ColorfulList-Accent11"/>
              <w:tabs>
                <w:tab w:val="left" w:pos="0"/>
                <w:tab w:val="left" w:pos="284"/>
              </w:tabs>
              <w:ind w:left="0" w:right="-90"/>
              <w:jc w:val="center"/>
              <w:rPr>
                <w:rFonts w:ascii="Arial" w:hAnsi="Arial" w:cs="Arial"/>
                <w:b/>
                <w:sz w:val="18"/>
                <w:szCs w:val="18"/>
                <w:lang w:val="el-GR"/>
              </w:rPr>
            </w:pPr>
            <w:r w:rsidRPr="007E5ABB">
              <w:rPr>
                <w:rFonts w:ascii="Arial" w:hAnsi="Arial" w:cs="Arial"/>
                <w:b/>
                <w:bCs/>
                <w:sz w:val="18"/>
                <w:szCs w:val="18"/>
              </w:rPr>
              <w:t>(447</w:t>
            </w:r>
            <w:r w:rsidR="00460E4F" w:rsidRPr="007E5ABB">
              <w:rPr>
                <w:rFonts w:ascii="Arial" w:hAnsi="Arial" w:cs="Arial"/>
                <w:b/>
                <w:bCs/>
                <w:sz w:val="18"/>
                <w:szCs w:val="18"/>
              </w:rPr>
              <w:t>,</w:t>
            </w:r>
            <w:r w:rsidRPr="007E5ABB">
              <w:rPr>
                <w:rFonts w:ascii="Arial" w:hAnsi="Arial" w:cs="Arial"/>
                <w:b/>
                <w:bCs/>
                <w:sz w:val="18"/>
                <w:szCs w:val="18"/>
              </w:rPr>
              <w:t>8)</w:t>
            </w:r>
          </w:p>
        </w:tc>
        <w:tc>
          <w:tcPr>
            <w:tcW w:w="1445" w:type="dxa"/>
            <w:tcBorders>
              <w:top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596E3853" w14:textId="3961892E" w:rsidR="00DF6BB4" w:rsidRPr="007E5ABB" w:rsidRDefault="00DF6BB4" w:rsidP="00DF6BB4">
            <w:pPr>
              <w:pStyle w:val="ColorfulList-Accent11"/>
              <w:tabs>
                <w:tab w:val="left" w:pos="0"/>
                <w:tab w:val="left" w:pos="284"/>
              </w:tabs>
              <w:ind w:left="0" w:right="-90"/>
              <w:jc w:val="center"/>
              <w:rPr>
                <w:rFonts w:ascii="Arial" w:hAnsi="Arial" w:cs="Arial"/>
                <w:b/>
                <w:sz w:val="18"/>
                <w:szCs w:val="18"/>
                <w:lang w:val="el-GR"/>
              </w:rPr>
            </w:pPr>
            <w:r w:rsidRPr="007E5ABB">
              <w:rPr>
                <w:rFonts w:ascii="Arial" w:hAnsi="Arial" w:cs="Arial"/>
                <w:b/>
                <w:bCs/>
                <w:sz w:val="18"/>
                <w:szCs w:val="18"/>
              </w:rPr>
              <w:t>(421</w:t>
            </w:r>
            <w:r w:rsidR="00460E4F" w:rsidRPr="007E5ABB">
              <w:rPr>
                <w:rFonts w:ascii="Arial" w:hAnsi="Arial" w:cs="Arial"/>
                <w:b/>
                <w:bCs/>
                <w:sz w:val="18"/>
                <w:szCs w:val="18"/>
              </w:rPr>
              <w:t>,</w:t>
            </w:r>
            <w:r w:rsidRPr="007E5ABB">
              <w:rPr>
                <w:rFonts w:ascii="Arial" w:hAnsi="Arial" w:cs="Arial"/>
                <w:b/>
                <w:bCs/>
                <w:sz w:val="18"/>
                <w:szCs w:val="18"/>
              </w:rPr>
              <w:t>5)</w:t>
            </w:r>
          </w:p>
        </w:tc>
      </w:tr>
      <w:tr w:rsidR="00CA6DAC" w:rsidRPr="007E5ABB" w14:paraId="43C9DC13" w14:textId="77777777" w:rsidTr="00FB20CB">
        <w:trPr>
          <w:trHeight w:val="57"/>
        </w:trPr>
        <w:tc>
          <w:tcPr>
            <w:tcW w:w="5103" w:type="dxa"/>
            <w:tcBorders>
              <w:top w:val="single" w:sz="2" w:space="0" w:color="808080" w:themeColor="background1" w:themeShade="80"/>
              <w:right w:val="single" w:sz="4" w:space="0" w:color="auto"/>
            </w:tcBorders>
            <w:shd w:val="clear" w:color="auto" w:fill="FFFFFF" w:themeFill="background1"/>
          </w:tcPr>
          <w:p w14:paraId="61FC875A" w14:textId="46D98D85" w:rsidR="00DF6BB4" w:rsidRPr="007E5ABB" w:rsidRDefault="00DF6BB4" w:rsidP="00DF6BB4">
            <w:pPr>
              <w:pStyle w:val="ColorfulList-Accent11"/>
              <w:tabs>
                <w:tab w:val="left" w:pos="0"/>
                <w:tab w:val="left" w:pos="284"/>
              </w:tabs>
              <w:ind w:left="0" w:right="-90"/>
              <w:rPr>
                <w:rFonts w:ascii="Arial" w:hAnsi="Arial" w:cs="Arial"/>
                <w:b/>
                <w:sz w:val="18"/>
                <w:szCs w:val="18"/>
                <w:lang w:val="el-GR"/>
              </w:rPr>
            </w:pPr>
            <w:r w:rsidRPr="007E5ABB">
              <w:rPr>
                <w:rFonts w:ascii="Arial" w:hAnsi="Arial" w:cs="Arial"/>
                <w:b/>
                <w:sz w:val="18"/>
                <w:szCs w:val="18"/>
                <w:lang w:val="el-GR"/>
              </w:rPr>
              <w:t>Ταμειακές ροές από χρηματοδοτικές δραστηριότητες</w:t>
            </w:r>
          </w:p>
        </w:tc>
        <w:tc>
          <w:tcPr>
            <w:tcW w:w="1444" w:type="dxa"/>
            <w:tcBorders>
              <w:top w:val="single" w:sz="2" w:space="0" w:color="808080" w:themeColor="background1" w:themeShade="80"/>
              <w:left w:val="single" w:sz="4" w:space="0" w:color="auto"/>
            </w:tcBorders>
            <w:shd w:val="clear" w:color="auto" w:fill="FFFFFF" w:themeFill="background1"/>
            <w:vAlign w:val="center"/>
          </w:tcPr>
          <w:p w14:paraId="47E9D718" w14:textId="7D547A34" w:rsidR="00DF6BB4" w:rsidRPr="007E5ABB" w:rsidRDefault="00DF6BB4" w:rsidP="00DF6BB4">
            <w:pPr>
              <w:pStyle w:val="ColorfulList-Accent11"/>
              <w:tabs>
                <w:tab w:val="left" w:pos="0"/>
                <w:tab w:val="left" w:pos="284"/>
              </w:tabs>
              <w:ind w:left="0" w:right="-90"/>
              <w:jc w:val="center"/>
              <w:rPr>
                <w:rFonts w:ascii="Arial" w:hAnsi="Arial" w:cs="Arial"/>
                <w:b/>
                <w:color w:val="FF0000"/>
                <w:sz w:val="18"/>
                <w:szCs w:val="18"/>
                <w:lang w:val="el-GR"/>
              </w:rPr>
            </w:pPr>
          </w:p>
        </w:tc>
        <w:tc>
          <w:tcPr>
            <w:tcW w:w="1445" w:type="dxa"/>
            <w:tcBorders>
              <w:top w:val="single" w:sz="2" w:space="0" w:color="808080" w:themeColor="background1" w:themeShade="80"/>
              <w:right w:val="single" w:sz="4" w:space="0" w:color="auto"/>
            </w:tcBorders>
            <w:shd w:val="clear" w:color="auto" w:fill="FFFFFF" w:themeFill="background1"/>
            <w:vAlign w:val="center"/>
          </w:tcPr>
          <w:p w14:paraId="70ED7D98" w14:textId="54F2AFF0" w:rsidR="00DF6BB4" w:rsidRPr="007E5ABB" w:rsidRDefault="00DF6BB4" w:rsidP="00DF6BB4">
            <w:pPr>
              <w:pStyle w:val="ColorfulList-Accent11"/>
              <w:tabs>
                <w:tab w:val="left" w:pos="0"/>
                <w:tab w:val="left" w:pos="284"/>
              </w:tabs>
              <w:ind w:left="0" w:right="-90"/>
              <w:jc w:val="center"/>
              <w:rPr>
                <w:rFonts w:ascii="Arial" w:hAnsi="Arial" w:cs="Arial"/>
                <w:b/>
                <w:color w:val="FF0000"/>
                <w:sz w:val="18"/>
                <w:szCs w:val="18"/>
                <w:lang w:val="el-GR"/>
              </w:rPr>
            </w:pPr>
          </w:p>
        </w:tc>
        <w:tc>
          <w:tcPr>
            <w:tcW w:w="1445" w:type="dxa"/>
            <w:tcBorders>
              <w:top w:val="single" w:sz="2" w:space="0" w:color="808080" w:themeColor="background1" w:themeShade="80"/>
              <w:left w:val="single" w:sz="4" w:space="0" w:color="auto"/>
            </w:tcBorders>
            <w:shd w:val="clear" w:color="auto" w:fill="FFFFFF" w:themeFill="background1"/>
            <w:vAlign w:val="center"/>
          </w:tcPr>
          <w:p w14:paraId="61F8342A" w14:textId="74C8C321" w:rsidR="00DF6BB4" w:rsidRPr="007E5ABB" w:rsidRDefault="00DF6BB4" w:rsidP="00DF6BB4">
            <w:pPr>
              <w:pStyle w:val="ColorfulList-Accent11"/>
              <w:tabs>
                <w:tab w:val="left" w:pos="0"/>
                <w:tab w:val="left" w:pos="284"/>
              </w:tabs>
              <w:ind w:left="0" w:right="-90"/>
              <w:jc w:val="center"/>
              <w:rPr>
                <w:rFonts w:ascii="Arial" w:hAnsi="Arial" w:cs="Arial"/>
                <w:b/>
                <w:color w:val="FF0000"/>
                <w:sz w:val="18"/>
                <w:szCs w:val="18"/>
                <w:lang w:val="el-GR"/>
              </w:rPr>
            </w:pPr>
          </w:p>
        </w:tc>
        <w:tc>
          <w:tcPr>
            <w:tcW w:w="1445" w:type="dxa"/>
            <w:tcBorders>
              <w:top w:val="single" w:sz="2" w:space="0" w:color="808080" w:themeColor="background1" w:themeShade="80"/>
            </w:tcBorders>
            <w:shd w:val="clear" w:color="auto" w:fill="FFFFFF" w:themeFill="background1"/>
            <w:vAlign w:val="center"/>
          </w:tcPr>
          <w:p w14:paraId="09F62A85" w14:textId="23CC6EF0" w:rsidR="00DF6BB4" w:rsidRPr="007E5ABB" w:rsidRDefault="00DF6BB4" w:rsidP="00DF6BB4">
            <w:pPr>
              <w:pStyle w:val="ColorfulList-Accent11"/>
              <w:tabs>
                <w:tab w:val="left" w:pos="0"/>
                <w:tab w:val="left" w:pos="284"/>
              </w:tabs>
              <w:ind w:left="0" w:right="-90"/>
              <w:jc w:val="center"/>
              <w:rPr>
                <w:rFonts w:ascii="Arial" w:hAnsi="Arial" w:cs="Arial"/>
                <w:b/>
                <w:color w:val="FF0000"/>
                <w:sz w:val="18"/>
                <w:szCs w:val="18"/>
                <w:lang w:val="el-GR"/>
              </w:rPr>
            </w:pPr>
          </w:p>
        </w:tc>
      </w:tr>
      <w:tr w:rsidR="00CA6DAC" w:rsidRPr="007E5ABB" w14:paraId="6ABCE73C" w14:textId="77777777" w:rsidTr="00FB20CB">
        <w:trPr>
          <w:trHeight w:val="57"/>
        </w:trPr>
        <w:tc>
          <w:tcPr>
            <w:tcW w:w="5103" w:type="dxa"/>
            <w:tcBorders>
              <w:right w:val="single" w:sz="4" w:space="0" w:color="auto"/>
            </w:tcBorders>
            <w:shd w:val="clear" w:color="auto" w:fill="FFFFFF" w:themeFill="background1"/>
            <w:vAlign w:val="center"/>
          </w:tcPr>
          <w:p w14:paraId="2E13B2C8" w14:textId="2317019B" w:rsidR="00DC709A" w:rsidRPr="007E5ABB" w:rsidRDefault="00DC709A" w:rsidP="00DC709A">
            <w:pPr>
              <w:pStyle w:val="ColorfulList-Accent11"/>
              <w:tabs>
                <w:tab w:val="left" w:pos="0"/>
                <w:tab w:val="left" w:pos="284"/>
              </w:tabs>
              <w:ind w:left="0" w:right="-90"/>
              <w:rPr>
                <w:rFonts w:ascii="Arial" w:hAnsi="Arial" w:cs="Arial"/>
                <w:b/>
                <w:sz w:val="18"/>
                <w:szCs w:val="18"/>
              </w:rPr>
            </w:pPr>
            <w:r w:rsidRPr="007E5ABB">
              <w:rPr>
                <w:rFonts w:ascii="Arial" w:hAnsi="Arial" w:cs="Arial"/>
                <w:sz w:val="18"/>
                <w:szCs w:val="18"/>
              </w:rPr>
              <w:t>Απ</w:t>
            </w:r>
            <w:proofErr w:type="spellStart"/>
            <w:r w:rsidRPr="007E5ABB">
              <w:rPr>
                <w:rFonts w:ascii="Arial" w:hAnsi="Arial" w:cs="Arial"/>
                <w:sz w:val="18"/>
                <w:szCs w:val="18"/>
              </w:rPr>
              <w:t>όκτηση</w:t>
            </w:r>
            <w:proofErr w:type="spellEnd"/>
            <w:r w:rsidRPr="007E5ABB">
              <w:rPr>
                <w:rFonts w:ascii="Arial" w:hAnsi="Arial" w:cs="Arial"/>
                <w:sz w:val="18"/>
                <w:szCs w:val="18"/>
              </w:rPr>
              <w:t xml:space="preserve"> </w:t>
            </w:r>
            <w:proofErr w:type="spellStart"/>
            <w:r w:rsidRPr="007E5ABB">
              <w:rPr>
                <w:rFonts w:ascii="Arial" w:hAnsi="Arial" w:cs="Arial"/>
                <w:sz w:val="18"/>
                <w:szCs w:val="18"/>
              </w:rPr>
              <w:t>ιδίων</w:t>
            </w:r>
            <w:proofErr w:type="spellEnd"/>
            <w:r w:rsidRPr="007E5ABB">
              <w:rPr>
                <w:rFonts w:ascii="Arial" w:hAnsi="Arial" w:cs="Arial"/>
                <w:sz w:val="18"/>
                <w:szCs w:val="18"/>
              </w:rPr>
              <w:t xml:space="preserve"> </w:t>
            </w:r>
            <w:proofErr w:type="spellStart"/>
            <w:r w:rsidRPr="007E5ABB">
              <w:rPr>
                <w:rFonts w:ascii="Arial" w:hAnsi="Arial" w:cs="Arial"/>
                <w:sz w:val="18"/>
                <w:szCs w:val="18"/>
              </w:rPr>
              <w:t>μετοχών</w:t>
            </w:r>
            <w:proofErr w:type="spellEnd"/>
          </w:p>
        </w:tc>
        <w:tc>
          <w:tcPr>
            <w:tcW w:w="1444" w:type="dxa"/>
            <w:tcBorders>
              <w:left w:val="single" w:sz="4" w:space="0" w:color="auto"/>
            </w:tcBorders>
            <w:shd w:val="clear" w:color="auto" w:fill="FFFFFF" w:themeFill="background1"/>
            <w:vAlign w:val="center"/>
          </w:tcPr>
          <w:p w14:paraId="29A5AB86" w14:textId="258C31C9" w:rsidR="00DC709A" w:rsidRPr="007E5ABB" w:rsidRDefault="00DC709A" w:rsidP="00DC709A">
            <w:pPr>
              <w:pStyle w:val="ColorfulList-Accent11"/>
              <w:tabs>
                <w:tab w:val="left" w:pos="0"/>
                <w:tab w:val="left" w:pos="284"/>
              </w:tabs>
              <w:ind w:left="0" w:right="-90"/>
              <w:jc w:val="center"/>
              <w:rPr>
                <w:rFonts w:ascii="Arial" w:hAnsi="Arial" w:cs="Arial"/>
                <w:color w:val="FF0000"/>
                <w:sz w:val="18"/>
                <w:szCs w:val="18"/>
              </w:rPr>
            </w:pPr>
            <w:r w:rsidRPr="007E5ABB">
              <w:rPr>
                <w:rFonts w:ascii="Arial" w:hAnsi="Arial" w:cs="Arial"/>
                <w:sz w:val="18"/>
                <w:szCs w:val="18"/>
              </w:rPr>
              <w:t>(41</w:t>
            </w:r>
            <w:r w:rsidR="00460E4F" w:rsidRPr="007E5ABB">
              <w:rPr>
                <w:rFonts w:ascii="Arial" w:hAnsi="Arial" w:cs="Arial"/>
                <w:sz w:val="18"/>
                <w:szCs w:val="18"/>
              </w:rPr>
              <w:t>,</w:t>
            </w:r>
            <w:r w:rsidRPr="007E5ABB">
              <w:rPr>
                <w:rFonts w:ascii="Arial" w:hAnsi="Arial" w:cs="Arial"/>
                <w:sz w:val="18"/>
                <w:szCs w:val="18"/>
              </w:rPr>
              <w:t>6)</w:t>
            </w:r>
          </w:p>
        </w:tc>
        <w:tc>
          <w:tcPr>
            <w:tcW w:w="1445" w:type="dxa"/>
            <w:tcBorders>
              <w:right w:val="single" w:sz="4" w:space="0" w:color="auto"/>
            </w:tcBorders>
            <w:shd w:val="clear" w:color="auto" w:fill="FFFFFF" w:themeFill="background1"/>
            <w:vAlign w:val="center"/>
          </w:tcPr>
          <w:p w14:paraId="53B201AE" w14:textId="6238B8DB" w:rsidR="00DC709A" w:rsidRPr="007E5ABB" w:rsidRDefault="00DC709A" w:rsidP="00DC709A">
            <w:pPr>
              <w:pStyle w:val="ColorfulList-Accent11"/>
              <w:tabs>
                <w:tab w:val="left" w:pos="0"/>
                <w:tab w:val="left" w:pos="284"/>
              </w:tabs>
              <w:ind w:left="0" w:right="-90"/>
              <w:jc w:val="center"/>
              <w:rPr>
                <w:rFonts w:ascii="Arial" w:hAnsi="Arial" w:cs="Arial"/>
                <w:color w:val="FF0000"/>
                <w:sz w:val="18"/>
                <w:szCs w:val="18"/>
              </w:rPr>
            </w:pPr>
            <w:r w:rsidRPr="007E5ABB">
              <w:rPr>
                <w:rFonts w:ascii="Arial" w:hAnsi="Arial" w:cs="Arial"/>
                <w:sz w:val="18"/>
                <w:szCs w:val="18"/>
              </w:rPr>
              <w:t>(31</w:t>
            </w:r>
            <w:r w:rsidR="00460E4F" w:rsidRPr="007E5ABB">
              <w:rPr>
                <w:rFonts w:ascii="Arial" w:hAnsi="Arial" w:cs="Arial"/>
                <w:sz w:val="18"/>
                <w:szCs w:val="18"/>
              </w:rPr>
              <w:t>,</w:t>
            </w:r>
            <w:r w:rsidRPr="007E5ABB">
              <w:rPr>
                <w:rFonts w:ascii="Arial" w:hAnsi="Arial" w:cs="Arial"/>
                <w:sz w:val="18"/>
                <w:szCs w:val="18"/>
              </w:rPr>
              <w:t>3)</w:t>
            </w:r>
          </w:p>
        </w:tc>
        <w:tc>
          <w:tcPr>
            <w:tcW w:w="1445" w:type="dxa"/>
            <w:tcBorders>
              <w:left w:val="single" w:sz="4" w:space="0" w:color="auto"/>
            </w:tcBorders>
            <w:shd w:val="clear" w:color="auto" w:fill="FFFFFF" w:themeFill="background1"/>
            <w:vAlign w:val="center"/>
          </w:tcPr>
          <w:p w14:paraId="6EF74D6B" w14:textId="092DA974" w:rsidR="00DC709A" w:rsidRPr="007E5ABB" w:rsidRDefault="00DC709A" w:rsidP="00DC709A">
            <w:pPr>
              <w:pStyle w:val="ColorfulList-Accent11"/>
              <w:tabs>
                <w:tab w:val="left" w:pos="0"/>
                <w:tab w:val="left" w:pos="284"/>
              </w:tabs>
              <w:ind w:left="0" w:right="-90"/>
              <w:jc w:val="center"/>
              <w:rPr>
                <w:rFonts w:ascii="Arial" w:hAnsi="Arial" w:cs="Arial"/>
                <w:color w:val="FF0000"/>
                <w:sz w:val="18"/>
                <w:szCs w:val="18"/>
              </w:rPr>
            </w:pPr>
            <w:r w:rsidRPr="007E5ABB">
              <w:rPr>
                <w:rFonts w:ascii="Arial" w:hAnsi="Arial" w:cs="Arial"/>
                <w:sz w:val="18"/>
                <w:szCs w:val="18"/>
              </w:rPr>
              <w:t>(104</w:t>
            </w:r>
            <w:r w:rsidR="00460E4F" w:rsidRPr="007E5ABB">
              <w:rPr>
                <w:rFonts w:ascii="Arial" w:hAnsi="Arial" w:cs="Arial"/>
                <w:sz w:val="18"/>
                <w:szCs w:val="18"/>
              </w:rPr>
              <w:t>,</w:t>
            </w:r>
            <w:r w:rsidRPr="007E5ABB">
              <w:rPr>
                <w:rFonts w:ascii="Arial" w:hAnsi="Arial" w:cs="Arial"/>
                <w:sz w:val="18"/>
                <w:szCs w:val="18"/>
              </w:rPr>
              <w:t>9)</w:t>
            </w:r>
          </w:p>
        </w:tc>
        <w:tc>
          <w:tcPr>
            <w:tcW w:w="1445" w:type="dxa"/>
            <w:shd w:val="clear" w:color="auto" w:fill="FFFFFF" w:themeFill="background1"/>
            <w:vAlign w:val="center"/>
          </w:tcPr>
          <w:p w14:paraId="20620094" w14:textId="6E758991" w:rsidR="00DC709A" w:rsidRPr="007E5ABB" w:rsidRDefault="00DC709A" w:rsidP="00DC709A">
            <w:pPr>
              <w:pStyle w:val="ColorfulList-Accent11"/>
              <w:tabs>
                <w:tab w:val="left" w:pos="0"/>
                <w:tab w:val="left" w:pos="284"/>
              </w:tabs>
              <w:ind w:left="0" w:right="-90"/>
              <w:jc w:val="center"/>
              <w:rPr>
                <w:rFonts w:ascii="Arial" w:hAnsi="Arial" w:cs="Arial"/>
                <w:color w:val="FF0000"/>
                <w:sz w:val="18"/>
                <w:szCs w:val="18"/>
              </w:rPr>
            </w:pPr>
            <w:r w:rsidRPr="007E5ABB">
              <w:rPr>
                <w:rFonts w:ascii="Arial" w:hAnsi="Arial" w:cs="Arial"/>
                <w:sz w:val="18"/>
                <w:szCs w:val="18"/>
              </w:rPr>
              <w:t>(93</w:t>
            </w:r>
            <w:r w:rsidR="00460E4F" w:rsidRPr="007E5ABB">
              <w:rPr>
                <w:rFonts w:ascii="Arial" w:hAnsi="Arial" w:cs="Arial"/>
                <w:sz w:val="18"/>
                <w:szCs w:val="18"/>
              </w:rPr>
              <w:t>,</w:t>
            </w:r>
            <w:r w:rsidRPr="007E5ABB">
              <w:rPr>
                <w:rFonts w:ascii="Arial" w:hAnsi="Arial" w:cs="Arial"/>
                <w:sz w:val="18"/>
                <w:szCs w:val="18"/>
              </w:rPr>
              <w:t>6)</w:t>
            </w:r>
          </w:p>
        </w:tc>
      </w:tr>
      <w:tr w:rsidR="00CA6DAC" w:rsidRPr="007E5ABB" w14:paraId="7645C3EE" w14:textId="77777777" w:rsidTr="00FB20CB">
        <w:trPr>
          <w:trHeight w:val="228"/>
        </w:trPr>
        <w:tc>
          <w:tcPr>
            <w:tcW w:w="5103" w:type="dxa"/>
            <w:tcBorders>
              <w:right w:val="single" w:sz="4" w:space="0" w:color="auto"/>
            </w:tcBorders>
            <w:shd w:val="clear" w:color="auto" w:fill="FFFFFF" w:themeFill="background1"/>
            <w:vAlign w:val="center"/>
          </w:tcPr>
          <w:p w14:paraId="22FF8B64" w14:textId="107745B1" w:rsidR="00DC709A" w:rsidRPr="007E5ABB" w:rsidRDefault="00DC709A" w:rsidP="00DC709A">
            <w:pPr>
              <w:pStyle w:val="ColorfulList-Accent11"/>
              <w:tabs>
                <w:tab w:val="left" w:pos="0"/>
                <w:tab w:val="left" w:pos="284"/>
              </w:tabs>
              <w:ind w:left="0" w:right="-90"/>
              <w:rPr>
                <w:rFonts w:ascii="Arial" w:hAnsi="Arial" w:cs="Arial"/>
                <w:sz w:val="18"/>
                <w:szCs w:val="18"/>
                <w:lang w:val="el-GR"/>
              </w:rPr>
            </w:pPr>
            <w:r w:rsidRPr="007E5ABB">
              <w:rPr>
                <w:rFonts w:ascii="Arial" w:hAnsi="Arial" w:cs="Arial"/>
                <w:color w:val="000000" w:themeColor="text1"/>
                <w:sz w:val="18"/>
                <w:szCs w:val="18"/>
                <w:lang w:val="el-GR"/>
              </w:rPr>
              <w:t>Εισπράξεις από δάνεια</w:t>
            </w:r>
          </w:p>
        </w:tc>
        <w:tc>
          <w:tcPr>
            <w:tcW w:w="1444" w:type="dxa"/>
            <w:tcBorders>
              <w:left w:val="single" w:sz="4" w:space="0" w:color="auto"/>
            </w:tcBorders>
            <w:shd w:val="clear" w:color="auto" w:fill="FFFFFF" w:themeFill="background1"/>
            <w:vAlign w:val="center"/>
          </w:tcPr>
          <w:p w14:paraId="4FAF43CE" w14:textId="0018E4D5" w:rsidR="00DC709A" w:rsidRPr="007E5ABB" w:rsidRDefault="00DC709A" w:rsidP="00DC709A">
            <w:pPr>
              <w:pStyle w:val="ColorfulList-Accent11"/>
              <w:tabs>
                <w:tab w:val="left" w:pos="0"/>
                <w:tab w:val="left" w:pos="284"/>
              </w:tabs>
              <w:ind w:left="0" w:right="-90"/>
              <w:jc w:val="center"/>
              <w:rPr>
                <w:rFonts w:ascii="Arial" w:hAnsi="Arial" w:cs="Arial"/>
                <w:color w:val="FF0000"/>
                <w:sz w:val="18"/>
                <w:szCs w:val="18"/>
              </w:rPr>
            </w:pPr>
            <w:r w:rsidRPr="007E5ABB">
              <w:rPr>
                <w:rFonts w:ascii="Arial" w:hAnsi="Arial" w:cs="Arial"/>
                <w:sz w:val="18"/>
                <w:szCs w:val="18"/>
              </w:rPr>
              <w:t>60</w:t>
            </w:r>
            <w:r w:rsidR="00460E4F" w:rsidRPr="007E5ABB">
              <w:rPr>
                <w:rFonts w:ascii="Arial" w:hAnsi="Arial" w:cs="Arial"/>
                <w:sz w:val="18"/>
                <w:szCs w:val="18"/>
              </w:rPr>
              <w:t>,</w:t>
            </w:r>
            <w:r w:rsidRPr="007E5ABB">
              <w:rPr>
                <w:rFonts w:ascii="Arial" w:hAnsi="Arial" w:cs="Arial"/>
                <w:sz w:val="18"/>
                <w:szCs w:val="18"/>
              </w:rPr>
              <w:t>0</w:t>
            </w:r>
          </w:p>
        </w:tc>
        <w:tc>
          <w:tcPr>
            <w:tcW w:w="1445" w:type="dxa"/>
            <w:tcBorders>
              <w:right w:val="single" w:sz="4" w:space="0" w:color="auto"/>
            </w:tcBorders>
            <w:shd w:val="clear" w:color="auto" w:fill="FFFFFF" w:themeFill="background1"/>
            <w:vAlign w:val="center"/>
          </w:tcPr>
          <w:p w14:paraId="11C9221C" w14:textId="753EA93E" w:rsidR="00DC709A" w:rsidRPr="007E5ABB" w:rsidRDefault="00DC709A" w:rsidP="00DC709A">
            <w:pPr>
              <w:pStyle w:val="ColorfulList-Accent11"/>
              <w:tabs>
                <w:tab w:val="left" w:pos="0"/>
                <w:tab w:val="left" w:pos="284"/>
              </w:tabs>
              <w:ind w:left="0" w:right="-90"/>
              <w:jc w:val="center"/>
              <w:rPr>
                <w:rFonts w:ascii="Arial" w:hAnsi="Arial" w:cs="Arial"/>
                <w:color w:val="FF0000"/>
                <w:sz w:val="18"/>
                <w:szCs w:val="18"/>
              </w:rPr>
            </w:pPr>
            <w:r w:rsidRPr="007E5ABB">
              <w:rPr>
                <w:rFonts w:ascii="Arial" w:hAnsi="Arial" w:cs="Arial"/>
                <w:sz w:val="18"/>
                <w:szCs w:val="18"/>
              </w:rPr>
              <w:t>-</w:t>
            </w:r>
          </w:p>
        </w:tc>
        <w:tc>
          <w:tcPr>
            <w:tcW w:w="1445" w:type="dxa"/>
            <w:tcBorders>
              <w:left w:val="single" w:sz="4" w:space="0" w:color="auto"/>
            </w:tcBorders>
            <w:shd w:val="clear" w:color="auto" w:fill="FFFFFF" w:themeFill="background1"/>
            <w:vAlign w:val="center"/>
          </w:tcPr>
          <w:p w14:paraId="6C2E51B4" w14:textId="560F7926" w:rsidR="00DC709A" w:rsidRPr="007E5ABB" w:rsidRDefault="00DC709A" w:rsidP="00DC709A">
            <w:pPr>
              <w:pStyle w:val="ColorfulList-Accent11"/>
              <w:tabs>
                <w:tab w:val="left" w:pos="0"/>
                <w:tab w:val="left" w:pos="284"/>
              </w:tabs>
              <w:ind w:left="0" w:right="-90"/>
              <w:jc w:val="center"/>
              <w:rPr>
                <w:rFonts w:ascii="Arial" w:hAnsi="Arial" w:cs="Arial"/>
                <w:sz w:val="18"/>
                <w:szCs w:val="18"/>
              </w:rPr>
            </w:pPr>
            <w:r w:rsidRPr="007E5ABB">
              <w:rPr>
                <w:rFonts w:ascii="Arial" w:hAnsi="Arial" w:cs="Arial"/>
                <w:sz w:val="18"/>
                <w:szCs w:val="18"/>
              </w:rPr>
              <w:t>60</w:t>
            </w:r>
            <w:r w:rsidR="00460E4F" w:rsidRPr="007E5ABB">
              <w:rPr>
                <w:rFonts w:ascii="Arial" w:hAnsi="Arial" w:cs="Arial"/>
                <w:sz w:val="18"/>
                <w:szCs w:val="18"/>
              </w:rPr>
              <w:t>,</w:t>
            </w:r>
            <w:r w:rsidRPr="007E5ABB">
              <w:rPr>
                <w:rFonts w:ascii="Arial" w:hAnsi="Arial" w:cs="Arial"/>
                <w:sz w:val="18"/>
                <w:szCs w:val="18"/>
              </w:rPr>
              <w:t>0</w:t>
            </w:r>
          </w:p>
        </w:tc>
        <w:tc>
          <w:tcPr>
            <w:tcW w:w="1445" w:type="dxa"/>
            <w:shd w:val="clear" w:color="auto" w:fill="FFFFFF" w:themeFill="background1"/>
            <w:vAlign w:val="center"/>
          </w:tcPr>
          <w:p w14:paraId="480155CF" w14:textId="2AA7825F" w:rsidR="00DC709A" w:rsidRPr="007E5ABB" w:rsidRDefault="00DC709A" w:rsidP="00DC709A">
            <w:pPr>
              <w:pStyle w:val="ColorfulList-Accent11"/>
              <w:tabs>
                <w:tab w:val="left" w:pos="0"/>
                <w:tab w:val="left" w:pos="284"/>
              </w:tabs>
              <w:ind w:left="0" w:right="-90"/>
              <w:jc w:val="center"/>
              <w:rPr>
                <w:rFonts w:ascii="Arial" w:hAnsi="Arial" w:cs="Arial"/>
                <w:sz w:val="18"/>
                <w:szCs w:val="18"/>
              </w:rPr>
            </w:pPr>
            <w:r w:rsidRPr="007E5ABB">
              <w:rPr>
                <w:rFonts w:ascii="Arial" w:hAnsi="Arial" w:cs="Arial"/>
                <w:sz w:val="18"/>
                <w:szCs w:val="18"/>
              </w:rPr>
              <w:t>40</w:t>
            </w:r>
            <w:r w:rsidR="00460E4F" w:rsidRPr="007E5ABB">
              <w:rPr>
                <w:rFonts w:ascii="Arial" w:hAnsi="Arial" w:cs="Arial"/>
                <w:sz w:val="18"/>
                <w:szCs w:val="18"/>
              </w:rPr>
              <w:t>,</w:t>
            </w:r>
            <w:r w:rsidRPr="007E5ABB">
              <w:rPr>
                <w:rFonts w:ascii="Arial" w:hAnsi="Arial" w:cs="Arial"/>
                <w:sz w:val="18"/>
                <w:szCs w:val="18"/>
              </w:rPr>
              <w:t>0</w:t>
            </w:r>
          </w:p>
        </w:tc>
      </w:tr>
      <w:tr w:rsidR="00CA6DAC" w:rsidRPr="007E5ABB" w14:paraId="54560CD8" w14:textId="77777777" w:rsidTr="00FB20CB">
        <w:trPr>
          <w:trHeight w:val="228"/>
        </w:trPr>
        <w:tc>
          <w:tcPr>
            <w:tcW w:w="5103" w:type="dxa"/>
            <w:tcBorders>
              <w:right w:val="single" w:sz="4" w:space="0" w:color="auto"/>
            </w:tcBorders>
            <w:shd w:val="clear" w:color="auto" w:fill="FFFFFF" w:themeFill="background1"/>
            <w:vAlign w:val="center"/>
          </w:tcPr>
          <w:p w14:paraId="43868E3D" w14:textId="01B35E08" w:rsidR="00DC709A" w:rsidRPr="007E5ABB" w:rsidRDefault="00DC709A" w:rsidP="00DC709A">
            <w:pPr>
              <w:pStyle w:val="ColorfulList-Accent11"/>
              <w:tabs>
                <w:tab w:val="left" w:pos="0"/>
                <w:tab w:val="left" w:pos="284"/>
              </w:tabs>
              <w:ind w:left="0" w:right="-90"/>
              <w:rPr>
                <w:rFonts w:ascii="Arial" w:hAnsi="Arial" w:cs="Arial"/>
                <w:sz w:val="18"/>
                <w:szCs w:val="18"/>
                <w:lang w:val="el-GR"/>
              </w:rPr>
            </w:pPr>
            <w:r w:rsidRPr="007E5ABB">
              <w:rPr>
                <w:rFonts w:ascii="Arial" w:hAnsi="Arial" w:cs="Arial"/>
                <w:sz w:val="18"/>
                <w:szCs w:val="18"/>
                <w:lang w:val="el-GR"/>
              </w:rPr>
              <w:t>Αποπληρωμή υποχρεώσεων από μισθώσεις</w:t>
            </w:r>
          </w:p>
        </w:tc>
        <w:tc>
          <w:tcPr>
            <w:tcW w:w="1444" w:type="dxa"/>
            <w:tcBorders>
              <w:left w:val="single" w:sz="4" w:space="0" w:color="auto"/>
            </w:tcBorders>
            <w:shd w:val="clear" w:color="auto" w:fill="FFFFFF" w:themeFill="background1"/>
            <w:vAlign w:val="center"/>
          </w:tcPr>
          <w:p w14:paraId="1C0B8311" w14:textId="2AAE53B4" w:rsidR="00DC709A" w:rsidRPr="007E5ABB" w:rsidRDefault="00DC709A" w:rsidP="00DC709A">
            <w:pPr>
              <w:pStyle w:val="ColorfulList-Accent11"/>
              <w:tabs>
                <w:tab w:val="left" w:pos="0"/>
                <w:tab w:val="left" w:pos="284"/>
              </w:tabs>
              <w:ind w:left="0" w:right="-90"/>
              <w:jc w:val="center"/>
              <w:rPr>
                <w:rFonts w:ascii="Arial" w:hAnsi="Arial" w:cs="Arial"/>
                <w:sz w:val="18"/>
                <w:szCs w:val="18"/>
              </w:rPr>
            </w:pPr>
            <w:r w:rsidRPr="007E5ABB">
              <w:rPr>
                <w:rFonts w:ascii="Arial" w:hAnsi="Arial" w:cs="Arial"/>
                <w:sz w:val="18"/>
                <w:szCs w:val="18"/>
              </w:rPr>
              <w:t>(11</w:t>
            </w:r>
            <w:r w:rsidR="00460E4F" w:rsidRPr="007E5ABB">
              <w:rPr>
                <w:rFonts w:ascii="Arial" w:hAnsi="Arial" w:cs="Arial"/>
                <w:sz w:val="18"/>
                <w:szCs w:val="18"/>
              </w:rPr>
              <w:t>,</w:t>
            </w:r>
            <w:r w:rsidRPr="007E5ABB">
              <w:rPr>
                <w:rFonts w:ascii="Arial" w:hAnsi="Arial" w:cs="Arial"/>
                <w:sz w:val="18"/>
                <w:szCs w:val="18"/>
              </w:rPr>
              <w:t>5)</w:t>
            </w:r>
          </w:p>
        </w:tc>
        <w:tc>
          <w:tcPr>
            <w:tcW w:w="1445" w:type="dxa"/>
            <w:tcBorders>
              <w:right w:val="single" w:sz="4" w:space="0" w:color="auto"/>
            </w:tcBorders>
            <w:shd w:val="clear" w:color="auto" w:fill="FFFFFF" w:themeFill="background1"/>
            <w:vAlign w:val="center"/>
          </w:tcPr>
          <w:p w14:paraId="00AFF2E7" w14:textId="01E09F52" w:rsidR="00DC709A" w:rsidRPr="007E5ABB" w:rsidRDefault="00DC709A" w:rsidP="00DC709A">
            <w:pPr>
              <w:pStyle w:val="ColorfulList-Accent11"/>
              <w:tabs>
                <w:tab w:val="left" w:pos="0"/>
                <w:tab w:val="left" w:pos="284"/>
              </w:tabs>
              <w:ind w:left="0" w:right="-90"/>
              <w:jc w:val="center"/>
              <w:rPr>
                <w:rFonts w:ascii="Arial" w:hAnsi="Arial" w:cs="Arial"/>
                <w:sz w:val="18"/>
                <w:szCs w:val="18"/>
              </w:rPr>
            </w:pPr>
            <w:r w:rsidRPr="007E5ABB">
              <w:rPr>
                <w:rFonts w:ascii="Arial" w:hAnsi="Arial" w:cs="Arial"/>
                <w:sz w:val="18"/>
                <w:szCs w:val="18"/>
              </w:rPr>
              <w:t>(11</w:t>
            </w:r>
            <w:r w:rsidR="00460E4F" w:rsidRPr="007E5ABB">
              <w:rPr>
                <w:rFonts w:ascii="Arial" w:hAnsi="Arial" w:cs="Arial"/>
                <w:sz w:val="18"/>
                <w:szCs w:val="18"/>
              </w:rPr>
              <w:t>,</w:t>
            </w:r>
            <w:r w:rsidRPr="007E5ABB">
              <w:rPr>
                <w:rFonts w:ascii="Arial" w:hAnsi="Arial" w:cs="Arial"/>
                <w:sz w:val="18"/>
                <w:szCs w:val="18"/>
              </w:rPr>
              <w:t>2)</w:t>
            </w:r>
          </w:p>
        </w:tc>
        <w:tc>
          <w:tcPr>
            <w:tcW w:w="1445" w:type="dxa"/>
            <w:tcBorders>
              <w:left w:val="single" w:sz="4" w:space="0" w:color="auto"/>
            </w:tcBorders>
            <w:shd w:val="clear" w:color="auto" w:fill="FFFFFF" w:themeFill="background1"/>
            <w:vAlign w:val="center"/>
          </w:tcPr>
          <w:p w14:paraId="79064595" w14:textId="1A0D7F62" w:rsidR="00DC709A" w:rsidRPr="007E5ABB" w:rsidRDefault="00DC709A" w:rsidP="00DC709A">
            <w:pPr>
              <w:pStyle w:val="ColorfulList-Accent11"/>
              <w:tabs>
                <w:tab w:val="left" w:pos="0"/>
                <w:tab w:val="left" w:pos="284"/>
              </w:tabs>
              <w:ind w:left="0" w:right="-90"/>
              <w:jc w:val="center"/>
              <w:rPr>
                <w:rFonts w:ascii="Arial" w:hAnsi="Arial" w:cs="Arial"/>
                <w:sz w:val="18"/>
                <w:szCs w:val="18"/>
              </w:rPr>
            </w:pPr>
            <w:r w:rsidRPr="007E5ABB">
              <w:rPr>
                <w:rFonts w:ascii="Arial" w:hAnsi="Arial" w:cs="Arial"/>
                <w:sz w:val="18"/>
                <w:szCs w:val="18"/>
              </w:rPr>
              <w:t>(36</w:t>
            </w:r>
            <w:r w:rsidR="00460E4F" w:rsidRPr="007E5ABB">
              <w:rPr>
                <w:rFonts w:ascii="Arial" w:hAnsi="Arial" w:cs="Arial"/>
                <w:sz w:val="18"/>
                <w:szCs w:val="18"/>
              </w:rPr>
              <w:t>,</w:t>
            </w:r>
            <w:r w:rsidRPr="007E5ABB">
              <w:rPr>
                <w:rFonts w:ascii="Arial" w:hAnsi="Arial" w:cs="Arial"/>
                <w:sz w:val="18"/>
                <w:szCs w:val="18"/>
              </w:rPr>
              <w:t>6)</w:t>
            </w:r>
          </w:p>
        </w:tc>
        <w:tc>
          <w:tcPr>
            <w:tcW w:w="1445" w:type="dxa"/>
            <w:shd w:val="clear" w:color="auto" w:fill="FFFFFF" w:themeFill="background1"/>
            <w:vAlign w:val="center"/>
          </w:tcPr>
          <w:p w14:paraId="00A851C8" w14:textId="151BDC87" w:rsidR="00DC709A" w:rsidRPr="007E5ABB" w:rsidRDefault="00DC709A" w:rsidP="00DC709A">
            <w:pPr>
              <w:pStyle w:val="ColorfulList-Accent11"/>
              <w:tabs>
                <w:tab w:val="left" w:pos="0"/>
                <w:tab w:val="left" w:pos="284"/>
              </w:tabs>
              <w:ind w:left="0" w:right="-90"/>
              <w:jc w:val="center"/>
              <w:rPr>
                <w:rFonts w:ascii="Arial" w:hAnsi="Arial" w:cs="Arial"/>
                <w:sz w:val="18"/>
                <w:szCs w:val="18"/>
              </w:rPr>
            </w:pPr>
            <w:r w:rsidRPr="007E5ABB">
              <w:rPr>
                <w:rFonts w:ascii="Arial" w:hAnsi="Arial" w:cs="Arial"/>
                <w:sz w:val="18"/>
                <w:szCs w:val="18"/>
              </w:rPr>
              <w:t>(36</w:t>
            </w:r>
            <w:r w:rsidR="00460E4F" w:rsidRPr="007E5ABB">
              <w:rPr>
                <w:rFonts w:ascii="Arial" w:hAnsi="Arial" w:cs="Arial"/>
                <w:sz w:val="18"/>
                <w:szCs w:val="18"/>
              </w:rPr>
              <w:t>,</w:t>
            </w:r>
            <w:r w:rsidRPr="007E5ABB">
              <w:rPr>
                <w:rFonts w:ascii="Arial" w:hAnsi="Arial" w:cs="Arial"/>
                <w:sz w:val="18"/>
                <w:szCs w:val="18"/>
              </w:rPr>
              <w:t>1)</w:t>
            </w:r>
          </w:p>
        </w:tc>
      </w:tr>
      <w:tr w:rsidR="00CA6DAC" w:rsidRPr="007E5ABB" w14:paraId="32A1F045" w14:textId="77777777" w:rsidTr="00FB20CB">
        <w:trPr>
          <w:trHeight w:val="228"/>
        </w:trPr>
        <w:tc>
          <w:tcPr>
            <w:tcW w:w="5103" w:type="dxa"/>
            <w:tcBorders>
              <w:right w:val="single" w:sz="4" w:space="0" w:color="auto"/>
            </w:tcBorders>
            <w:shd w:val="clear" w:color="auto" w:fill="FFFFFF" w:themeFill="background1"/>
            <w:vAlign w:val="center"/>
          </w:tcPr>
          <w:p w14:paraId="2F764A5D" w14:textId="193D78A0" w:rsidR="00DC709A" w:rsidRPr="007E5ABB" w:rsidRDefault="00DC709A" w:rsidP="00DC709A">
            <w:pPr>
              <w:pStyle w:val="ColorfulList-Accent11"/>
              <w:tabs>
                <w:tab w:val="left" w:pos="0"/>
                <w:tab w:val="left" w:pos="284"/>
              </w:tabs>
              <w:ind w:left="0" w:right="-90"/>
              <w:rPr>
                <w:rFonts w:ascii="Arial" w:hAnsi="Arial" w:cs="Arial"/>
                <w:sz w:val="18"/>
                <w:szCs w:val="18"/>
                <w:lang w:val="el-GR"/>
              </w:rPr>
            </w:pPr>
            <w:r w:rsidRPr="007E5ABB">
              <w:rPr>
                <w:rFonts w:ascii="Arial" w:hAnsi="Arial" w:cs="Arial"/>
                <w:sz w:val="18"/>
                <w:szCs w:val="18"/>
                <w:lang w:val="el-GR"/>
              </w:rPr>
              <w:t>Χρηματοοικονομικές υποχρεώσεις σχετιζόμενες με ηλεκτρονικά πορτοφόλια</w:t>
            </w:r>
          </w:p>
        </w:tc>
        <w:tc>
          <w:tcPr>
            <w:tcW w:w="1444" w:type="dxa"/>
            <w:tcBorders>
              <w:left w:val="single" w:sz="4" w:space="0" w:color="auto"/>
            </w:tcBorders>
            <w:shd w:val="clear" w:color="auto" w:fill="FFFFFF" w:themeFill="background1"/>
            <w:vAlign w:val="center"/>
          </w:tcPr>
          <w:p w14:paraId="11233931" w14:textId="77413646" w:rsidR="00DC709A" w:rsidRPr="007E5ABB" w:rsidRDefault="00DC709A" w:rsidP="00DC709A">
            <w:pPr>
              <w:pStyle w:val="ColorfulList-Accent11"/>
              <w:tabs>
                <w:tab w:val="left" w:pos="0"/>
                <w:tab w:val="left" w:pos="284"/>
              </w:tabs>
              <w:ind w:left="0" w:right="-90"/>
              <w:jc w:val="center"/>
              <w:rPr>
                <w:rFonts w:ascii="Arial" w:hAnsi="Arial" w:cs="Arial"/>
                <w:color w:val="FF0000"/>
                <w:sz w:val="18"/>
                <w:szCs w:val="18"/>
              </w:rPr>
            </w:pPr>
            <w:r w:rsidRPr="007E5ABB">
              <w:rPr>
                <w:rFonts w:ascii="Arial" w:hAnsi="Arial" w:cs="Arial"/>
                <w:sz w:val="18"/>
                <w:szCs w:val="18"/>
              </w:rPr>
              <w:t>0</w:t>
            </w:r>
            <w:r w:rsidR="00460E4F" w:rsidRPr="007E5ABB">
              <w:rPr>
                <w:rFonts w:ascii="Arial" w:hAnsi="Arial" w:cs="Arial"/>
                <w:sz w:val="18"/>
                <w:szCs w:val="18"/>
              </w:rPr>
              <w:t>,</w:t>
            </w:r>
            <w:r w:rsidRPr="007E5ABB">
              <w:rPr>
                <w:rFonts w:ascii="Arial" w:hAnsi="Arial" w:cs="Arial"/>
                <w:sz w:val="18"/>
                <w:szCs w:val="18"/>
              </w:rPr>
              <w:t>2</w:t>
            </w:r>
          </w:p>
        </w:tc>
        <w:tc>
          <w:tcPr>
            <w:tcW w:w="1445" w:type="dxa"/>
            <w:tcBorders>
              <w:right w:val="single" w:sz="4" w:space="0" w:color="auto"/>
            </w:tcBorders>
            <w:shd w:val="clear" w:color="auto" w:fill="FFFFFF" w:themeFill="background1"/>
            <w:vAlign w:val="center"/>
          </w:tcPr>
          <w:p w14:paraId="0F55D629" w14:textId="1BCC0B60" w:rsidR="00DC709A" w:rsidRPr="007E5ABB" w:rsidRDefault="00DC709A" w:rsidP="00DC709A">
            <w:pPr>
              <w:pStyle w:val="ColorfulList-Accent11"/>
              <w:tabs>
                <w:tab w:val="left" w:pos="0"/>
                <w:tab w:val="left" w:pos="284"/>
              </w:tabs>
              <w:ind w:left="0" w:right="-90"/>
              <w:jc w:val="center"/>
              <w:rPr>
                <w:rFonts w:ascii="Arial" w:hAnsi="Arial" w:cs="Arial"/>
                <w:color w:val="FF0000"/>
                <w:sz w:val="18"/>
                <w:szCs w:val="18"/>
              </w:rPr>
            </w:pPr>
            <w:r w:rsidRPr="007E5ABB">
              <w:rPr>
                <w:rFonts w:ascii="Arial" w:hAnsi="Arial" w:cs="Arial"/>
                <w:sz w:val="18"/>
                <w:szCs w:val="18"/>
              </w:rPr>
              <w:t>1</w:t>
            </w:r>
            <w:r w:rsidR="00460E4F" w:rsidRPr="007E5ABB">
              <w:rPr>
                <w:rFonts w:ascii="Arial" w:hAnsi="Arial" w:cs="Arial"/>
                <w:sz w:val="18"/>
                <w:szCs w:val="18"/>
              </w:rPr>
              <w:t>,</w:t>
            </w:r>
            <w:r w:rsidRPr="007E5ABB">
              <w:rPr>
                <w:rFonts w:ascii="Arial" w:hAnsi="Arial" w:cs="Arial"/>
                <w:sz w:val="18"/>
                <w:szCs w:val="18"/>
              </w:rPr>
              <w:t>9</w:t>
            </w:r>
          </w:p>
        </w:tc>
        <w:tc>
          <w:tcPr>
            <w:tcW w:w="1445" w:type="dxa"/>
            <w:tcBorders>
              <w:left w:val="single" w:sz="4" w:space="0" w:color="auto"/>
            </w:tcBorders>
            <w:shd w:val="clear" w:color="auto" w:fill="FFFFFF" w:themeFill="background1"/>
            <w:vAlign w:val="center"/>
          </w:tcPr>
          <w:p w14:paraId="6B058FB3" w14:textId="7DDD23BC" w:rsidR="00DC709A" w:rsidRPr="007E5ABB" w:rsidRDefault="00DC709A" w:rsidP="00DC709A">
            <w:pPr>
              <w:pStyle w:val="ColorfulList-Accent11"/>
              <w:tabs>
                <w:tab w:val="left" w:pos="0"/>
                <w:tab w:val="left" w:pos="284"/>
              </w:tabs>
              <w:ind w:left="0" w:right="-90"/>
              <w:jc w:val="center"/>
              <w:rPr>
                <w:rFonts w:ascii="Arial" w:hAnsi="Arial" w:cs="Arial"/>
                <w:sz w:val="18"/>
                <w:szCs w:val="18"/>
              </w:rPr>
            </w:pPr>
            <w:r w:rsidRPr="007E5ABB">
              <w:rPr>
                <w:rFonts w:ascii="Arial" w:hAnsi="Arial" w:cs="Arial"/>
                <w:sz w:val="18"/>
                <w:szCs w:val="18"/>
              </w:rPr>
              <w:t>0</w:t>
            </w:r>
            <w:r w:rsidR="00460E4F" w:rsidRPr="007E5ABB">
              <w:rPr>
                <w:rFonts w:ascii="Arial" w:hAnsi="Arial" w:cs="Arial"/>
                <w:sz w:val="18"/>
                <w:szCs w:val="18"/>
              </w:rPr>
              <w:t>,</w:t>
            </w:r>
            <w:r w:rsidRPr="007E5ABB">
              <w:rPr>
                <w:rFonts w:ascii="Arial" w:hAnsi="Arial" w:cs="Arial"/>
                <w:sz w:val="18"/>
                <w:szCs w:val="18"/>
              </w:rPr>
              <w:t>7</w:t>
            </w:r>
          </w:p>
        </w:tc>
        <w:tc>
          <w:tcPr>
            <w:tcW w:w="1445" w:type="dxa"/>
            <w:shd w:val="clear" w:color="auto" w:fill="FFFFFF" w:themeFill="background1"/>
            <w:vAlign w:val="center"/>
          </w:tcPr>
          <w:p w14:paraId="4F66B7B1" w14:textId="27B0D68A" w:rsidR="00DC709A" w:rsidRPr="007E5ABB" w:rsidRDefault="00DC709A" w:rsidP="00DC709A">
            <w:pPr>
              <w:pStyle w:val="ColorfulList-Accent11"/>
              <w:tabs>
                <w:tab w:val="left" w:pos="0"/>
                <w:tab w:val="left" w:pos="284"/>
              </w:tabs>
              <w:ind w:left="0" w:right="-90"/>
              <w:jc w:val="center"/>
              <w:rPr>
                <w:rFonts w:ascii="Arial" w:hAnsi="Arial" w:cs="Arial"/>
                <w:sz w:val="18"/>
                <w:szCs w:val="18"/>
              </w:rPr>
            </w:pPr>
            <w:r w:rsidRPr="007E5ABB">
              <w:rPr>
                <w:rFonts w:ascii="Arial" w:hAnsi="Arial" w:cs="Arial"/>
                <w:sz w:val="18"/>
                <w:szCs w:val="18"/>
              </w:rPr>
              <w:t>3</w:t>
            </w:r>
            <w:r w:rsidR="00460E4F" w:rsidRPr="007E5ABB">
              <w:rPr>
                <w:rFonts w:ascii="Arial" w:hAnsi="Arial" w:cs="Arial"/>
                <w:sz w:val="18"/>
                <w:szCs w:val="18"/>
              </w:rPr>
              <w:t>,</w:t>
            </w:r>
            <w:r w:rsidRPr="007E5ABB">
              <w:rPr>
                <w:rFonts w:ascii="Arial" w:hAnsi="Arial" w:cs="Arial"/>
                <w:sz w:val="18"/>
                <w:szCs w:val="18"/>
              </w:rPr>
              <w:t>5</w:t>
            </w:r>
          </w:p>
        </w:tc>
      </w:tr>
      <w:tr w:rsidR="001E2B78" w:rsidRPr="007E5ABB" w14:paraId="1137C757" w14:textId="77777777" w:rsidTr="00FB20CB">
        <w:trPr>
          <w:trHeight w:val="228"/>
        </w:trPr>
        <w:tc>
          <w:tcPr>
            <w:tcW w:w="5103" w:type="dxa"/>
            <w:tcBorders>
              <w:bottom w:val="single" w:sz="4" w:space="0" w:color="auto"/>
              <w:right w:val="single" w:sz="4" w:space="0" w:color="auto"/>
            </w:tcBorders>
            <w:shd w:val="clear" w:color="auto" w:fill="FFFFFF" w:themeFill="background1"/>
            <w:vAlign w:val="center"/>
          </w:tcPr>
          <w:p w14:paraId="0F8A5C6A" w14:textId="5239EEEA" w:rsidR="00DC709A" w:rsidRPr="007E5ABB" w:rsidRDefault="00DC709A" w:rsidP="00DC709A">
            <w:pPr>
              <w:pStyle w:val="ColorfulList-Accent11"/>
              <w:tabs>
                <w:tab w:val="left" w:pos="0"/>
                <w:tab w:val="left" w:pos="284"/>
              </w:tabs>
              <w:ind w:left="0" w:right="-90"/>
              <w:rPr>
                <w:rFonts w:ascii="Arial" w:hAnsi="Arial" w:cs="Arial"/>
                <w:sz w:val="18"/>
                <w:szCs w:val="18"/>
                <w:lang w:val="el-GR"/>
              </w:rPr>
            </w:pPr>
            <w:r w:rsidRPr="007E5ABB">
              <w:rPr>
                <w:rFonts w:ascii="Arial" w:hAnsi="Arial" w:cs="Arial"/>
                <w:sz w:val="18"/>
                <w:szCs w:val="18"/>
                <w:lang w:val="el-GR"/>
              </w:rPr>
              <w:t xml:space="preserve">Μερίσματα </w:t>
            </w:r>
            <w:proofErr w:type="spellStart"/>
            <w:r w:rsidRPr="007E5ABB">
              <w:rPr>
                <w:rFonts w:ascii="Arial" w:hAnsi="Arial" w:cs="Arial"/>
                <w:sz w:val="18"/>
                <w:szCs w:val="18"/>
                <w:lang w:val="el-GR"/>
              </w:rPr>
              <w:t>πληρωθέντα</w:t>
            </w:r>
            <w:proofErr w:type="spellEnd"/>
            <w:r w:rsidRPr="007E5ABB">
              <w:rPr>
                <w:rFonts w:ascii="Arial" w:hAnsi="Arial" w:cs="Arial"/>
                <w:sz w:val="18"/>
                <w:szCs w:val="18"/>
                <w:lang w:val="el-GR"/>
              </w:rPr>
              <w:t xml:space="preserve"> σε μετόχους της εταιρείας</w:t>
            </w:r>
          </w:p>
        </w:tc>
        <w:tc>
          <w:tcPr>
            <w:tcW w:w="1444" w:type="dxa"/>
            <w:tcBorders>
              <w:left w:val="single" w:sz="4" w:space="0" w:color="auto"/>
              <w:bottom w:val="single" w:sz="4" w:space="0" w:color="auto"/>
            </w:tcBorders>
            <w:shd w:val="clear" w:color="auto" w:fill="FFFFFF" w:themeFill="background1"/>
            <w:vAlign w:val="center"/>
          </w:tcPr>
          <w:p w14:paraId="4A08032F" w14:textId="1A5C2F16" w:rsidR="00DC709A" w:rsidRPr="007E5ABB" w:rsidRDefault="00DC709A" w:rsidP="00DC709A">
            <w:pPr>
              <w:pStyle w:val="ColorfulList-Accent11"/>
              <w:tabs>
                <w:tab w:val="left" w:pos="0"/>
                <w:tab w:val="left" w:pos="284"/>
              </w:tabs>
              <w:ind w:left="0" w:right="-90"/>
              <w:jc w:val="center"/>
              <w:rPr>
                <w:rFonts w:ascii="Arial" w:hAnsi="Arial" w:cs="Arial"/>
                <w:sz w:val="18"/>
                <w:szCs w:val="18"/>
                <w:lang w:val="el-GR"/>
              </w:rPr>
            </w:pPr>
            <w:r w:rsidRPr="007E5ABB">
              <w:rPr>
                <w:rFonts w:ascii="Arial" w:hAnsi="Arial" w:cs="Arial"/>
                <w:sz w:val="18"/>
                <w:szCs w:val="18"/>
              </w:rPr>
              <w:t>(297</w:t>
            </w:r>
            <w:r w:rsidR="00460E4F" w:rsidRPr="007E5ABB">
              <w:rPr>
                <w:rFonts w:ascii="Arial" w:hAnsi="Arial" w:cs="Arial"/>
                <w:sz w:val="18"/>
                <w:szCs w:val="18"/>
              </w:rPr>
              <w:t>,</w:t>
            </w:r>
            <w:r w:rsidRPr="007E5ABB">
              <w:rPr>
                <w:rFonts w:ascii="Arial" w:hAnsi="Arial" w:cs="Arial"/>
                <w:sz w:val="18"/>
                <w:szCs w:val="18"/>
              </w:rPr>
              <w:t>4)</w:t>
            </w:r>
          </w:p>
        </w:tc>
        <w:tc>
          <w:tcPr>
            <w:tcW w:w="1445" w:type="dxa"/>
            <w:tcBorders>
              <w:bottom w:val="single" w:sz="4" w:space="0" w:color="auto"/>
              <w:right w:val="single" w:sz="4" w:space="0" w:color="auto"/>
            </w:tcBorders>
            <w:shd w:val="clear" w:color="auto" w:fill="FFFFFF" w:themeFill="background1"/>
            <w:vAlign w:val="center"/>
          </w:tcPr>
          <w:p w14:paraId="306EF027" w14:textId="2171FC0E" w:rsidR="00DC709A" w:rsidRPr="007E5ABB" w:rsidRDefault="00DC709A" w:rsidP="00DC709A">
            <w:pPr>
              <w:pStyle w:val="ColorfulList-Accent11"/>
              <w:tabs>
                <w:tab w:val="left" w:pos="0"/>
                <w:tab w:val="left" w:pos="284"/>
              </w:tabs>
              <w:ind w:left="0" w:right="-90"/>
              <w:jc w:val="center"/>
              <w:rPr>
                <w:rFonts w:ascii="Arial" w:hAnsi="Arial" w:cs="Arial"/>
                <w:sz w:val="18"/>
                <w:szCs w:val="18"/>
                <w:lang w:val="el-GR"/>
              </w:rPr>
            </w:pPr>
            <w:r w:rsidRPr="007E5ABB">
              <w:rPr>
                <w:rFonts w:ascii="Arial" w:hAnsi="Arial" w:cs="Arial"/>
                <w:sz w:val="18"/>
                <w:szCs w:val="18"/>
              </w:rPr>
              <w:t>(296</w:t>
            </w:r>
            <w:r w:rsidR="00460E4F" w:rsidRPr="007E5ABB">
              <w:rPr>
                <w:rFonts w:ascii="Arial" w:hAnsi="Arial" w:cs="Arial"/>
                <w:sz w:val="18"/>
                <w:szCs w:val="18"/>
              </w:rPr>
              <w:t>,</w:t>
            </w:r>
            <w:r w:rsidRPr="007E5ABB">
              <w:rPr>
                <w:rFonts w:ascii="Arial" w:hAnsi="Arial" w:cs="Arial"/>
                <w:sz w:val="18"/>
                <w:szCs w:val="18"/>
              </w:rPr>
              <w:t>4)</w:t>
            </w:r>
          </w:p>
        </w:tc>
        <w:tc>
          <w:tcPr>
            <w:tcW w:w="1445" w:type="dxa"/>
            <w:tcBorders>
              <w:left w:val="single" w:sz="4" w:space="0" w:color="auto"/>
              <w:bottom w:val="single" w:sz="4" w:space="0" w:color="auto"/>
            </w:tcBorders>
            <w:shd w:val="clear" w:color="auto" w:fill="FFFFFF" w:themeFill="background1"/>
            <w:vAlign w:val="center"/>
          </w:tcPr>
          <w:p w14:paraId="2AFFC5FC" w14:textId="0F1EC072" w:rsidR="00DC709A" w:rsidRPr="007E5ABB" w:rsidRDefault="00DC709A" w:rsidP="00DC709A">
            <w:pPr>
              <w:pStyle w:val="ColorfulList-Accent11"/>
              <w:tabs>
                <w:tab w:val="left" w:pos="0"/>
                <w:tab w:val="left" w:pos="284"/>
              </w:tabs>
              <w:ind w:left="0" w:right="-90"/>
              <w:jc w:val="center"/>
              <w:rPr>
                <w:rFonts w:ascii="Arial" w:hAnsi="Arial" w:cs="Arial"/>
                <w:sz w:val="18"/>
                <w:szCs w:val="18"/>
                <w:lang w:val="el-GR"/>
              </w:rPr>
            </w:pPr>
            <w:r w:rsidRPr="007E5ABB">
              <w:rPr>
                <w:rFonts w:ascii="Arial" w:hAnsi="Arial" w:cs="Arial"/>
                <w:sz w:val="18"/>
                <w:szCs w:val="18"/>
              </w:rPr>
              <w:t>(298</w:t>
            </w:r>
            <w:r w:rsidR="00460E4F" w:rsidRPr="007E5ABB">
              <w:rPr>
                <w:rFonts w:ascii="Arial" w:hAnsi="Arial" w:cs="Arial"/>
                <w:sz w:val="18"/>
                <w:szCs w:val="18"/>
              </w:rPr>
              <w:t>,</w:t>
            </w:r>
            <w:r w:rsidRPr="007E5ABB">
              <w:rPr>
                <w:rFonts w:ascii="Arial" w:hAnsi="Arial" w:cs="Arial"/>
                <w:sz w:val="18"/>
                <w:szCs w:val="18"/>
              </w:rPr>
              <w:t>0)</w:t>
            </w:r>
          </w:p>
        </w:tc>
        <w:tc>
          <w:tcPr>
            <w:tcW w:w="1445" w:type="dxa"/>
            <w:tcBorders>
              <w:bottom w:val="single" w:sz="4" w:space="0" w:color="auto"/>
            </w:tcBorders>
            <w:shd w:val="clear" w:color="auto" w:fill="FFFFFF" w:themeFill="background1"/>
            <w:vAlign w:val="center"/>
          </w:tcPr>
          <w:p w14:paraId="315B28C4" w14:textId="33C08290" w:rsidR="00DC709A" w:rsidRPr="007E5ABB" w:rsidRDefault="00DC709A" w:rsidP="00DC709A">
            <w:pPr>
              <w:pStyle w:val="ColorfulList-Accent11"/>
              <w:tabs>
                <w:tab w:val="left" w:pos="0"/>
                <w:tab w:val="left" w:pos="284"/>
              </w:tabs>
              <w:ind w:left="0" w:right="-90"/>
              <w:jc w:val="center"/>
              <w:rPr>
                <w:rFonts w:ascii="Arial" w:hAnsi="Arial" w:cs="Arial"/>
                <w:sz w:val="18"/>
                <w:szCs w:val="18"/>
                <w:lang w:val="el-GR"/>
              </w:rPr>
            </w:pPr>
            <w:r w:rsidRPr="007E5ABB">
              <w:rPr>
                <w:rFonts w:ascii="Arial" w:hAnsi="Arial" w:cs="Arial"/>
                <w:sz w:val="18"/>
                <w:szCs w:val="18"/>
              </w:rPr>
              <w:t>(296</w:t>
            </w:r>
            <w:r w:rsidR="00460E4F" w:rsidRPr="007E5ABB">
              <w:rPr>
                <w:rFonts w:ascii="Arial" w:hAnsi="Arial" w:cs="Arial"/>
                <w:sz w:val="18"/>
                <w:szCs w:val="18"/>
              </w:rPr>
              <w:t>,</w:t>
            </w:r>
            <w:r w:rsidRPr="007E5ABB">
              <w:rPr>
                <w:rFonts w:ascii="Arial" w:hAnsi="Arial" w:cs="Arial"/>
                <w:sz w:val="18"/>
                <w:szCs w:val="18"/>
              </w:rPr>
              <w:t>4)</w:t>
            </w:r>
          </w:p>
        </w:tc>
      </w:tr>
      <w:tr w:rsidR="001E2B78" w:rsidRPr="007E5ABB" w14:paraId="2213B2EA" w14:textId="77777777" w:rsidTr="007E5C37">
        <w:trPr>
          <w:trHeight w:val="289"/>
        </w:trPr>
        <w:tc>
          <w:tcPr>
            <w:tcW w:w="5103" w:type="dxa"/>
            <w:tcBorders>
              <w:bottom w:val="single" w:sz="4" w:space="0" w:color="auto"/>
              <w:right w:val="single" w:sz="4" w:space="0" w:color="auto"/>
            </w:tcBorders>
            <w:shd w:val="clear" w:color="auto" w:fill="FFFFFF" w:themeFill="background1"/>
            <w:vAlign w:val="center"/>
          </w:tcPr>
          <w:p w14:paraId="3E2B1ED3" w14:textId="65A734D6" w:rsidR="00DC709A" w:rsidRPr="00FB20CB" w:rsidRDefault="00DC709A" w:rsidP="00DC709A">
            <w:pPr>
              <w:pStyle w:val="Default"/>
              <w:rPr>
                <w:rFonts w:ascii="Arial" w:hAnsi="Arial" w:cs="Arial"/>
                <w:sz w:val="18"/>
                <w:szCs w:val="18"/>
                <w:lang w:val="el-GR"/>
              </w:rPr>
            </w:pPr>
            <w:r w:rsidRPr="00FB20CB">
              <w:rPr>
                <w:rFonts w:ascii="Arial" w:hAnsi="Arial" w:cs="Arial"/>
                <w:sz w:val="18"/>
                <w:szCs w:val="18"/>
                <w:lang w:val="el-GR"/>
              </w:rPr>
              <w:t xml:space="preserve">Καθαρές ταμειακές ροές από χρηματοδοτικές δραστηριότητες διακοπεισών δραστηριοτήτων </w:t>
            </w:r>
          </w:p>
        </w:tc>
        <w:tc>
          <w:tcPr>
            <w:tcW w:w="1444" w:type="dxa"/>
            <w:tcBorders>
              <w:left w:val="single" w:sz="4" w:space="0" w:color="auto"/>
              <w:bottom w:val="single" w:sz="4" w:space="0" w:color="auto"/>
            </w:tcBorders>
            <w:shd w:val="clear" w:color="auto" w:fill="FFFFFF" w:themeFill="background1"/>
            <w:vAlign w:val="center"/>
          </w:tcPr>
          <w:p w14:paraId="174A4DB6" w14:textId="4F73BB18" w:rsidR="00DC709A" w:rsidRPr="007E5ABB" w:rsidRDefault="00DC709A" w:rsidP="00DC709A">
            <w:pPr>
              <w:pStyle w:val="ColorfulList-Accent11"/>
              <w:tabs>
                <w:tab w:val="left" w:pos="0"/>
                <w:tab w:val="left" w:pos="284"/>
              </w:tabs>
              <w:ind w:left="0" w:right="-90"/>
              <w:jc w:val="center"/>
              <w:rPr>
                <w:rFonts w:ascii="Arial" w:hAnsi="Arial" w:cs="Arial"/>
                <w:sz w:val="18"/>
                <w:szCs w:val="18"/>
                <w:lang w:val="el-GR"/>
              </w:rPr>
            </w:pPr>
            <w:r w:rsidRPr="007E5ABB">
              <w:rPr>
                <w:rFonts w:ascii="Arial" w:hAnsi="Arial" w:cs="Arial"/>
                <w:sz w:val="18"/>
                <w:szCs w:val="18"/>
              </w:rPr>
              <w:t>(5</w:t>
            </w:r>
            <w:r w:rsidR="00460E4F" w:rsidRPr="007E5ABB">
              <w:rPr>
                <w:rFonts w:ascii="Arial" w:hAnsi="Arial" w:cs="Arial"/>
                <w:sz w:val="18"/>
                <w:szCs w:val="18"/>
              </w:rPr>
              <w:t>,</w:t>
            </w:r>
            <w:r w:rsidRPr="007E5ABB">
              <w:rPr>
                <w:rFonts w:ascii="Arial" w:hAnsi="Arial" w:cs="Arial"/>
                <w:sz w:val="18"/>
                <w:szCs w:val="18"/>
              </w:rPr>
              <w:t>2)</w:t>
            </w:r>
          </w:p>
        </w:tc>
        <w:tc>
          <w:tcPr>
            <w:tcW w:w="1445" w:type="dxa"/>
            <w:tcBorders>
              <w:bottom w:val="single" w:sz="4" w:space="0" w:color="auto"/>
              <w:right w:val="single" w:sz="4" w:space="0" w:color="auto"/>
            </w:tcBorders>
            <w:shd w:val="clear" w:color="auto" w:fill="FFFFFF" w:themeFill="background1"/>
            <w:vAlign w:val="center"/>
          </w:tcPr>
          <w:p w14:paraId="1893F66B" w14:textId="3A6FEB8D" w:rsidR="00DC709A" w:rsidRPr="007E5ABB" w:rsidRDefault="00DC709A" w:rsidP="00DC709A">
            <w:pPr>
              <w:pStyle w:val="ColorfulList-Accent11"/>
              <w:tabs>
                <w:tab w:val="left" w:pos="0"/>
                <w:tab w:val="left" w:pos="284"/>
              </w:tabs>
              <w:ind w:left="0" w:right="-90"/>
              <w:jc w:val="center"/>
              <w:rPr>
                <w:rFonts w:ascii="Arial" w:hAnsi="Arial" w:cs="Arial"/>
                <w:sz w:val="18"/>
                <w:szCs w:val="18"/>
                <w:lang w:val="el-GR"/>
              </w:rPr>
            </w:pPr>
            <w:r w:rsidRPr="007E5ABB">
              <w:rPr>
                <w:rFonts w:ascii="Arial" w:hAnsi="Arial" w:cs="Arial"/>
                <w:sz w:val="18"/>
                <w:szCs w:val="18"/>
              </w:rPr>
              <w:t>(4</w:t>
            </w:r>
            <w:r w:rsidR="00460E4F" w:rsidRPr="007E5ABB">
              <w:rPr>
                <w:rFonts w:ascii="Arial" w:hAnsi="Arial" w:cs="Arial"/>
                <w:sz w:val="18"/>
                <w:szCs w:val="18"/>
              </w:rPr>
              <w:t>,</w:t>
            </w:r>
            <w:r w:rsidRPr="007E5ABB">
              <w:rPr>
                <w:rFonts w:ascii="Arial" w:hAnsi="Arial" w:cs="Arial"/>
                <w:sz w:val="18"/>
                <w:szCs w:val="18"/>
              </w:rPr>
              <w:t>9)</w:t>
            </w:r>
          </w:p>
        </w:tc>
        <w:tc>
          <w:tcPr>
            <w:tcW w:w="1445" w:type="dxa"/>
            <w:tcBorders>
              <w:left w:val="single" w:sz="4" w:space="0" w:color="auto"/>
              <w:bottom w:val="single" w:sz="4" w:space="0" w:color="auto"/>
            </w:tcBorders>
            <w:shd w:val="clear" w:color="auto" w:fill="FFFFFF" w:themeFill="background1"/>
            <w:vAlign w:val="center"/>
          </w:tcPr>
          <w:p w14:paraId="7F611C4B" w14:textId="57EE3628" w:rsidR="00DC709A" w:rsidRPr="007E5ABB" w:rsidRDefault="00DC709A" w:rsidP="00DC709A">
            <w:pPr>
              <w:pStyle w:val="ColorfulList-Accent11"/>
              <w:tabs>
                <w:tab w:val="left" w:pos="0"/>
                <w:tab w:val="left" w:pos="284"/>
              </w:tabs>
              <w:ind w:left="0" w:right="-90"/>
              <w:jc w:val="center"/>
              <w:rPr>
                <w:rFonts w:ascii="Arial" w:hAnsi="Arial" w:cs="Arial"/>
                <w:sz w:val="18"/>
                <w:szCs w:val="18"/>
                <w:lang w:val="el-GR"/>
              </w:rPr>
            </w:pPr>
            <w:r w:rsidRPr="007E5ABB">
              <w:rPr>
                <w:rFonts w:ascii="Arial" w:hAnsi="Arial" w:cs="Arial"/>
                <w:sz w:val="18"/>
                <w:szCs w:val="18"/>
              </w:rPr>
              <w:t>(15</w:t>
            </w:r>
            <w:r w:rsidR="00460E4F" w:rsidRPr="007E5ABB">
              <w:rPr>
                <w:rFonts w:ascii="Arial" w:hAnsi="Arial" w:cs="Arial"/>
                <w:sz w:val="18"/>
                <w:szCs w:val="18"/>
              </w:rPr>
              <w:t>,</w:t>
            </w:r>
            <w:r w:rsidRPr="007E5ABB">
              <w:rPr>
                <w:rFonts w:ascii="Arial" w:hAnsi="Arial" w:cs="Arial"/>
                <w:sz w:val="18"/>
                <w:szCs w:val="18"/>
              </w:rPr>
              <w:t>1)</w:t>
            </w:r>
          </w:p>
        </w:tc>
        <w:tc>
          <w:tcPr>
            <w:tcW w:w="1445" w:type="dxa"/>
            <w:tcBorders>
              <w:bottom w:val="single" w:sz="4" w:space="0" w:color="auto"/>
            </w:tcBorders>
            <w:shd w:val="clear" w:color="auto" w:fill="FFFFFF" w:themeFill="background1"/>
            <w:vAlign w:val="center"/>
          </w:tcPr>
          <w:p w14:paraId="4B8756A4" w14:textId="71E0CA0A" w:rsidR="00DC709A" w:rsidRPr="007E5ABB" w:rsidRDefault="00DC709A" w:rsidP="00DC709A">
            <w:pPr>
              <w:pStyle w:val="ColorfulList-Accent11"/>
              <w:tabs>
                <w:tab w:val="left" w:pos="0"/>
                <w:tab w:val="left" w:pos="284"/>
              </w:tabs>
              <w:ind w:left="0" w:right="-90"/>
              <w:jc w:val="center"/>
              <w:rPr>
                <w:rFonts w:ascii="Arial" w:hAnsi="Arial" w:cs="Arial"/>
                <w:sz w:val="18"/>
                <w:szCs w:val="18"/>
                <w:lang w:val="el-GR"/>
              </w:rPr>
            </w:pPr>
            <w:r w:rsidRPr="007E5ABB">
              <w:rPr>
                <w:rFonts w:ascii="Arial" w:hAnsi="Arial" w:cs="Arial"/>
                <w:sz w:val="18"/>
                <w:szCs w:val="18"/>
              </w:rPr>
              <w:t>(15</w:t>
            </w:r>
            <w:r w:rsidR="00460E4F" w:rsidRPr="007E5ABB">
              <w:rPr>
                <w:rFonts w:ascii="Arial" w:hAnsi="Arial" w:cs="Arial"/>
                <w:sz w:val="18"/>
                <w:szCs w:val="18"/>
              </w:rPr>
              <w:t>,</w:t>
            </w:r>
            <w:r w:rsidRPr="007E5ABB">
              <w:rPr>
                <w:rFonts w:ascii="Arial" w:hAnsi="Arial" w:cs="Arial"/>
                <w:sz w:val="18"/>
                <w:szCs w:val="18"/>
              </w:rPr>
              <w:t>5)</w:t>
            </w:r>
          </w:p>
        </w:tc>
      </w:tr>
      <w:tr w:rsidR="001E2B78" w:rsidRPr="007E5ABB" w14:paraId="3E3E5A52" w14:textId="77777777" w:rsidTr="00FB20CB">
        <w:trPr>
          <w:trHeight w:val="228"/>
        </w:trPr>
        <w:tc>
          <w:tcPr>
            <w:tcW w:w="5103" w:type="dxa"/>
            <w:tcBorders>
              <w:top w:val="single" w:sz="4" w:space="0" w:color="auto"/>
              <w:bottom w:val="single" w:sz="2" w:space="0" w:color="808080" w:themeColor="background1" w:themeShade="80"/>
              <w:right w:val="single" w:sz="4" w:space="0" w:color="auto"/>
            </w:tcBorders>
            <w:shd w:val="clear" w:color="auto" w:fill="F2F2F2" w:themeFill="background1" w:themeFillShade="F2"/>
            <w:vAlign w:val="center"/>
          </w:tcPr>
          <w:p w14:paraId="5C36933C" w14:textId="0308F7C8" w:rsidR="00DC709A" w:rsidRPr="007E5ABB" w:rsidRDefault="00DC709A" w:rsidP="00DC709A">
            <w:pPr>
              <w:pStyle w:val="ColorfulList-Accent11"/>
              <w:tabs>
                <w:tab w:val="left" w:pos="0"/>
                <w:tab w:val="left" w:pos="284"/>
              </w:tabs>
              <w:ind w:left="0" w:right="-90"/>
              <w:rPr>
                <w:rFonts w:ascii="Arial" w:hAnsi="Arial" w:cs="Arial"/>
                <w:sz w:val="18"/>
                <w:szCs w:val="18"/>
                <w:lang w:val="el-GR"/>
              </w:rPr>
            </w:pPr>
            <w:r w:rsidRPr="007E5ABB">
              <w:rPr>
                <w:rFonts w:ascii="Arial" w:hAnsi="Arial" w:cs="Arial"/>
                <w:b/>
                <w:bCs/>
                <w:sz w:val="18"/>
                <w:szCs w:val="18"/>
                <w:lang w:val="el-GR"/>
              </w:rPr>
              <w:t xml:space="preserve">Καθαρές ταμειακές εκροές από </w:t>
            </w:r>
            <w:proofErr w:type="spellStart"/>
            <w:r w:rsidRPr="00FB20CB">
              <w:rPr>
                <w:rFonts w:ascii="Arial" w:hAnsi="Arial" w:cs="Arial"/>
                <w:b/>
                <w:bCs/>
                <w:sz w:val="18"/>
                <w:szCs w:val="18"/>
                <w:lang w:val="el-GR"/>
              </w:rPr>
              <w:t>χρημ</w:t>
            </w:r>
            <w:proofErr w:type="spellEnd"/>
            <w:r w:rsidR="007E5C37" w:rsidRPr="007E5C37">
              <w:rPr>
                <w:rFonts w:ascii="Arial" w:hAnsi="Arial" w:cs="Arial"/>
                <w:b/>
                <w:bCs/>
                <w:sz w:val="18"/>
                <w:szCs w:val="18"/>
                <w:lang w:val="el-GR"/>
              </w:rPr>
              <w:t>/</w:t>
            </w:r>
            <w:proofErr w:type="spellStart"/>
            <w:r w:rsidRPr="00FB20CB">
              <w:rPr>
                <w:rFonts w:ascii="Arial" w:hAnsi="Arial" w:cs="Arial"/>
                <w:b/>
                <w:bCs/>
                <w:sz w:val="18"/>
                <w:szCs w:val="18"/>
                <w:lang w:val="el-GR"/>
              </w:rPr>
              <w:t>κές</w:t>
            </w:r>
            <w:proofErr w:type="spellEnd"/>
            <w:r w:rsidRPr="007E5ABB">
              <w:rPr>
                <w:rFonts w:ascii="Arial" w:hAnsi="Arial" w:cs="Arial"/>
                <w:b/>
                <w:bCs/>
                <w:sz w:val="18"/>
                <w:szCs w:val="18"/>
                <w:lang w:val="el-GR"/>
              </w:rPr>
              <w:t xml:space="preserve"> δραστηριότητες</w:t>
            </w:r>
          </w:p>
        </w:tc>
        <w:tc>
          <w:tcPr>
            <w:tcW w:w="1444" w:type="dxa"/>
            <w:tcBorders>
              <w:top w:val="single" w:sz="4" w:space="0" w:color="auto"/>
              <w:left w:val="single" w:sz="4" w:space="0" w:color="auto"/>
              <w:bottom w:val="single" w:sz="2" w:space="0" w:color="808080" w:themeColor="background1" w:themeShade="80"/>
            </w:tcBorders>
            <w:shd w:val="clear" w:color="auto" w:fill="F2F2F2" w:themeFill="background1" w:themeFillShade="F2"/>
            <w:vAlign w:val="center"/>
          </w:tcPr>
          <w:p w14:paraId="431FD54E" w14:textId="28C97910" w:rsidR="00DC709A" w:rsidRPr="007E5ABB" w:rsidRDefault="00DC709A" w:rsidP="00DC709A">
            <w:pPr>
              <w:pStyle w:val="ColorfulList-Accent11"/>
              <w:tabs>
                <w:tab w:val="left" w:pos="0"/>
                <w:tab w:val="left" w:pos="284"/>
              </w:tabs>
              <w:ind w:left="0" w:right="-90"/>
              <w:jc w:val="center"/>
              <w:rPr>
                <w:rFonts w:ascii="Arial" w:hAnsi="Arial" w:cs="Arial"/>
                <w:color w:val="FF0000"/>
                <w:sz w:val="18"/>
                <w:szCs w:val="18"/>
                <w:lang w:val="el-GR"/>
              </w:rPr>
            </w:pPr>
            <w:r w:rsidRPr="007E5ABB">
              <w:rPr>
                <w:rFonts w:ascii="Arial" w:hAnsi="Arial" w:cs="Arial"/>
                <w:b/>
                <w:bCs/>
                <w:sz w:val="18"/>
                <w:szCs w:val="18"/>
              </w:rPr>
              <w:t>(295</w:t>
            </w:r>
            <w:r w:rsidR="00460E4F" w:rsidRPr="007E5ABB">
              <w:rPr>
                <w:rFonts w:ascii="Arial" w:hAnsi="Arial" w:cs="Arial"/>
                <w:b/>
                <w:bCs/>
                <w:sz w:val="18"/>
                <w:szCs w:val="18"/>
              </w:rPr>
              <w:t>,</w:t>
            </w:r>
            <w:r w:rsidRPr="007E5ABB">
              <w:rPr>
                <w:rFonts w:ascii="Arial" w:hAnsi="Arial" w:cs="Arial"/>
                <w:b/>
                <w:bCs/>
                <w:sz w:val="18"/>
                <w:szCs w:val="18"/>
              </w:rPr>
              <w:t>5)</w:t>
            </w:r>
          </w:p>
        </w:tc>
        <w:tc>
          <w:tcPr>
            <w:tcW w:w="1445" w:type="dxa"/>
            <w:tcBorders>
              <w:top w:val="single" w:sz="4" w:space="0" w:color="auto"/>
              <w:bottom w:val="single" w:sz="2" w:space="0" w:color="808080" w:themeColor="background1" w:themeShade="80"/>
              <w:right w:val="single" w:sz="4" w:space="0" w:color="auto"/>
            </w:tcBorders>
            <w:shd w:val="clear" w:color="auto" w:fill="F2F2F2" w:themeFill="background1" w:themeFillShade="F2"/>
            <w:vAlign w:val="center"/>
          </w:tcPr>
          <w:p w14:paraId="3746FC7C" w14:textId="3C24B825" w:rsidR="00DC709A" w:rsidRPr="007E5ABB" w:rsidRDefault="00DC709A" w:rsidP="00DC709A">
            <w:pPr>
              <w:pStyle w:val="ColorfulList-Accent11"/>
              <w:tabs>
                <w:tab w:val="left" w:pos="0"/>
                <w:tab w:val="left" w:pos="284"/>
              </w:tabs>
              <w:ind w:left="0" w:right="-90"/>
              <w:jc w:val="center"/>
              <w:rPr>
                <w:rFonts w:ascii="Arial" w:hAnsi="Arial" w:cs="Arial"/>
                <w:color w:val="FF0000"/>
                <w:sz w:val="18"/>
                <w:szCs w:val="18"/>
                <w:lang w:val="el-GR"/>
              </w:rPr>
            </w:pPr>
            <w:r w:rsidRPr="007E5ABB">
              <w:rPr>
                <w:rFonts w:ascii="Arial" w:hAnsi="Arial" w:cs="Arial"/>
                <w:b/>
                <w:bCs/>
                <w:sz w:val="18"/>
                <w:szCs w:val="18"/>
              </w:rPr>
              <w:t>(341</w:t>
            </w:r>
            <w:r w:rsidR="00460E4F" w:rsidRPr="007E5ABB">
              <w:rPr>
                <w:rFonts w:ascii="Arial" w:hAnsi="Arial" w:cs="Arial"/>
                <w:b/>
                <w:bCs/>
                <w:sz w:val="18"/>
                <w:szCs w:val="18"/>
              </w:rPr>
              <w:t>,</w:t>
            </w:r>
            <w:r w:rsidRPr="007E5ABB">
              <w:rPr>
                <w:rFonts w:ascii="Arial" w:hAnsi="Arial" w:cs="Arial"/>
                <w:b/>
                <w:bCs/>
                <w:sz w:val="18"/>
                <w:szCs w:val="18"/>
              </w:rPr>
              <w:t>9)</w:t>
            </w:r>
          </w:p>
        </w:tc>
        <w:tc>
          <w:tcPr>
            <w:tcW w:w="1445" w:type="dxa"/>
            <w:tcBorders>
              <w:top w:val="single" w:sz="4" w:space="0" w:color="auto"/>
              <w:left w:val="single" w:sz="4" w:space="0" w:color="auto"/>
              <w:bottom w:val="single" w:sz="2" w:space="0" w:color="808080" w:themeColor="background1" w:themeShade="80"/>
            </w:tcBorders>
            <w:shd w:val="clear" w:color="auto" w:fill="F2F2F2" w:themeFill="background1" w:themeFillShade="F2"/>
            <w:vAlign w:val="center"/>
          </w:tcPr>
          <w:p w14:paraId="3950F125" w14:textId="48EC5F44" w:rsidR="00DC709A" w:rsidRPr="007E5ABB" w:rsidRDefault="00DC709A" w:rsidP="00DC709A">
            <w:pPr>
              <w:pStyle w:val="ColorfulList-Accent11"/>
              <w:tabs>
                <w:tab w:val="left" w:pos="0"/>
                <w:tab w:val="left" w:pos="284"/>
              </w:tabs>
              <w:ind w:left="0" w:right="-90"/>
              <w:jc w:val="center"/>
              <w:rPr>
                <w:rFonts w:ascii="Arial" w:hAnsi="Arial" w:cs="Arial"/>
                <w:sz w:val="18"/>
                <w:szCs w:val="18"/>
                <w:lang w:val="el-GR"/>
              </w:rPr>
            </w:pPr>
            <w:r w:rsidRPr="007E5ABB">
              <w:rPr>
                <w:rFonts w:ascii="Arial" w:hAnsi="Arial" w:cs="Arial"/>
                <w:b/>
                <w:bCs/>
                <w:sz w:val="18"/>
                <w:szCs w:val="18"/>
              </w:rPr>
              <w:t>(393</w:t>
            </w:r>
            <w:r w:rsidR="00460E4F" w:rsidRPr="007E5ABB">
              <w:rPr>
                <w:rFonts w:ascii="Arial" w:hAnsi="Arial" w:cs="Arial"/>
                <w:b/>
                <w:bCs/>
                <w:sz w:val="18"/>
                <w:szCs w:val="18"/>
              </w:rPr>
              <w:t>,</w:t>
            </w:r>
            <w:r w:rsidRPr="007E5ABB">
              <w:rPr>
                <w:rFonts w:ascii="Arial" w:hAnsi="Arial" w:cs="Arial"/>
                <w:b/>
                <w:bCs/>
                <w:sz w:val="18"/>
                <w:szCs w:val="18"/>
              </w:rPr>
              <w:t>9)</w:t>
            </w:r>
          </w:p>
        </w:tc>
        <w:tc>
          <w:tcPr>
            <w:tcW w:w="1445" w:type="dxa"/>
            <w:tcBorders>
              <w:top w:val="single" w:sz="4" w:space="0" w:color="auto"/>
              <w:bottom w:val="single" w:sz="2" w:space="0" w:color="808080" w:themeColor="background1" w:themeShade="80"/>
            </w:tcBorders>
            <w:shd w:val="clear" w:color="auto" w:fill="F2F2F2" w:themeFill="background1" w:themeFillShade="F2"/>
            <w:vAlign w:val="center"/>
          </w:tcPr>
          <w:p w14:paraId="713FF8F2" w14:textId="04D526BB" w:rsidR="00DC709A" w:rsidRPr="007E5ABB" w:rsidRDefault="00DC709A" w:rsidP="00DC709A">
            <w:pPr>
              <w:pStyle w:val="ColorfulList-Accent11"/>
              <w:tabs>
                <w:tab w:val="left" w:pos="0"/>
                <w:tab w:val="left" w:pos="284"/>
              </w:tabs>
              <w:ind w:left="0" w:right="-90"/>
              <w:jc w:val="center"/>
              <w:rPr>
                <w:rFonts w:ascii="Arial" w:hAnsi="Arial" w:cs="Arial"/>
                <w:sz w:val="18"/>
                <w:szCs w:val="18"/>
                <w:lang w:val="el-GR"/>
              </w:rPr>
            </w:pPr>
            <w:r w:rsidRPr="007E5ABB">
              <w:rPr>
                <w:rFonts w:ascii="Arial" w:hAnsi="Arial" w:cs="Arial"/>
                <w:b/>
                <w:bCs/>
                <w:sz w:val="18"/>
                <w:szCs w:val="18"/>
              </w:rPr>
              <w:t>(398</w:t>
            </w:r>
            <w:r w:rsidR="00460E4F" w:rsidRPr="007E5ABB">
              <w:rPr>
                <w:rFonts w:ascii="Arial" w:hAnsi="Arial" w:cs="Arial"/>
                <w:b/>
                <w:bCs/>
                <w:sz w:val="18"/>
                <w:szCs w:val="18"/>
              </w:rPr>
              <w:t>,</w:t>
            </w:r>
            <w:r w:rsidRPr="007E5ABB">
              <w:rPr>
                <w:rFonts w:ascii="Arial" w:hAnsi="Arial" w:cs="Arial"/>
                <w:b/>
                <w:bCs/>
                <w:sz w:val="18"/>
                <w:szCs w:val="18"/>
              </w:rPr>
              <w:t>1)</w:t>
            </w:r>
          </w:p>
        </w:tc>
      </w:tr>
      <w:tr w:rsidR="00F11244" w:rsidRPr="007E5ABB" w14:paraId="736546C7" w14:textId="77777777" w:rsidTr="007E5C37">
        <w:trPr>
          <w:trHeight w:val="292"/>
        </w:trPr>
        <w:tc>
          <w:tcPr>
            <w:tcW w:w="5103" w:type="dxa"/>
            <w:tcBorders>
              <w:top w:val="single" w:sz="2" w:space="0" w:color="808080" w:themeColor="background1" w:themeShade="80"/>
              <w:bottom w:val="single" w:sz="2" w:space="0" w:color="808080" w:themeColor="background1" w:themeShade="80"/>
              <w:right w:val="single" w:sz="4" w:space="0" w:color="auto"/>
            </w:tcBorders>
            <w:shd w:val="clear" w:color="auto" w:fill="F2F2F2" w:themeFill="background1" w:themeFillShade="F2"/>
            <w:vAlign w:val="center"/>
          </w:tcPr>
          <w:p w14:paraId="26F06FAE" w14:textId="2D41DBF2" w:rsidR="00DC709A" w:rsidRPr="007E5ABB" w:rsidRDefault="00DC709A" w:rsidP="00DC709A">
            <w:pPr>
              <w:pStyle w:val="ColorfulList-Accent11"/>
              <w:tabs>
                <w:tab w:val="left" w:pos="0"/>
                <w:tab w:val="left" w:pos="284"/>
              </w:tabs>
              <w:ind w:left="0" w:right="-90"/>
              <w:rPr>
                <w:rFonts w:ascii="Arial" w:hAnsi="Arial" w:cs="Arial"/>
                <w:b/>
                <w:sz w:val="18"/>
                <w:szCs w:val="18"/>
                <w:lang w:val="el-GR"/>
              </w:rPr>
            </w:pPr>
            <w:r w:rsidRPr="007E5ABB">
              <w:rPr>
                <w:rFonts w:ascii="Arial" w:hAnsi="Arial" w:cs="Arial"/>
                <w:b/>
                <w:bCs/>
                <w:sz w:val="18"/>
                <w:szCs w:val="18"/>
                <w:lang w:val="el-GR"/>
              </w:rPr>
              <w:t xml:space="preserve">Καθαρή αύξηση ταμειακών διαθεσίμων και ταμειακών ισοδυνάμων </w:t>
            </w:r>
          </w:p>
        </w:tc>
        <w:tc>
          <w:tcPr>
            <w:tcW w:w="1444" w:type="dxa"/>
            <w:tcBorders>
              <w:top w:val="single" w:sz="2" w:space="0" w:color="808080" w:themeColor="background1" w:themeShade="80"/>
              <w:left w:val="single" w:sz="4" w:space="0" w:color="auto"/>
              <w:bottom w:val="single" w:sz="2" w:space="0" w:color="808080" w:themeColor="background1" w:themeShade="80"/>
            </w:tcBorders>
            <w:shd w:val="clear" w:color="auto" w:fill="F2F2F2" w:themeFill="background1" w:themeFillShade="F2"/>
            <w:vAlign w:val="center"/>
          </w:tcPr>
          <w:p w14:paraId="3897F8ED" w14:textId="04F7CDA4" w:rsidR="00DC709A" w:rsidRPr="007E5ABB" w:rsidRDefault="00DC709A" w:rsidP="00DC709A">
            <w:pPr>
              <w:pStyle w:val="ColorfulList-Accent11"/>
              <w:tabs>
                <w:tab w:val="left" w:pos="0"/>
                <w:tab w:val="left" w:pos="284"/>
              </w:tabs>
              <w:ind w:left="0" w:right="-90"/>
              <w:jc w:val="center"/>
              <w:rPr>
                <w:rFonts w:ascii="Arial" w:hAnsi="Arial" w:cs="Arial"/>
                <w:color w:val="FF0000"/>
                <w:sz w:val="18"/>
                <w:szCs w:val="18"/>
              </w:rPr>
            </w:pPr>
            <w:r w:rsidRPr="007E5ABB">
              <w:rPr>
                <w:rFonts w:ascii="Arial" w:hAnsi="Arial" w:cs="Arial"/>
                <w:b/>
                <w:bCs/>
                <w:sz w:val="18"/>
                <w:szCs w:val="18"/>
              </w:rPr>
              <w:t>(210</w:t>
            </w:r>
            <w:r w:rsidR="00460E4F" w:rsidRPr="007E5ABB">
              <w:rPr>
                <w:rFonts w:ascii="Arial" w:hAnsi="Arial" w:cs="Arial"/>
                <w:b/>
                <w:bCs/>
                <w:sz w:val="18"/>
                <w:szCs w:val="18"/>
              </w:rPr>
              <w:t>,</w:t>
            </w:r>
            <w:r w:rsidRPr="007E5ABB">
              <w:rPr>
                <w:rFonts w:ascii="Arial" w:hAnsi="Arial" w:cs="Arial"/>
                <w:b/>
                <w:bCs/>
                <w:sz w:val="18"/>
                <w:szCs w:val="18"/>
              </w:rPr>
              <w:t>1)</w:t>
            </w:r>
          </w:p>
        </w:tc>
        <w:tc>
          <w:tcPr>
            <w:tcW w:w="1445" w:type="dxa"/>
            <w:tcBorders>
              <w:top w:val="single" w:sz="2" w:space="0" w:color="808080" w:themeColor="background1" w:themeShade="80"/>
              <w:bottom w:val="single" w:sz="2" w:space="0" w:color="808080" w:themeColor="background1" w:themeShade="80"/>
              <w:right w:val="single" w:sz="4" w:space="0" w:color="auto"/>
            </w:tcBorders>
            <w:shd w:val="clear" w:color="auto" w:fill="F2F2F2" w:themeFill="background1" w:themeFillShade="F2"/>
            <w:vAlign w:val="center"/>
          </w:tcPr>
          <w:p w14:paraId="39355D5C" w14:textId="4DAD8661" w:rsidR="00DC709A" w:rsidRPr="007E5ABB" w:rsidRDefault="00DC709A" w:rsidP="00DC709A">
            <w:pPr>
              <w:pStyle w:val="ColorfulList-Accent11"/>
              <w:tabs>
                <w:tab w:val="left" w:pos="0"/>
                <w:tab w:val="left" w:pos="284"/>
              </w:tabs>
              <w:ind w:left="0" w:right="-90"/>
              <w:jc w:val="center"/>
              <w:rPr>
                <w:rFonts w:ascii="Arial" w:hAnsi="Arial" w:cs="Arial"/>
                <w:color w:val="FF0000"/>
                <w:sz w:val="18"/>
                <w:szCs w:val="18"/>
              </w:rPr>
            </w:pPr>
            <w:r w:rsidRPr="007E5ABB">
              <w:rPr>
                <w:rFonts w:ascii="Arial" w:hAnsi="Arial" w:cs="Arial"/>
                <w:b/>
                <w:bCs/>
                <w:sz w:val="18"/>
                <w:szCs w:val="18"/>
              </w:rPr>
              <w:t>(223</w:t>
            </w:r>
            <w:r w:rsidR="00460E4F" w:rsidRPr="007E5ABB">
              <w:rPr>
                <w:rFonts w:ascii="Arial" w:hAnsi="Arial" w:cs="Arial"/>
                <w:b/>
                <w:bCs/>
                <w:sz w:val="18"/>
                <w:szCs w:val="18"/>
              </w:rPr>
              <w:t>,</w:t>
            </w:r>
            <w:r w:rsidRPr="007E5ABB">
              <w:rPr>
                <w:rFonts w:ascii="Arial" w:hAnsi="Arial" w:cs="Arial"/>
                <w:b/>
                <w:bCs/>
                <w:sz w:val="18"/>
                <w:szCs w:val="18"/>
              </w:rPr>
              <w:t>5)</w:t>
            </w:r>
          </w:p>
        </w:tc>
        <w:tc>
          <w:tcPr>
            <w:tcW w:w="1445" w:type="dxa"/>
            <w:tcBorders>
              <w:top w:val="single" w:sz="2" w:space="0" w:color="808080" w:themeColor="background1" w:themeShade="80"/>
              <w:left w:val="single" w:sz="4" w:space="0" w:color="auto"/>
              <w:bottom w:val="single" w:sz="2" w:space="0" w:color="808080" w:themeColor="background1" w:themeShade="80"/>
            </w:tcBorders>
            <w:shd w:val="clear" w:color="auto" w:fill="F2F2F2" w:themeFill="background1" w:themeFillShade="F2"/>
            <w:vAlign w:val="center"/>
          </w:tcPr>
          <w:p w14:paraId="4F4B7447" w14:textId="1619627A" w:rsidR="00DC709A" w:rsidRPr="007E5ABB" w:rsidRDefault="00DC709A" w:rsidP="00DC709A">
            <w:pPr>
              <w:pStyle w:val="ColorfulList-Accent11"/>
              <w:tabs>
                <w:tab w:val="left" w:pos="0"/>
                <w:tab w:val="left" w:pos="284"/>
              </w:tabs>
              <w:ind w:left="0" w:right="-90"/>
              <w:jc w:val="center"/>
              <w:rPr>
                <w:rFonts w:ascii="Arial" w:hAnsi="Arial" w:cs="Arial"/>
                <w:b/>
                <w:sz w:val="18"/>
                <w:szCs w:val="18"/>
              </w:rPr>
            </w:pPr>
            <w:r w:rsidRPr="007E5ABB">
              <w:rPr>
                <w:rFonts w:ascii="Arial" w:hAnsi="Arial" w:cs="Arial"/>
                <w:b/>
                <w:bCs/>
                <w:sz w:val="18"/>
                <w:szCs w:val="18"/>
              </w:rPr>
              <w:t>(18</w:t>
            </w:r>
            <w:r w:rsidR="00460E4F" w:rsidRPr="007E5ABB">
              <w:rPr>
                <w:rFonts w:ascii="Arial" w:hAnsi="Arial" w:cs="Arial"/>
                <w:b/>
                <w:bCs/>
                <w:sz w:val="18"/>
                <w:szCs w:val="18"/>
              </w:rPr>
              <w:t>,</w:t>
            </w:r>
            <w:r w:rsidRPr="007E5ABB">
              <w:rPr>
                <w:rFonts w:ascii="Arial" w:hAnsi="Arial" w:cs="Arial"/>
                <w:b/>
                <w:bCs/>
                <w:sz w:val="18"/>
                <w:szCs w:val="18"/>
              </w:rPr>
              <w:t>3)</w:t>
            </w:r>
          </w:p>
        </w:tc>
        <w:tc>
          <w:tcPr>
            <w:tcW w:w="1445" w:type="dxa"/>
            <w:tcBorders>
              <w:top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1CB8AA2D" w14:textId="4491BDCC" w:rsidR="00DC709A" w:rsidRPr="007E5ABB" w:rsidRDefault="00DC709A" w:rsidP="00DC709A">
            <w:pPr>
              <w:pStyle w:val="ColorfulList-Accent11"/>
              <w:tabs>
                <w:tab w:val="left" w:pos="0"/>
                <w:tab w:val="left" w:pos="284"/>
              </w:tabs>
              <w:ind w:left="0" w:right="-90"/>
              <w:jc w:val="center"/>
              <w:rPr>
                <w:rFonts w:ascii="Arial" w:hAnsi="Arial" w:cs="Arial"/>
                <w:b/>
                <w:sz w:val="18"/>
                <w:szCs w:val="18"/>
              </w:rPr>
            </w:pPr>
            <w:r w:rsidRPr="007E5ABB">
              <w:rPr>
                <w:rFonts w:ascii="Arial" w:hAnsi="Arial" w:cs="Arial"/>
                <w:b/>
                <w:bCs/>
                <w:sz w:val="18"/>
                <w:szCs w:val="18"/>
              </w:rPr>
              <w:t>(1</w:t>
            </w:r>
            <w:r w:rsidR="00460E4F" w:rsidRPr="007E5ABB">
              <w:rPr>
                <w:rFonts w:ascii="Arial" w:hAnsi="Arial" w:cs="Arial"/>
                <w:b/>
                <w:bCs/>
                <w:sz w:val="18"/>
                <w:szCs w:val="18"/>
              </w:rPr>
              <w:t>,</w:t>
            </w:r>
            <w:r w:rsidRPr="007E5ABB">
              <w:rPr>
                <w:rFonts w:ascii="Arial" w:hAnsi="Arial" w:cs="Arial"/>
                <w:b/>
                <w:bCs/>
                <w:sz w:val="18"/>
                <w:szCs w:val="18"/>
              </w:rPr>
              <w:t>3)</w:t>
            </w:r>
          </w:p>
        </w:tc>
      </w:tr>
      <w:tr w:rsidR="00B4474B" w:rsidRPr="007E5ABB" w14:paraId="421F1A14" w14:textId="77777777" w:rsidTr="007E5C37">
        <w:trPr>
          <w:trHeight w:val="299"/>
        </w:trPr>
        <w:tc>
          <w:tcPr>
            <w:tcW w:w="5103" w:type="dxa"/>
            <w:tcBorders>
              <w:top w:val="single" w:sz="2" w:space="0" w:color="808080" w:themeColor="background1" w:themeShade="80"/>
              <w:right w:val="single" w:sz="4" w:space="0" w:color="auto"/>
            </w:tcBorders>
            <w:vAlign w:val="center"/>
          </w:tcPr>
          <w:p w14:paraId="7A820958" w14:textId="1B4A020F" w:rsidR="00DC709A" w:rsidRPr="007E5ABB" w:rsidRDefault="00DC709A" w:rsidP="00DC709A">
            <w:pPr>
              <w:pStyle w:val="ColorfulList-Accent11"/>
              <w:tabs>
                <w:tab w:val="left" w:pos="0"/>
                <w:tab w:val="left" w:pos="284"/>
              </w:tabs>
              <w:ind w:left="0" w:right="-90"/>
              <w:rPr>
                <w:rFonts w:ascii="Arial" w:hAnsi="Arial" w:cs="Arial"/>
                <w:b/>
                <w:sz w:val="18"/>
                <w:szCs w:val="18"/>
                <w:lang w:val="el-GR"/>
              </w:rPr>
            </w:pPr>
            <w:r w:rsidRPr="007E5ABB">
              <w:rPr>
                <w:rFonts w:ascii="Arial" w:hAnsi="Arial" w:cs="Arial"/>
                <w:b/>
                <w:sz w:val="18"/>
                <w:szCs w:val="18"/>
                <w:lang w:val="el-GR"/>
              </w:rPr>
              <w:t xml:space="preserve">Ταμειακά διαθέσιμα και ταμειακά ισοδύναμα έναρξης περιόδου </w:t>
            </w:r>
          </w:p>
        </w:tc>
        <w:tc>
          <w:tcPr>
            <w:tcW w:w="1444" w:type="dxa"/>
            <w:tcBorders>
              <w:top w:val="single" w:sz="2" w:space="0" w:color="808080" w:themeColor="background1" w:themeShade="80"/>
              <w:left w:val="single" w:sz="4" w:space="0" w:color="auto"/>
            </w:tcBorders>
            <w:vAlign w:val="center"/>
          </w:tcPr>
          <w:p w14:paraId="6C90AAF4" w14:textId="46232DB2" w:rsidR="00DC709A" w:rsidRPr="007E5ABB" w:rsidRDefault="00DC709A" w:rsidP="00DC709A">
            <w:pPr>
              <w:pStyle w:val="ColorfulList-Accent11"/>
              <w:tabs>
                <w:tab w:val="left" w:pos="0"/>
                <w:tab w:val="left" w:pos="284"/>
              </w:tabs>
              <w:ind w:left="0" w:right="-90"/>
              <w:jc w:val="center"/>
              <w:rPr>
                <w:rFonts w:ascii="Arial" w:hAnsi="Arial" w:cs="Arial"/>
                <w:b/>
                <w:color w:val="FF0000"/>
                <w:sz w:val="18"/>
                <w:szCs w:val="18"/>
              </w:rPr>
            </w:pPr>
            <w:r w:rsidRPr="007E5ABB">
              <w:rPr>
                <w:rFonts w:ascii="Arial" w:hAnsi="Arial" w:cs="Arial"/>
                <w:sz w:val="18"/>
                <w:szCs w:val="18"/>
              </w:rPr>
              <w:t>658</w:t>
            </w:r>
            <w:r w:rsidR="00460E4F" w:rsidRPr="007E5ABB">
              <w:rPr>
                <w:rFonts w:ascii="Arial" w:hAnsi="Arial" w:cs="Arial"/>
                <w:sz w:val="18"/>
                <w:szCs w:val="18"/>
              </w:rPr>
              <w:t>,</w:t>
            </w:r>
            <w:r w:rsidRPr="007E5ABB">
              <w:rPr>
                <w:rFonts w:ascii="Arial" w:hAnsi="Arial" w:cs="Arial"/>
                <w:sz w:val="18"/>
                <w:szCs w:val="18"/>
              </w:rPr>
              <w:t>1</w:t>
            </w:r>
          </w:p>
        </w:tc>
        <w:tc>
          <w:tcPr>
            <w:tcW w:w="1445" w:type="dxa"/>
            <w:tcBorders>
              <w:top w:val="single" w:sz="2" w:space="0" w:color="808080" w:themeColor="background1" w:themeShade="80"/>
              <w:right w:val="single" w:sz="4" w:space="0" w:color="auto"/>
            </w:tcBorders>
            <w:vAlign w:val="center"/>
          </w:tcPr>
          <w:p w14:paraId="04FB39E5" w14:textId="4E9CDD08" w:rsidR="00DC709A" w:rsidRPr="007E5ABB" w:rsidRDefault="00DC709A" w:rsidP="00DC709A">
            <w:pPr>
              <w:pStyle w:val="ColorfulList-Accent11"/>
              <w:tabs>
                <w:tab w:val="left" w:pos="0"/>
                <w:tab w:val="left" w:pos="284"/>
              </w:tabs>
              <w:ind w:left="0" w:right="-90"/>
              <w:jc w:val="center"/>
              <w:rPr>
                <w:rFonts w:ascii="Arial" w:hAnsi="Arial" w:cs="Arial"/>
                <w:b/>
                <w:color w:val="FF0000"/>
                <w:sz w:val="18"/>
                <w:szCs w:val="18"/>
              </w:rPr>
            </w:pPr>
            <w:r w:rsidRPr="007E5ABB">
              <w:rPr>
                <w:rFonts w:ascii="Arial" w:hAnsi="Arial" w:cs="Arial"/>
                <w:sz w:val="18"/>
                <w:szCs w:val="18"/>
              </w:rPr>
              <w:t>686</w:t>
            </w:r>
            <w:r w:rsidR="00460E4F" w:rsidRPr="007E5ABB">
              <w:rPr>
                <w:rFonts w:ascii="Arial" w:hAnsi="Arial" w:cs="Arial"/>
                <w:sz w:val="18"/>
                <w:szCs w:val="18"/>
              </w:rPr>
              <w:t>,</w:t>
            </w:r>
            <w:r w:rsidRPr="007E5ABB">
              <w:rPr>
                <w:rFonts w:ascii="Arial" w:hAnsi="Arial" w:cs="Arial"/>
                <w:sz w:val="18"/>
                <w:szCs w:val="18"/>
              </w:rPr>
              <w:t>0</w:t>
            </w:r>
          </w:p>
        </w:tc>
        <w:tc>
          <w:tcPr>
            <w:tcW w:w="1445" w:type="dxa"/>
            <w:tcBorders>
              <w:top w:val="single" w:sz="2" w:space="0" w:color="808080" w:themeColor="background1" w:themeShade="80"/>
              <w:left w:val="single" w:sz="4" w:space="0" w:color="auto"/>
            </w:tcBorders>
            <w:vAlign w:val="center"/>
          </w:tcPr>
          <w:p w14:paraId="34E8C55B" w14:textId="72D84DCD" w:rsidR="00DC709A" w:rsidRPr="007E5ABB" w:rsidRDefault="00DC709A" w:rsidP="00DC709A">
            <w:pPr>
              <w:pStyle w:val="ColorfulList-Accent11"/>
              <w:tabs>
                <w:tab w:val="left" w:pos="0"/>
                <w:tab w:val="left" w:pos="284"/>
              </w:tabs>
              <w:ind w:left="0" w:right="-90"/>
              <w:jc w:val="center"/>
              <w:rPr>
                <w:rFonts w:ascii="Arial" w:hAnsi="Arial" w:cs="Arial"/>
                <w:b/>
                <w:bCs/>
                <w:sz w:val="18"/>
                <w:szCs w:val="18"/>
              </w:rPr>
            </w:pPr>
            <w:r w:rsidRPr="007E5ABB">
              <w:rPr>
                <w:rFonts w:ascii="Arial" w:hAnsi="Arial" w:cs="Arial"/>
                <w:sz w:val="18"/>
                <w:szCs w:val="18"/>
              </w:rPr>
              <w:t>467</w:t>
            </w:r>
            <w:r w:rsidR="00460E4F" w:rsidRPr="007E5ABB">
              <w:rPr>
                <w:rFonts w:ascii="Arial" w:hAnsi="Arial" w:cs="Arial"/>
                <w:sz w:val="18"/>
                <w:szCs w:val="18"/>
              </w:rPr>
              <w:t>,</w:t>
            </w:r>
            <w:r w:rsidRPr="007E5ABB">
              <w:rPr>
                <w:rFonts w:ascii="Arial" w:hAnsi="Arial" w:cs="Arial"/>
                <w:sz w:val="18"/>
                <w:szCs w:val="18"/>
              </w:rPr>
              <w:t>0</w:t>
            </w:r>
          </w:p>
        </w:tc>
        <w:tc>
          <w:tcPr>
            <w:tcW w:w="1445" w:type="dxa"/>
            <w:tcBorders>
              <w:top w:val="single" w:sz="2" w:space="0" w:color="808080" w:themeColor="background1" w:themeShade="80"/>
            </w:tcBorders>
            <w:vAlign w:val="center"/>
          </w:tcPr>
          <w:p w14:paraId="60E8129E" w14:textId="6F2D9FC4" w:rsidR="00DC709A" w:rsidRPr="007E5ABB" w:rsidRDefault="00DC709A" w:rsidP="00DC709A">
            <w:pPr>
              <w:pStyle w:val="ColorfulList-Accent11"/>
              <w:tabs>
                <w:tab w:val="left" w:pos="0"/>
                <w:tab w:val="left" w:pos="284"/>
              </w:tabs>
              <w:ind w:left="0" w:right="-90"/>
              <w:jc w:val="center"/>
              <w:rPr>
                <w:rFonts w:ascii="Arial" w:hAnsi="Arial" w:cs="Arial"/>
                <w:b/>
                <w:bCs/>
                <w:sz w:val="18"/>
                <w:szCs w:val="18"/>
              </w:rPr>
            </w:pPr>
            <w:r w:rsidRPr="007E5ABB">
              <w:rPr>
                <w:rFonts w:ascii="Arial" w:hAnsi="Arial" w:cs="Arial"/>
                <w:sz w:val="18"/>
                <w:szCs w:val="18"/>
              </w:rPr>
              <w:t>463</w:t>
            </w:r>
            <w:r w:rsidR="00460E4F" w:rsidRPr="007E5ABB">
              <w:rPr>
                <w:rFonts w:ascii="Arial" w:hAnsi="Arial" w:cs="Arial"/>
                <w:sz w:val="18"/>
                <w:szCs w:val="18"/>
              </w:rPr>
              <w:t>,</w:t>
            </w:r>
            <w:r w:rsidRPr="007E5ABB">
              <w:rPr>
                <w:rFonts w:ascii="Arial" w:hAnsi="Arial" w:cs="Arial"/>
                <w:sz w:val="18"/>
                <w:szCs w:val="18"/>
              </w:rPr>
              <w:t>9</w:t>
            </w:r>
          </w:p>
        </w:tc>
      </w:tr>
      <w:tr w:rsidR="00F11244" w:rsidRPr="007E5ABB" w14:paraId="2B21B94D" w14:textId="77777777" w:rsidTr="007E5C37">
        <w:trPr>
          <w:trHeight w:val="167"/>
        </w:trPr>
        <w:tc>
          <w:tcPr>
            <w:tcW w:w="5103" w:type="dxa"/>
            <w:tcBorders>
              <w:right w:val="single" w:sz="4" w:space="0" w:color="auto"/>
            </w:tcBorders>
            <w:shd w:val="clear" w:color="auto" w:fill="FFFFFF" w:themeFill="background1"/>
            <w:vAlign w:val="center"/>
          </w:tcPr>
          <w:p w14:paraId="1386F158" w14:textId="26472615" w:rsidR="00DC709A" w:rsidRPr="007E5ABB" w:rsidRDefault="00DC709A" w:rsidP="00DC709A">
            <w:pPr>
              <w:pStyle w:val="ColorfulList-Accent11"/>
              <w:tabs>
                <w:tab w:val="left" w:pos="0"/>
                <w:tab w:val="left" w:pos="284"/>
              </w:tabs>
              <w:ind w:left="0" w:right="-90"/>
              <w:rPr>
                <w:rFonts w:ascii="Arial" w:hAnsi="Arial" w:cs="Arial"/>
                <w:b/>
                <w:sz w:val="18"/>
                <w:szCs w:val="18"/>
              </w:rPr>
            </w:pPr>
            <w:r w:rsidRPr="007E5ABB">
              <w:rPr>
                <w:rFonts w:ascii="Arial" w:hAnsi="Arial" w:cs="Arial"/>
                <w:sz w:val="18"/>
                <w:szCs w:val="18"/>
                <w:lang w:val="el-GR"/>
              </w:rPr>
              <w:t>Συναλλαγματικές διαφορές στα διαθέσιμα</w:t>
            </w:r>
          </w:p>
        </w:tc>
        <w:tc>
          <w:tcPr>
            <w:tcW w:w="1444" w:type="dxa"/>
            <w:tcBorders>
              <w:left w:val="single" w:sz="4" w:space="0" w:color="auto"/>
            </w:tcBorders>
            <w:shd w:val="clear" w:color="auto" w:fill="FFFFFF" w:themeFill="background1"/>
            <w:vAlign w:val="center"/>
          </w:tcPr>
          <w:p w14:paraId="11EAEDDF" w14:textId="44570A6E" w:rsidR="00DC709A" w:rsidRPr="007E5ABB" w:rsidRDefault="00DC709A" w:rsidP="00DC709A">
            <w:pPr>
              <w:pStyle w:val="ColorfulList-Accent11"/>
              <w:tabs>
                <w:tab w:val="left" w:pos="0"/>
                <w:tab w:val="left" w:pos="284"/>
              </w:tabs>
              <w:ind w:left="0" w:right="-90"/>
              <w:jc w:val="center"/>
              <w:rPr>
                <w:rFonts w:ascii="Arial" w:hAnsi="Arial" w:cs="Arial"/>
                <w:b/>
                <w:bCs/>
                <w:color w:val="FF0000"/>
                <w:sz w:val="18"/>
                <w:szCs w:val="18"/>
              </w:rPr>
            </w:pPr>
            <w:r w:rsidRPr="007E5ABB">
              <w:rPr>
                <w:rFonts w:ascii="Arial" w:hAnsi="Arial" w:cs="Arial"/>
                <w:sz w:val="18"/>
                <w:szCs w:val="18"/>
              </w:rPr>
              <w:t>-</w:t>
            </w:r>
          </w:p>
        </w:tc>
        <w:tc>
          <w:tcPr>
            <w:tcW w:w="1445" w:type="dxa"/>
            <w:tcBorders>
              <w:right w:val="single" w:sz="4" w:space="0" w:color="auto"/>
            </w:tcBorders>
            <w:shd w:val="clear" w:color="auto" w:fill="FFFFFF" w:themeFill="background1"/>
            <w:vAlign w:val="center"/>
          </w:tcPr>
          <w:p w14:paraId="7CB431B7" w14:textId="04948F45" w:rsidR="00DC709A" w:rsidRPr="007E5ABB" w:rsidRDefault="00DC709A" w:rsidP="00DC709A">
            <w:pPr>
              <w:pStyle w:val="ColorfulList-Accent11"/>
              <w:tabs>
                <w:tab w:val="left" w:pos="0"/>
                <w:tab w:val="left" w:pos="284"/>
              </w:tabs>
              <w:ind w:left="0" w:right="-90"/>
              <w:jc w:val="center"/>
              <w:rPr>
                <w:rFonts w:ascii="Arial" w:hAnsi="Arial" w:cs="Arial"/>
                <w:b/>
                <w:bCs/>
                <w:color w:val="FF0000"/>
                <w:sz w:val="18"/>
                <w:szCs w:val="18"/>
              </w:rPr>
            </w:pPr>
            <w:r w:rsidRPr="007E5ABB">
              <w:rPr>
                <w:rFonts w:ascii="Arial" w:hAnsi="Arial" w:cs="Arial"/>
                <w:sz w:val="18"/>
                <w:szCs w:val="18"/>
              </w:rPr>
              <w:t>(0</w:t>
            </w:r>
            <w:r w:rsidR="00460E4F" w:rsidRPr="007E5ABB">
              <w:rPr>
                <w:rFonts w:ascii="Arial" w:hAnsi="Arial" w:cs="Arial"/>
                <w:sz w:val="18"/>
                <w:szCs w:val="18"/>
              </w:rPr>
              <w:t>,</w:t>
            </w:r>
            <w:r w:rsidRPr="007E5ABB">
              <w:rPr>
                <w:rFonts w:ascii="Arial" w:hAnsi="Arial" w:cs="Arial"/>
                <w:sz w:val="18"/>
                <w:szCs w:val="18"/>
              </w:rPr>
              <w:t>4)</w:t>
            </w:r>
          </w:p>
        </w:tc>
        <w:tc>
          <w:tcPr>
            <w:tcW w:w="1445" w:type="dxa"/>
            <w:tcBorders>
              <w:left w:val="single" w:sz="4" w:space="0" w:color="auto"/>
            </w:tcBorders>
            <w:shd w:val="clear" w:color="auto" w:fill="FFFFFF" w:themeFill="background1"/>
            <w:vAlign w:val="center"/>
          </w:tcPr>
          <w:p w14:paraId="27E4320B" w14:textId="52706EFB" w:rsidR="00DC709A" w:rsidRPr="007E5ABB" w:rsidRDefault="00DC709A" w:rsidP="00DC709A">
            <w:pPr>
              <w:pStyle w:val="ColorfulList-Accent11"/>
              <w:tabs>
                <w:tab w:val="left" w:pos="0"/>
                <w:tab w:val="left" w:pos="284"/>
              </w:tabs>
              <w:ind w:left="0" w:right="-90"/>
              <w:jc w:val="center"/>
              <w:rPr>
                <w:rFonts w:ascii="Arial" w:hAnsi="Arial" w:cs="Arial"/>
                <w:sz w:val="18"/>
                <w:szCs w:val="18"/>
              </w:rPr>
            </w:pPr>
            <w:r w:rsidRPr="007E5ABB">
              <w:rPr>
                <w:rFonts w:ascii="Arial" w:hAnsi="Arial" w:cs="Arial"/>
                <w:sz w:val="18"/>
                <w:szCs w:val="18"/>
              </w:rPr>
              <w:t>(0</w:t>
            </w:r>
            <w:r w:rsidR="00460E4F" w:rsidRPr="007E5ABB">
              <w:rPr>
                <w:rFonts w:ascii="Arial" w:hAnsi="Arial" w:cs="Arial"/>
                <w:sz w:val="18"/>
                <w:szCs w:val="18"/>
              </w:rPr>
              <w:t>,</w:t>
            </w:r>
            <w:r w:rsidRPr="007E5ABB">
              <w:rPr>
                <w:rFonts w:ascii="Arial" w:hAnsi="Arial" w:cs="Arial"/>
                <w:sz w:val="18"/>
                <w:szCs w:val="18"/>
              </w:rPr>
              <w:t>7)</w:t>
            </w:r>
          </w:p>
        </w:tc>
        <w:tc>
          <w:tcPr>
            <w:tcW w:w="1445" w:type="dxa"/>
            <w:shd w:val="clear" w:color="auto" w:fill="FFFFFF" w:themeFill="background1"/>
            <w:vAlign w:val="center"/>
          </w:tcPr>
          <w:p w14:paraId="78608D82" w14:textId="49EAB56F" w:rsidR="00DC709A" w:rsidRPr="007E5ABB" w:rsidRDefault="00DC709A" w:rsidP="00DC709A">
            <w:pPr>
              <w:pStyle w:val="ColorfulList-Accent11"/>
              <w:tabs>
                <w:tab w:val="left" w:pos="0"/>
                <w:tab w:val="left" w:pos="284"/>
              </w:tabs>
              <w:ind w:left="0" w:right="-90"/>
              <w:jc w:val="center"/>
              <w:rPr>
                <w:rFonts w:ascii="Arial" w:hAnsi="Arial" w:cs="Arial"/>
                <w:sz w:val="18"/>
                <w:szCs w:val="18"/>
              </w:rPr>
            </w:pPr>
            <w:r w:rsidRPr="007E5ABB">
              <w:rPr>
                <w:rFonts w:ascii="Arial" w:hAnsi="Arial" w:cs="Arial"/>
                <w:sz w:val="18"/>
                <w:szCs w:val="18"/>
              </w:rPr>
              <w:t>(0</w:t>
            </w:r>
            <w:r w:rsidR="00460E4F" w:rsidRPr="007E5ABB">
              <w:rPr>
                <w:rFonts w:ascii="Arial" w:hAnsi="Arial" w:cs="Arial"/>
                <w:sz w:val="18"/>
                <w:szCs w:val="18"/>
              </w:rPr>
              <w:t>,</w:t>
            </w:r>
            <w:r w:rsidRPr="007E5ABB">
              <w:rPr>
                <w:rFonts w:ascii="Arial" w:hAnsi="Arial" w:cs="Arial"/>
                <w:sz w:val="18"/>
                <w:szCs w:val="18"/>
              </w:rPr>
              <w:t>5)</w:t>
            </w:r>
          </w:p>
        </w:tc>
      </w:tr>
      <w:tr w:rsidR="00CA6DAC" w:rsidRPr="007E5ABB" w14:paraId="0519F4E5" w14:textId="77777777" w:rsidTr="00FB20CB">
        <w:trPr>
          <w:trHeight w:val="310"/>
        </w:trPr>
        <w:tc>
          <w:tcPr>
            <w:tcW w:w="5103" w:type="dxa"/>
            <w:tcBorders>
              <w:right w:val="single" w:sz="4" w:space="0" w:color="auto"/>
            </w:tcBorders>
            <w:shd w:val="clear" w:color="auto" w:fill="FFFFFF" w:themeFill="background1"/>
            <w:vAlign w:val="center"/>
          </w:tcPr>
          <w:p w14:paraId="25DCC483" w14:textId="70D31AC6" w:rsidR="00DC709A" w:rsidRPr="00FB20CB" w:rsidRDefault="00DC709A" w:rsidP="00DC709A">
            <w:pPr>
              <w:pStyle w:val="Default"/>
              <w:rPr>
                <w:rFonts w:ascii="Arial" w:hAnsi="Arial" w:cs="Arial"/>
                <w:sz w:val="18"/>
                <w:szCs w:val="18"/>
                <w:lang w:val="el-GR"/>
              </w:rPr>
            </w:pPr>
            <w:r w:rsidRPr="00FB20CB">
              <w:rPr>
                <w:rFonts w:ascii="Arial" w:hAnsi="Arial" w:cs="Arial"/>
                <w:sz w:val="18"/>
                <w:szCs w:val="18"/>
                <w:lang w:val="el-GR"/>
              </w:rPr>
              <w:t>Ταμειακά διαθέσιμα και ταμειακά ισοδύναμα της ομάδας στοιχείων κατεχόμενων προς πώληση</w:t>
            </w:r>
            <w:r w:rsidR="00F82DE5" w:rsidRPr="00FB20CB">
              <w:rPr>
                <w:rFonts w:ascii="Arial" w:hAnsi="Arial" w:cs="Arial"/>
                <w:sz w:val="18"/>
                <w:szCs w:val="18"/>
                <w:lang w:val="el-GR"/>
              </w:rPr>
              <w:t>, λήξης περιόδου</w:t>
            </w:r>
          </w:p>
        </w:tc>
        <w:tc>
          <w:tcPr>
            <w:tcW w:w="1444" w:type="dxa"/>
            <w:tcBorders>
              <w:left w:val="single" w:sz="4" w:space="0" w:color="auto"/>
            </w:tcBorders>
            <w:shd w:val="clear" w:color="auto" w:fill="FFFFFF" w:themeFill="background1"/>
            <w:vAlign w:val="center"/>
          </w:tcPr>
          <w:p w14:paraId="216B9655" w14:textId="325677B4" w:rsidR="00DC709A" w:rsidRPr="007E5ABB" w:rsidRDefault="00DC709A" w:rsidP="00DC709A">
            <w:pPr>
              <w:pStyle w:val="ColorfulList-Accent11"/>
              <w:tabs>
                <w:tab w:val="left" w:pos="0"/>
                <w:tab w:val="left" w:pos="284"/>
              </w:tabs>
              <w:ind w:left="0" w:right="-90"/>
              <w:jc w:val="center"/>
              <w:rPr>
                <w:rFonts w:ascii="Arial" w:hAnsi="Arial" w:cs="Arial"/>
                <w:sz w:val="18"/>
                <w:szCs w:val="18"/>
                <w:lang w:val="el-GR"/>
              </w:rPr>
            </w:pPr>
            <w:r w:rsidRPr="007E5ABB">
              <w:rPr>
                <w:rFonts w:ascii="Arial" w:hAnsi="Arial" w:cs="Arial"/>
                <w:sz w:val="18"/>
                <w:szCs w:val="18"/>
              </w:rPr>
              <w:t>(21</w:t>
            </w:r>
            <w:r w:rsidR="00460E4F" w:rsidRPr="007E5ABB">
              <w:rPr>
                <w:rFonts w:ascii="Arial" w:hAnsi="Arial" w:cs="Arial"/>
                <w:sz w:val="18"/>
                <w:szCs w:val="18"/>
              </w:rPr>
              <w:t>,</w:t>
            </w:r>
            <w:r w:rsidRPr="007E5ABB">
              <w:rPr>
                <w:rFonts w:ascii="Arial" w:hAnsi="Arial" w:cs="Arial"/>
                <w:sz w:val="18"/>
                <w:szCs w:val="18"/>
              </w:rPr>
              <w:t>7)</w:t>
            </w:r>
          </w:p>
        </w:tc>
        <w:tc>
          <w:tcPr>
            <w:tcW w:w="1445" w:type="dxa"/>
            <w:tcBorders>
              <w:right w:val="single" w:sz="4" w:space="0" w:color="auto"/>
            </w:tcBorders>
            <w:shd w:val="clear" w:color="auto" w:fill="FFFFFF" w:themeFill="background1"/>
            <w:vAlign w:val="center"/>
          </w:tcPr>
          <w:p w14:paraId="3772EBF5" w14:textId="6396BA23" w:rsidR="00DC709A" w:rsidRPr="007E5ABB" w:rsidRDefault="00DC709A" w:rsidP="00DC709A">
            <w:pPr>
              <w:pStyle w:val="ColorfulList-Accent11"/>
              <w:tabs>
                <w:tab w:val="left" w:pos="0"/>
                <w:tab w:val="left" w:pos="284"/>
              </w:tabs>
              <w:ind w:left="0" w:right="-90"/>
              <w:jc w:val="center"/>
              <w:rPr>
                <w:rFonts w:ascii="Arial" w:hAnsi="Arial" w:cs="Arial"/>
                <w:sz w:val="18"/>
                <w:szCs w:val="18"/>
                <w:lang w:val="el-GR"/>
              </w:rPr>
            </w:pPr>
            <w:r w:rsidRPr="007E5ABB">
              <w:rPr>
                <w:rFonts w:ascii="Arial" w:hAnsi="Arial" w:cs="Arial"/>
                <w:sz w:val="18"/>
                <w:szCs w:val="18"/>
              </w:rPr>
              <w:t>-</w:t>
            </w:r>
          </w:p>
        </w:tc>
        <w:tc>
          <w:tcPr>
            <w:tcW w:w="1445" w:type="dxa"/>
            <w:tcBorders>
              <w:left w:val="single" w:sz="4" w:space="0" w:color="auto"/>
            </w:tcBorders>
            <w:shd w:val="clear" w:color="auto" w:fill="FFFFFF" w:themeFill="background1"/>
            <w:vAlign w:val="center"/>
          </w:tcPr>
          <w:p w14:paraId="4ED2EEDE" w14:textId="079AB3BB" w:rsidR="00DC709A" w:rsidRPr="007E5ABB" w:rsidRDefault="00DC709A" w:rsidP="00DC709A">
            <w:pPr>
              <w:pStyle w:val="ColorfulList-Accent11"/>
              <w:tabs>
                <w:tab w:val="left" w:pos="0"/>
                <w:tab w:val="left" w:pos="284"/>
              </w:tabs>
              <w:ind w:left="0" w:right="-90"/>
              <w:jc w:val="center"/>
              <w:rPr>
                <w:rFonts w:ascii="Arial" w:hAnsi="Arial" w:cs="Arial"/>
                <w:sz w:val="18"/>
                <w:szCs w:val="18"/>
                <w:lang w:val="el-GR"/>
              </w:rPr>
            </w:pPr>
            <w:r w:rsidRPr="007E5ABB">
              <w:rPr>
                <w:rFonts w:ascii="Arial" w:hAnsi="Arial" w:cs="Arial"/>
                <w:sz w:val="18"/>
                <w:szCs w:val="18"/>
              </w:rPr>
              <w:t>(21</w:t>
            </w:r>
            <w:r w:rsidR="00460E4F" w:rsidRPr="007E5ABB">
              <w:rPr>
                <w:rFonts w:ascii="Arial" w:hAnsi="Arial" w:cs="Arial"/>
                <w:sz w:val="18"/>
                <w:szCs w:val="18"/>
              </w:rPr>
              <w:t>,</w:t>
            </w:r>
            <w:r w:rsidRPr="007E5ABB">
              <w:rPr>
                <w:rFonts w:ascii="Arial" w:hAnsi="Arial" w:cs="Arial"/>
                <w:sz w:val="18"/>
                <w:szCs w:val="18"/>
              </w:rPr>
              <w:t>7)</w:t>
            </w:r>
          </w:p>
        </w:tc>
        <w:tc>
          <w:tcPr>
            <w:tcW w:w="1445" w:type="dxa"/>
            <w:shd w:val="clear" w:color="auto" w:fill="FFFFFF" w:themeFill="background1"/>
            <w:vAlign w:val="center"/>
          </w:tcPr>
          <w:p w14:paraId="0D22A4D3" w14:textId="5A37EAE9" w:rsidR="00DC709A" w:rsidRPr="007E5ABB" w:rsidRDefault="00DC709A" w:rsidP="00DC709A">
            <w:pPr>
              <w:pStyle w:val="ColorfulList-Accent11"/>
              <w:tabs>
                <w:tab w:val="left" w:pos="0"/>
                <w:tab w:val="left" w:pos="284"/>
              </w:tabs>
              <w:ind w:left="0" w:right="-90"/>
              <w:jc w:val="center"/>
              <w:rPr>
                <w:rFonts w:ascii="Arial" w:hAnsi="Arial" w:cs="Arial"/>
                <w:sz w:val="18"/>
                <w:szCs w:val="18"/>
                <w:lang w:val="el-GR"/>
              </w:rPr>
            </w:pPr>
            <w:r w:rsidRPr="007E5ABB">
              <w:rPr>
                <w:rFonts w:ascii="Arial" w:hAnsi="Arial" w:cs="Arial"/>
                <w:sz w:val="18"/>
                <w:szCs w:val="18"/>
              </w:rPr>
              <w:t>-</w:t>
            </w:r>
          </w:p>
        </w:tc>
      </w:tr>
      <w:tr w:rsidR="00F11244" w:rsidRPr="007E5ABB" w14:paraId="0987CD3D" w14:textId="77777777" w:rsidTr="007E5C37">
        <w:trPr>
          <w:trHeight w:val="301"/>
        </w:trPr>
        <w:tc>
          <w:tcPr>
            <w:tcW w:w="5103" w:type="dxa"/>
            <w:tcBorders>
              <w:top w:val="single" w:sz="2" w:space="0" w:color="808080" w:themeColor="background1" w:themeShade="80"/>
              <w:bottom w:val="single" w:sz="2" w:space="0" w:color="808080" w:themeColor="background1" w:themeShade="80"/>
              <w:right w:val="single" w:sz="4" w:space="0" w:color="auto"/>
            </w:tcBorders>
            <w:shd w:val="clear" w:color="auto" w:fill="D9D9D9" w:themeFill="background1" w:themeFillShade="D9"/>
          </w:tcPr>
          <w:p w14:paraId="48EBECF7" w14:textId="013DCC06" w:rsidR="00DC709A" w:rsidRPr="007E5ABB" w:rsidRDefault="00DC709A" w:rsidP="00DC709A">
            <w:pPr>
              <w:pStyle w:val="ColorfulList-Accent11"/>
              <w:tabs>
                <w:tab w:val="left" w:pos="0"/>
                <w:tab w:val="left" w:pos="284"/>
              </w:tabs>
              <w:ind w:left="0" w:right="-90"/>
              <w:rPr>
                <w:rFonts w:ascii="Arial" w:hAnsi="Arial" w:cs="Arial"/>
                <w:b/>
                <w:sz w:val="18"/>
                <w:szCs w:val="18"/>
                <w:lang w:val="el-GR"/>
              </w:rPr>
            </w:pPr>
            <w:r w:rsidRPr="007E5ABB">
              <w:rPr>
                <w:rFonts w:ascii="Arial" w:hAnsi="Arial" w:cs="Arial"/>
                <w:b/>
                <w:sz w:val="18"/>
                <w:szCs w:val="18"/>
                <w:lang w:val="el-GR"/>
              </w:rPr>
              <w:t>Ταμειακά διαθέσιμα και ταμειακά ισοδύναμα λήξης περιόδου</w:t>
            </w:r>
          </w:p>
        </w:tc>
        <w:tc>
          <w:tcPr>
            <w:tcW w:w="1444" w:type="dxa"/>
            <w:tcBorders>
              <w:top w:val="single" w:sz="2" w:space="0" w:color="808080" w:themeColor="background1" w:themeShade="80"/>
              <w:left w:val="single" w:sz="4" w:space="0" w:color="auto"/>
              <w:bottom w:val="single" w:sz="2" w:space="0" w:color="808080" w:themeColor="background1" w:themeShade="80"/>
            </w:tcBorders>
            <w:shd w:val="clear" w:color="auto" w:fill="D9D9D9" w:themeFill="background1" w:themeFillShade="D9"/>
            <w:vAlign w:val="center"/>
          </w:tcPr>
          <w:p w14:paraId="3A542634" w14:textId="2E3BDB64" w:rsidR="00DC709A" w:rsidRPr="007E5ABB" w:rsidRDefault="00DC709A" w:rsidP="00DC709A">
            <w:pPr>
              <w:pStyle w:val="ColorfulList-Accent11"/>
              <w:tabs>
                <w:tab w:val="left" w:pos="0"/>
                <w:tab w:val="left" w:pos="284"/>
              </w:tabs>
              <w:ind w:left="0" w:right="-90"/>
              <w:jc w:val="center"/>
              <w:rPr>
                <w:rFonts w:ascii="Arial" w:hAnsi="Arial" w:cs="Arial"/>
                <w:b/>
                <w:color w:val="FF0000"/>
                <w:sz w:val="18"/>
                <w:szCs w:val="18"/>
              </w:rPr>
            </w:pPr>
            <w:r w:rsidRPr="007E5ABB">
              <w:rPr>
                <w:rFonts w:ascii="Arial" w:hAnsi="Arial" w:cs="Arial"/>
                <w:b/>
                <w:bCs/>
                <w:sz w:val="18"/>
                <w:szCs w:val="18"/>
              </w:rPr>
              <w:t>426</w:t>
            </w:r>
            <w:r w:rsidR="00460E4F" w:rsidRPr="007E5ABB">
              <w:rPr>
                <w:rFonts w:ascii="Arial" w:hAnsi="Arial" w:cs="Arial"/>
                <w:b/>
                <w:bCs/>
                <w:sz w:val="18"/>
                <w:szCs w:val="18"/>
              </w:rPr>
              <w:t>,</w:t>
            </w:r>
            <w:r w:rsidRPr="007E5ABB">
              <w:rPr>
                <w:rFonts w:ascii="Arial" w:hAnsi="Arial" w:cs="Arial"/>
                <w:b/>
                <w:bCs/>
                <w:sz w:val="18"/>
                <w:szCs w:val="18"/>
              </w:rPr>
              <w:t>3</w:t>
            </w:r>
          </w:p>
        </w:tc>
        <w:tc>
          <w:tcPr>
            <w:tcW w:w="1445" w:type="dxa"/>
            <w:tcBorders>
              <w:top w:val="single" w:sz="2" w:space="0" w:color="808080" w:themeColor="background1" w:themeShade="80"/>
              <w:bottom w:val="single" w:sz="2" w:space="0" w:color="808080" w:themeColor="background1" w:themeShade="80"/>
              <w:right w:val="single" w:sz="4" w:space="0" w:color="auto"/>
            </w:tcBorders>
            <w:shd w:val="clear" w:color="auto" w:fill="D9D9D9" w:themeFill="background1" w:themeFillShade="D9"/>
            <w:vAlign w:val="center"/>
          </w:tcPr>
          <w:p w14:paraId="494A7D12" w14:textId="495C50A3" w:rsidR="00DC709A" w:rsidRPr="007E5ABB" w:rsidRDefault="00DC709A" w:rsidP="00DC709A">
            <w:pPr>
              <w:pStyle w:val="ColorfulList-Accent11"/>
              <w:tabs>
                <w:tab w:val="left" w:pos="0"/>
                <w:tab w:val="left" w:pos="284"/>
              </w:tabs>
              <w:ind w:left="0" w:right="-90"/>
              <w:jc w:val="center"/>
              <w:rPr>
                <w:rFonts w:ascii="Arial" w:hAnsi="Arial" w:cs="Arial"/>
                <w:b/>
                <w:color w:val="FF0000"/>
                <w:sz w:val="18"/>
                <w:szCs w:val="18"/>
              </w:rPr>
            </w:pPr>
            <w:r w:rsidRPr="007E5ABB">
              <w:rPr>
                <w:rFonts w:ascii="Arial" w:hAnsi="Arial" w:cs="Arial"/>
                <w:b/>
                <w:bCs/>
                <w:sz w:val="18"/>
                <w:szCs w:val="18"/>
              </w:rPr>
              <w:t>462</w:t>
            </w:r>
            <w:r w:rsidR="00460E4F" w:rsidRPr="007E5ABB">
              <w:rPr>
                <w:rFonts w:ascii="Arial" w:hAnsi="Arial" w:cs="Arial"/>
                <w:b/>
                <w:bCs/>
                <w:sz w:val="18"/>
                <w:szCs w:val="18"/>
              </w:rPr>
              <w:t>,</w:t>
            </w:r>
            <w:r w:rsidRPr="007E5ABB">
              <w:rPr>
                <w:rFonts w:ascii="Arial" w:hAnsi="Arial" w:cs="Arial"/>
                <w:b/>
                <w:bCs/>
                <w:sz w:val="18"/>
                <w:szCs w:val="18"/>
              </w:rPr>
              <w:t>1</w:t>
            </w:r>
          </w:p>
        </w:tc>
        <w:tc>
          <w:tcPr>
            <w:tcW w:w="1445" w:type="dxa"/>
            <w:tcBorders>
              <w:top w:val="single" w:sz="2" w:space="0" w:color="808080" w:themeColor="background1" w:themeShade="80"/>
              <w:left w:val="single" w:sz="4" w:space="0" w:color="auto"/>
              <w:bottom w:val="single" w:sz="2" w:space="0" w:color="808080" w:themeColor="background1" w:themeShade="80"/>
            </w:tcBorders>
            <w:shd w:val="clear" w:color="auto" w:fill="D9D9D9" w:themeFill="background1" w:themeFillShade="D9"/>
            <w:vAlign w:val="center"/>
          </w:tcPr>
          <w:p w14:paraId="49ACEFC2" w14:textId="758E57BA" w:rsidR="00DC709A" w:rsidRPr="007E5ABB" w:rsidRDefault="00DC709A" w:rsidP="00DC709A">
            <w:pPr>
              <w:pStyle w:val="ColorfulList-Accent11"/>
              <w:tabs>
                <w:tab w:val="left" w:pos="0"/>
                <w:tab w:val="left" w:pos="284"/>
              </w:tabs>
              <w:ind w:left="0" w:right="-90"/>
              <w:jc w:val="center"/>
              <w:rPr>
                <w:rFonts w:ascii="Arial" w:hAnsi="Arial" w:cs="Arial"/>
                <w:b/>
                <w:bCs/>
                <w:sz w:val="18"/>
                <w:szCs w:val="18"/>
              </w:rPr>
            </w:pPr>
            <w:r w:rsidRPr="007E5ABB">
              <w:rPr>
                <w:rFonts w:ascii="Arial" w:hAnsi="Arial" w:cs="Arial"/>
                <w:b/>
                <w:bCs/>
                <w:sz w:val="18"/>
                <w:szCs w:val="18"/>
              </w:rPr>
              <w:t>426</w:t>
            </w:r>
            <w:r w:rsidR="00460E4F" w:rsidRPr="007E5ABB">
              <w:rPr>
                <w:rFonts w:ascii="Arial" w:hAnsi="Arial" w:cs="Arial"/>
                <w:b/>
                <w:bCs/>
                <w:sz w:val="18"/>
                <w:szCs w:val="18"/>
              </w:rPr>
              <w:t>,</w:t>
            </w:r>
            <w:r w:rsidRPr="007E5ABB">
              <w:rPr>
                <w:rFonts w:ascii="Arial" w:hAnsi="Arial" w:cs="Arial"/>
                <w:b/>
                <w:bCs/>
                <w:sz w:val="18"/>
                <w:szCs w:val="18"/>
              </w:rPr>
              <w:t>3</w:t>
            </w:r>
          </w:p>
        </w:tc>
        <w:tc>
          <w:tcPr>
            <w:tcW w:w="1445" w:type="dxa"/>
            <w:tcBorders>
              <w:top w:val="single" w:sz="2" w:space="0" w:color="808080" w:themeColor="background1" w:themeShade="80"/>
              <w:bottom w:val="single" w:sz="2" w:space="0" w:color="808080" w:themeColor="background1" w:themeShade="80"/>
            </w:tcBorders>
            <w:shd w:val="clear" w:color="auto" w:fill="D9D9D9" w:themeFill="background1" w:themeFillShade="D9"/>
            <w:vAlign w:val="center"/>
          </w:tcPr>
          <w:p w14:paraId="0A76C59D" w14:textId="70C86497" w:rsidR="00DC709A" w:rsidRPr="007E5ABB" w:rsidRDefault="00DC709A" w:rsidP="00DC709A">
            <w:pPr>
              <w:pStyle w:val="ColorfulList-Accent11"/>
              <w:tabs>
                <w:tab w:val="left" w:pos="0"/>
                <w:tab w:val="left" w:pos="284"/>
              </w:tabs>
              <w:ind w:left="0" w:right="-90"/>
              <w:jc w:val="center"/>
              <w:rPr>
                <w:rFonts w:ascii="Arial" w:hAnsi="Arial" w:cs="Arial"/>
                <w:b/>
                <w:bCs/>
                <w:sz w:val="18"/>
                <w:szCs w:val="18"/>
              </w:rPr>
            </w:pPr>
            <w:r w:rsidRPr="007E5ABB">
              <w:rPr>
                <w:rFonts w:ascii="Arial" w:hAnsi="Arial" w:cs="Arial"/>
                <w:b/>
                <w:bCs/>
                <w:sz w:val="18"/>
                <w:szCs w:val="18"/>
              </w:rPr>
              <w:t>462</w:t>
            </w:r>
            <w:r w:rsidR="00460E4F" w:rsidRPr="007E5ABB">
              <w:rPr>
                <w:rFonts w:ascii="Arial" w:hAnsi="Arial" w:cs="Arial"/>
                <w:b/>
                <w:bCs/>
                <w:sz w:val="18"/>
                <w:szCs w:val="18"/>
              </w:rPr>
              <w:t>,</w:t>
            </w:r>
            <w:r w:rsidRPr="007E5ABB">
              <w:rPr>
                <w:rFonts w:ascii="Arial" w:hAnsi="Arial" w:cs="Arial"/>
                <w:b/>
                <w:bCs/>
                <w:sz w:val="18"/>
                <w:szCs w:val="18"/>
              </w:rPr>
              <w:t>1</w:t>
            </w:r>
          </w:p>
        </w:tc>
      </w:tr>
    </w:tbl>
    <w:p w14:paraId="61D0E089" w14:textId="09653169" w:rsidR="00FB041A" w:rsidRPr="003E218F" w:rsidRDefault="00FB041A" w:rsidP="00FB041A">
      <w:pPr>
        <w:jc w:val="both"/>
        <w:rPr>
          <w:rFonts w:ascii="Arial" w:hAnsi="Arial" w:cs="Arial"/>
          <w:sz w:val="16"/>
          <w:szCs w:val="16"/>
          <w:lang w:eastAsia="el-GR"/>
        </w:rPr>
      </w:pPr>
      <w:r w:rsidRPr="00FB20CB">
        <w:rPr>
          <w:rFonts w:ascii="Arial" w:hAnsi="Arial" w:cs="Arial"/>
          <w:b/>
          <w:sz w:val="16"/>
          <w:szCs w:val="16"/>
        </w:rPr>
        <w:t>Σημείωση:</w:t>
      </w:r>
      <w:r w:rsidR="00FB20CB" w:rsidRPr="00FB20CB">
        <w:rPr>
          <w:rFonts w:ascii="Arial" w:hAnsi="Arial" w:cs="Arial"/>
          <w:b/>
          <w:sz w:val="16"/>
          <w:szCs w:val="16"/>
        </w:rPr>
        <w:t xml:space="preserve"> </w:t>
      </w:r>
      <w:r w:rsidRPr="00FB20CB">
        <w:rPr>
          <w:rFonts w:ascii="Arial" w:hAnsi="Arial" w:cs="Arial"/>
          <w:sz w:val="16"/>
          <w:szCs w:val="16"/>
        </w:rPr>
        <w:t xml:space="preserve">Για την εννεάμηνη περίοδο που έληξε στις 30 Σεπτεμβρίου 2025, </w:t>
      </w:r>
      <w:r w:rsidR="00166741" w:rsidRPr="00FB20CB">
        <w:rPr>
          <w:rFonts w:ascii="Arial" w:hAnsi="Arial" w:cs="Arial"/>
          <w:sz w:val="16"/>
          <w:szCs w:val="16"/>
        </w:rPr>
        <w:t xml:space="preserve">η εγγραφή </w:t>
      </w:r>
      <w:r w:rsidRPr="00FB20CB">
        <w:rPr>
          <w:rFonts w:ascii="Arial" w:hAnsi="Arial" w:cs="Arial"/>
          <w:sz w:val="16"/>
          <w:szCs w:val="16"/>
        </w:rPr>
        <w:t>ταμειακών ροών «Φόρος εισοδήματος (</w:t>
      </w:r>
      <w:r w:rsidR="0036091A" w:rsidRPr="00FB20CB">
        <w:rPr>
          <w:rFonts w:ascii="Arial" w:hAnsi="Arial" w:cs="Arial"/>
          <w:sz w:val="16"/>
          <w:szCs w:val="16"/>
        </w:rPr>
        <w:t>καταβεβλημένος</w:t>
      </w:r>
      <w:r w:rsidRPr="00FB20CB">
        <w:rPr>
          <w:rFonts w:ascii="Arial" w:hAnsi="Arial" w:cs="Arial"/>
          <w:sz w:val="16"/>
          <w:szCs w:val="16"/>
        </w:rPr>
        <w:t xml:space="preserve">) / </w:t>
      </w:r>
      <w:r w:rsidR="0036091A" w:rsidRPr="00FB20CB">
        <w:rPr>
          <w:rFonts w:ascii="Arial" w:hAnsi="Arial" w:cs="Arial"/>
          <w:sz w:val="16"/>
          <w:szCs w:val="16"/>
        </w:rPr>
        <w:t>εισπραγμένος</w:t>
      </w:r>
      <w:r w:rsidRPr="00FB20CB">
        <w:rPr>
          <w:rFonts w:ascii="Arial" w:hAnsi="Arial" w:cs="Arial"/>
          <w:sz w:val="16"/>
          <w:szCs w:val="16"/>
        </w:rPr>
        <w:t>» δεν περιλαμβάνει ποσό ύψους €40,1 εκατ. (9Μ 2024: €1</w:t>
      </w:r>
      <w:r w:rsidR="0036091A" w:rsidRPr="00FB20CB">
        <w:rPr>
          <w:rFonts w:ascii="Arial" w:hAnsi="Arial" w:cs="Arial"/>
          <w:sz w:val="16"/>
          <w:szCs w:val="16"/>
        </w:rPr>
        <w:t>1,8</w:t>
      </w:r>
      <w:r w:rsidRPr="00FB20CB">
        <w:rPr>
          <w:rFonts w:ascii="Arial" w:hAnsi="Arial" w:cs="Arial"/>
          <w:sz w:val="16"/>
          <w:szCs w:val="16"/>
        </w:rPr>
        <w:t xml:space="preserve"> εκατ.) που αφορά υποχρεώσεις φόρου εισοδήματος οι οποίες τακτοποιήθηκαν μέσω συμψηφισμού με εμπορικές απαιτήσεις ή προκαταβολές πελατών από τον δημόσιο τομέα.</w:t>
      </w:r>
      <w:r w:rsidR="0036091A" w:rsidRPr="00FB20CB">
        <w:rPr>
          <w:rFonts w:ascii="Arial" w:hAnsi="Arial" w:cs="Arial"/>
          <w:sz w:val="16"/>
          <w:szCs w:val="16"/>
        </w:rPr>
        <w:t xml:space="preserve"> </w:t>
      </w:r>
      <w:r w:rsidRPr="00FB20CB">
        <w:rPr>
          <w:rFonts w:ascii="Arial" w:hAnsi="Arial" w:cs="Arial"/>
          <w:sz w:val="16"/>
          <w:szCs w:val="16"/>
        </w:rPr>
        <w:t>Τα αντίστοιχα ποσά για το τρίμηνο ανέρχονται σε: Γ’ τρίμηνο 2025: €38,2 εκατ. και Γ’ τρίμηνο 2024: €7,5 εκατ.</w:t>
      </w:r>
    </w:p>
    <w:sectPr w:rsidR="00FB041A" w:rsidRPr="003E218F" w:rsidSect="00EC6538">
      <w:headerReference w:type="default" r:id="rId14"/>
      <w:footerReference w:type="default" r:id="rId15"/>
      <w:headerReference w:type="first" r:id="rId16"/>
      <w:footerReference w:type="first" r:id="rId17"/>
      <w:pgSz w:w="11906" w:h="16838"/>
      <w:pgMar w:top="54" w:right="707" w:bottom="1418" w:left="709" w:header="709" w:footer="11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857EC4" w14:textId="77777777" w:rsidR="00375DE7" w:rsidRDefault="00375DE7" w:rsidP="00566B01">
      <w:pPr>
        <w:spacing w:after="0" w:line="240" w:lineRule="auto"/>
      </w:pPr>
      <w:r>
        <w:separator/>
      </w:r>
    </w:p>
  </w:endnote>
  <w:endnote w:type="continuationSeparator" w:id="0">
    <w:p w14:paraId="75BEF77D" w14:textId="77777777" w:rsidR="00375DE7" w:rsidRDefault="00375DE7" w:rsidP="00566B01">
      <w:pPr>
        <w:spacing w:after="0" w:line="240" w:lineRule="auto"/>
      </w:pPr>
      <w:r>
        <w:continuationSeparator/>
      </w:r>
    </w:p>
  </w:endnote>
  <w:endnote w:type="continuationNotice" w:id="1">
    <w:p w14:paraId="6265060A" w14:textId="77777777" w:rsidR="00375DE7" w:rsidRDefault="00375DE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PA-SansSerif">
    <w:altName w:val="Times New Roman"/>
    <w:panose1 w:val="00000000000000000000"/>
    <w:charset w:val="00"/>
    <w:family w:val="roman"/>
    <w:notTrueType/>
    <w:pitch w:val="default"/>
  </w:font>
  <w:font w:name="Franklin Gothic Book">
    <w:panose1 w:val="020B0503020102020204"/>
    <w:charset w:val="A1"/>
    <w:family w:val="swiss"/>
    <w:pitch w:val="variable"/>
    <w:sig w:usb0="00000287" w:usb1="00000000" w:usb2="00000000" w:usb3="00000000" w:csb0="0000009F" w:csb1="00000000"/>
  </w:font>
  <w:font w:name="TheFutura-Book">
    <w:altName w:val="Times New Roman"/>
    <w:panose1 w:val="00000000000000000000"/>
    <w:charset w:val="4D"/>
    <w:family w:val="auto"/>
    <w:notTrueType/>
    <w:pitch w:val="default"/>
    <w:sig w:usb0="00000003" w:usb1="00000000" w:usb2="00000000" w:usb3="00000000" w:csb0="00000001" w:csb1="00000000"/>
  </w:font>
  <w:font w:name="Cambria">
    <w:panose1 w:val="02040503050406030204"/>
    <w:charset w:val="A1"/>
    <w:family w:val="roman"/>
    <w:pitch w:val="variable"/>
    <w:sig w:usb0="E00006FF" w:usb1="420024FF" w:usb2="02000000" w:usb3="00000000" w:csb0="0000019F" w:csb1="00000000"/>
  </w:font>
  <w:font w:name="TeleNeo Office">
    <w:panose1 w:val="020B0504040202090203"/>
    <w:charset w:val="A1"/>
    <w:family w:val="swiss"/>
    <w:pitch w:val="variable"/>
    <w:sig w:usb0="00000287" w:usb1="00000001" w:usb2="00000000" w:usb3="00000000" w:csb0="0000009F" w:csb1="00000000"/>
  </w:font>
  <w:font w:name="Segoe UI">
    <w:panose1 w:val="020B0502040204020203"/>
    <w:charset w:val="A1"/>
    <w:family w:val="swiss"/>
    <w:pitch w:val="variable"/>
    <w:sig w:usb0="E4002EFF" w:usb1="C000E47F" w:usb2="00000009" w:usb3="00000000" w:csb0="000001FF" w:csb1="00000000"/>
  </w:font>
  <w:font w:name="Arial Narrow">
    <w:panose1 w:val="020B0606020202030204"/>
    <w:charset w:val="A1"/>
    <w:family w:val="swiss"/>
    <w:pitch w:val="variable"/>
    <w:sig w:usb0="00000287" w:usb1="00000800" w:usb2="00000000" w:usb3="00000000" w:csb0="0000009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1538268"/>
      <w:docPartObj>
        <w:docPartGallery w:val="Page Numbers (Bottom of Page)"/>
        <w:docPartUnique/>
      </w:docPartObj>
    </w:sdtPr>
    <w:sdtEndPr>
      <w:rPr>
        <w:noProof/>
      </w:rPr>
    </w:sdtEndPr>
    <w:sdtContent>
      <w:p w14:paraId="0E92F298" w14:textId="3DE29E02" w:rsidR="00566B01" w:rsidRDefault="004A6177" w:rsidP="00FB20CB">
        <w:pPr>
          <w:pStyle w:val="Footer"/>
          <w:jc w:val="right"/>
        </w:pPr>
        <w:r>
          <w:rPr>
            <w:noProof/>
          </w:rPr>
          <w:drawing>
            <wp:inline distT="0" distB="0" distL="0" distR="0" wp14:anchorId="51B6962F" wp14:editId="05C38996">
              <wp:extent cx="1704975" cy="435224"/>
              <wp:effectExtent l="0" t="0" r="0" b="3175"/>
              <wp:docPr id="747776156" name="Picture 747776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
                        <a:extLst>
                          <a:ext uri="{28A0092B-C50C-407E-A947-70E740481C1C}">
                            <a14:useLocalDpi xmlns:a14="http://schemas.microsoft.com/office/drawing/2010/main" val="0"/>
                          </a:ext>
                        </a:extLst>
                      </a:blip>
                      <a:srcRect l="69861" t="50644" r="6202" b="21201"/>
                      <a:stretch/>
                    </pic:blipFill>
                    <pic:spPr bwMode="auto">
                      <a:xfrm>
                        <a:off x="0" y="0"/>
                        <a:ext cx="1714425" cy="437636"/>
                      </a:xfrm>
                      <a:prstGeom prst="rect">
                        <a:avLst/>
                      </a:prstGeom>
                      <a:noFill/>
                      <a:ln>
                        <a:noFill/>
                      </a:ln>
                      <a:extLst>
                        <a:ext uri="{53640926-AAD7-44D8-BBD7-CCE9431645EC}">
                          <a14:shadowObscured xmlns:a14="http://schemas.microsoft.com/office/drawing/2010/main"/>
                        </a:ext>
                      </a:extLst>
                    </pic:spPr>
                  </pic:pic>
                </a:graphicData>
              </a:graphic>
            </wp:inline>
          </w:drawing>
        </w: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6CE8F" w14:textId="5DB50525" w:rsidR="004A6177" w:rsidRDefault="004A6177">
    <w:pPr>
      <w:pStyle w:val="Footer"/>
    </w:pPr>
    <w:r>
      <w:rPr>
        <w:noProof/>
      </w:rPr>
      <w:drawing>
        <wp:anchor distT="0" distB="0" distL="114300" distR="114300" simplePos="0" relativeHeight="251658242" behindDoc="0" locked="0" layoutInCell="1" allowOverlap="1" wp14:anchorId="1CACB18D" wp14:editId="398D7683">
          <wp:simplePos x="0" y="0"/>
          <wp:positionH relativeFrom="column">
            <wp:posOffset>4814570</wp:posOffset>
          </wp:positionH>
          <wp:positionV relativeFrom="paragraph">
            <wp:posOffset>-502920</wp:posOffset>
          </wp:positionV>
          <wp:extent cx="1808480" cy="461645"/>
          <wp:effectExtent l="0" t="0" r="1270" b="0"/>
          <wp:wrapNone/>
          <wp:docPr id="1604738500" name="Picture 16047385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
                    <a:extLst>
                      <a:ext uri="{28A0092B-C50C-407E-A947-70E740481C1C}">
                        <a14:useLocalDpi xmlns:a14="http://schemas.microsoft.com/office/drawing/2010/main" val="0"/>
                      </a:ext>
                    </a:extLst>
                  </a:blip>
                  <a:srcRect l="69861" t="50644" r="6202" b="21201"/>
                  <a:stretch/>
                </pic:blipFill>
                <pic:spPr bwMode="auto">
                  <a:xfrm>
                    <a:off x="0" y="0"/>
                    <a:ext cx="1808480" cy="4616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01118A" w14:textId="77777777" w:rsidR="00375DE7" w:rsidRDefault="00375DE7" w:rsidP="00566B01">
      <w:pPr>
        <w:spacing w:after="0" w:line="240" w:lineRule="auto"/>
      </w:pPr>
      <w:r>
        <w:separator/>
      </w:r>
    </w:p>
  </w:footnote>
  <w:footnote w:type="continuationSeparator" w:id="0">
    <w:p w14:paraId="4FD67CC3" w14:textId="77777777" w:rsidR="00375DE7" w:rsidRDefault="00375DE7" w:rsidP="00566B01">
      <w:pPr>
        <w:spacing w:after="0" w:line="240" w:lineRule="auto"/>
      </w:pPr>
      <w:r>
        <w:continuationSeparator/>
      </w:r>
    </w:p>
  </w:footnote>
  <w:footnote w:type="continuationNotice" w:id="1">
    <w:p w14:paraId="43D578FB" w14:textId="77777777" w:rsidR="00375DE7" w:rsidRDefault="00375DE7">
      <w:pPr>
        <w:spacing w:after="0" w:line="240" w:lineRule="auto"/>
      </w:pPr>
    </w:p>
  </w:footnote>
  <w:footnote w:id="2">
    <w:p w14:paraId="043D33B8" w14:textId="106D06B7" w:rsidR="00CE1642" w:rsidRPr="002223F4" w:rsidRDefault="00CE1642">
      <w:pPr>
        <w:pStyle w:val="FootnoteText"/>
        <w:rPr>
          <w:lang w:val="el-GR"/>
        </w:rPr>
      </w:pPr>
      <w:r w:rsidRPr="002223F4">
        <w:rPr>
          <w:rStyle w:val="FootnoteReference"/>
        </w:rPr>
        <w:footnoteRef/>
      </w:r>
      <w:r w:rsidRPr="002223F4">
        <w:rPr>
          <w:lang w:val="el-GR"/>
        </w:rPr>
        <w:t xml:space="preserve"> </w:t>
      </w:r>
      <w:r w:rsidR="007F25D4" w:rsidRPr="002223F4">
        <w:rPr>
          <w:rFonts w:ascii="Arial" w:hAnsi="Arial" w:cs="Arial"/>
          <w:i/>
          <w:sz w:val="16"/>
          <w:szCs w:val="16"/>
          <w:lang w:val="el-GR"/>
        </w:rPr>
        <w:t xml:space="preserve">Οι δείκτες </w:t>
      </w:r>
      <w:r w:rsidR="000075BD" w:rsidRPr="002223F4">
        <w:rPr>
          <w:rFonts w:ascii="Arial" w:hAnsi="Arial" w:cs="Arial"/>
          <w:i/>
          <w:sz w:val="16"/>
          <w:szCs w:val="16"/>
          <w:lang w:val="el-GR"/>
        </w:rPr>
        <w:t>απόδοσης για ευρυζωνικές συνδέσεις</w:t>
      </w:r>
      <w:r w:rsidR="007F25D4" w:rsidRPr="002223F4">
        <w:rPr>
          <w:rFonts w:ascii="Arial" w:hAnsi="Arial" w:cs="Arial"/>
          <w:i/>
          <w:sz w:val="16"/>
          <w:szCs w:val="16"/>
          <w:lang w:val="el-GR"/>
        </w:rPr>
        <w:t xml:space="preserve"> για το 2024 έχουν αναταξινομηθεί</w:t>
      </w:r>
    </w:p>
  </w:footnote>
  <w:footnote w:id="3">
    <w:p w14:paraId="258A9816" w14:textId="604E3214" w:rsidR="00CE1642" w:rsidRPr="007F25D4" w:rsidRDefault="00CE1642">
      <w:pPr>
        <w:pStyle w:val="FootnoteText"/>
      </w:pPr>
      <w:r w:rsidRPr="002223F4">
        <w:rPr>
          <w:rStyle w:val="FootnoteReference"/>
        </w:rPr>
        <w:footnoteRef/>
      </w:r>
      <w:r w:rsidRPr="002223F4">
        <w:t xml:space="preserve"> </w:t>
      </w:r>
      <w:r w:rsidR="007F25D4" w:rsidRPr="002223F4">
        <w:rPr>
          <w:rFonts w:ascii="Arial" w:hAnsi="Arial" w:cs="Arial"/>
          <w:i/>
          <w:sz w:val="16"/>
          <w:szCs w:val="16"/>
          <w:lang w:val="el-GR"/>
        </w:rPr>
        <w:t>Συμπ</w:t>
      </w:r>
      <w:r w:rsidR="007F25D4" w:rsidRPr="002223F4">
        <w:rPr>
          <w:rFonts w:ascii="Arial" w:hAnsi="Arial" w:cs="Arial"/>
          <w:i/>
          <w:sz w:val="16"/>
          <w:szCs w:val="16"/>
        </w:rPr>
        <w:t xml:space="preserve">. </w:t>
      </w:r>
      <w:r w:rsidR="007F25D4" w:rsidRPr="002223F4">
        <w:rPr>
          <w:rFonts w:ascii="Arial" w:hAnsi="Arial" w:cs="Arial"/>
          <w:i/>
          <w:sz w:val="16"/>
          <w:szCs w:val="16"/>
          <w:lang w:val="el-GR"/>
        </w:rPr>
        <w:t>τεχνολογ</w:t>
      </w:r>
      <w:r w:rsidR="000075BD" w:rsidRPr="002223F4">
        <w:rPr>
          <w:rFonts w:ascii="Arial" w:hAnsi="Arial" w:cs="Arial"/>
          <w:i/>
          <w:sz w:val="16"/>
          <w:szCs w:val="16"/>
          <w:lang w:val="el-GR"/>
        </w:rPr>
        <w:t>ίες</w:t>
      </w:r>
      <w:r w:rsidR="007F25D4" w:rsidRPr="002223F4">
        <w:rPr>
          <w:rFonts w:ascii="Arial" w:hAnsi="Arial" w:cs="Arial"/>
          <w:i/>
          <w:sz w:val="16"/>
          <w:szCs w:val="16"/>
        </w:rPr>
        <w:t xml:space="preserve"> </w:t>
      </w:r>
      <w:r w:rsidRPr="002223F4">
        <w:rPr>
          <w:rFonts w:ascii="Arial" w:hAnsi="Arial" w:cs="Arial"/>
          <w:i/>
          <w:sz w:val="16"/>
          <w:szCs w:val="16"/>
        </w:rPr>
        <w:t xml:space="preserve"> FTTx </w:t>
      </w:r>
      <w:r w:rsidR="007F25D4" w:rsidRPr="002223F4">
        <w:rPr>
          <w:rFonts w:ascii="Arial" w:hAnsi="Arial" w:cs="Arial"/>
          <w:i/>
          <w:sz w:val="16"/>
          <w:szCs w:val="16"/>
          <w:lang w:val="el-GR"/>
        </w:rPr>
        <w:t>&amp;</w:t>
      </w:r>
      <w:r w:rsidRPr="002223F4">
        <w:rPr>
          <w:rFonts w:ascii="Arial" w:hAnsi="Arial" w:cs="Arial"/>
          <w:i/>
          <w:sz w:val="16"/>
          <w:szCs w:val="16"/>
        </w:rPr>
        <w:t xml:space="preserve"> FWA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BAE39" w14:textId="0DFE374F" w:rsidR="00566B01" w:rsidRPr="00912C18" w:rsidRDefault="00F46921" w:rsidP="0009084A">
    <w:pPr>
      <w:pStyle w:val="Header"/>
      <w:tabs>
        <w:tab w:val="clear" w:pos="4153"/>
        <w:tab w:val="clear" w:pos="8306"/>
        <w:tab w:val="left" w:pos="6336"/>
      </w:tabs>
      <w:rPr>
        <w:lang w:val="en-US"/>
      </w:rPr>
    </w:pPr>
    <w:r>
      <w:rPr>
        <w:noProof/>
      </w:rPr>
      <w:drawing>
        <wp:anchor distT="0" distB="0" distL="114300" distR="114300" simplePos="0" relativeHeight="251658240" behindDoc="0" locked="0" layoutInCell="1" allowOverlap="1" wp14:anchorId="166C952C" wp14:editId="5A83C76C">
          <wp:simplePos x="0" y="0"/>
          <wp:positionH relativeFrom="page">
            <wp:posOffset>6124575</wp:posOffset>
          </wp:positionH>
          <wp:positionV relativeFrom="paragraph">
            <wp:posOffset>-293370</wp:posOffset>
          </wp:positionV>
          <wp:extent cx="809625" cy="546735"/>
          <wp:effectExtent l="0" t="0" r="9525" b="5715"/>
          <wp:wrapTopAndBottom/>
          <wp:docPr id="1811946136" name="Picture 1811946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l="71499" t="22085" r="10218" b="16759"/>
                  <a:stretch/>
                </pic:blipFill>
                <pic:spPr bwMode="auto">
                  <a:xfrm>
                    <a:off x="0" y="0"/>
                    <a:ext cx="809625" cy="54673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C8DE5" w14:textId="2C31F2E4" w:rsidR="0038461B" w:rsidRDefault="0038461B">
    <w:pPr>
      <w:pStyle w:val="Header"/>
    </w:pPr>
    <w:r>
      <w:rPr>
        <w:noProof/>
      </w:rPr>
      <w:drawing>
        <wp:anchor distT="0" distB="0" distL="114300" distR="114300" simplePos="0" relativeHeight="251658241" behindDoc="0" locked="0" layoutInCell="1" allowOverlap="1" wp14:anchorId="133FE23B" wp14:editId="0197965A">
          <wp:simplePos x="0" y="0"/>
          <wp:positionH relativeFrom="page">
            <wp:posOffset>-39642</wp:posOffset>
          </wp:positionH>
          <wp:positionV relativeFrom="paragraph">
            <wp:posOffset>-446768</wp:posOffset>
          </wp:positionV>
          <wp:extent cx="7680960" cy="1259840"/>
          <wp:effectExtent l="0" t="0" r="0" b="0"/>
          <wp:wrapTopAndBottom/>
          <wp:docPr id="778586531" name="Picture 7785865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b="18863"/>
                  <a:stretch/>
                </pic:blipFill>
                <pic:spPr bwMode="auto">
                  <a:xfrm>
                    <a:off x="0" y="0"/>
                    <a:ext cx="7680960" cy="12598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125DB9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02B265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D321B10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FFFFFF89"/>
    <w:multiLevelType w:val="singleLevel"/>
    <w:tmpl w:val="42202DD4"/>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02E0BCF"/>
    <w:multiLevelType w:val="hybridMultilevel"/>
    <w:tmpl w:val="075EFA9A"/>
    <w:lvl w:ilvl="0" w:tplc="04080003">
      <w:start w:val="1"/>
      <w:numFmt w:val="bullet"/>
      <w:lvlText w:val="o"/>
      <w:lvlJc w:val="left"/>
      <w:pPr>
        <w:ind w:left="1154" w:hanging="360"/>
      </w:pPr>
      <w:rPr>
        <w:rFonts w:ascii="Courier New" w:hAnsi="Courier New" w:cs="Courier New" w:hint="default"/>
      </w:rPr>
    </w:lvl>
    <w:lvl w:ilvl="1" w:tplc="04090003">
      <w:start w:val="1"/>
      <w:numFmt w:val="bullet"/>
      <w:lvlText w:val="o"/>
      <w:lvlJc w:val="left"/>
      <w:pPr>
        <w:ind w:left="1874" w:hanging="360"/>
      </w:pPr>
      <w:rPr>
        <w:rFonts w:ascii="Courier New" w:hAnsi="Courier New" w:cs="Courier New" w:hint="default"/>
      </w:rPr>
    </w:lvl>
    <w:lvl w:ilvl="2" w:tplc="04090005">
      <w:start w:val="1"/>
      <w:numFmt w:val="bullet"/>
      <w:lvlText w:val=""/>
      <w:lvlJc w:val="left"/>
      <w:pPr>
        <w:ind w:left="2594" w:hanging="360"/>
      </w:pPr>
      <w:rPr>
        <w:rFonts w:ascii="Wingdings" w:hAnsi="Wingdings" w:hint="default"/>
      </w:rPr>
    </w:lvl>
    <w:lvl w:ilvl="3" w:tplc="04090001">
      <w:start w:val="1"/>
      <w:numFmt w:val="bullet"/>
      <w:lvlText w:val=""/>
      <w:lvlJc w:val="left"/>
      <w:pPr>
        <w:ind w:left="3314" w:hanging="360"/>
      </w:pPr>
      <w:rPr>
        <w:rFonts w:ascii="Symbol" w:hAnsi="Symbol" w:hint="default"/>
      </w:rPr>
    </w:lvl>
    <w:lvl w:ilvl="4" w:tplc="04090003" w:tentative="1">
      <w:start w:val="1"/>
      <w:numFmt w:val="bullet"/>
      <w:lvlText w:val="o"/>
      <w:lvlJc w:val="left"/>
      <w:pPr>
        <w:ind w:left="4034" w:hanging="360"/>
      </w:pPr>
      <w:rPr>
        <w:rFonts w:ascii="Courier New" w:hAnsi="Courier New" w:cs="Courier New" w:hint="default"/>
      </w:rPr>
    </w:lvl>
    <w:lvl w:ilvl="5" w:tplc="04090005" w:tentative="1">
      <w:start w:val="1"/>
      <w:numFmt w:val="bullet"/>
      <w:lvlText w:val=""/>
      <w:lvlJc w:val="left"/>
      <w:pPr>
        <w:ind w:left="4754" w:hanging="360"/>
      </w:pPr>
      <w:rPr>
        <w:rFonts w:ascii="Wingdings" w:hAnsi="Wingdings" w:hint="default"/>
      </w:rPr>
    </w:lvl>
    <w:lvl w:ilvl="6" w:tplc="04090001" w:tentative="1">
      <w:start w:val="1"/>
      <w:numFmt w:val="bullet"/>
      <w:lvlText w:val=""/>
      <w:lvlJc w:val="left"/>
      <w:pPr>
        <w:ind w:left="5474" w:hanging="360"/>
      </w:pPr>
      <w:rPr>
        <w:rFonts w:ascii="Symbol" w:hAnsi="Symbol" w:hint="default"/>
      </w:rPr>
    </w:lvl>
    <w:lvl w:ilvl="7" w:tplc="04090003" w:tentative="1">
      <w:start w:val="1"/>
      <w:numFmt w:val="bullet"/>
      <w:lvlText w:val="o"/>
      <w:lvlJc w:val="left"/>
      <w:pPr>
        <w:ind w:left="6194" w:hanging="360"/>
      </w:pPr>
      <w:rPr>
        <w:rFonts w:ascii="Courier New" w:hAnsi="Courier New" w:cs="Courier New" w:hint="default"/>
      </w:rPr>
    </w:lvl>
    <w:lvl w:ilvl="8" w:tplc="04090005" w:tentative="1">
      <w:start w:val="1"/>
      <w:numFmt w:val="bullet"/>
      <w:lvlText w:val=""/>
      <w:lvlJc w:val="left"/>
      <w:pPr>
        <w:ind w:left="6914" w:hanging="360"/>
      </w:pPr>
      <w:rPr>
        <w:rFonts w:ascii="Wingdings" w:hAnsi="Wingdings" w:hint="default"/>
      </w:rPr>
    </w:lvl>
  </w:abstractNum>
  <w:abstractNum w:abstractNumId="5" w15:restartNumberingAfterBreak="0">
    <w:nsid w:val="09A53CE3"/>
    <w:multiLevelType w:val="hybridMultilevel"/>
    <w:tmpl w:val="3A1A592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133629B7"/>
    <w:multiLevelType w:val="hybridMultilevel"/>
    <w:tmpl w:val="2DB0079E"/>
    <w:lvl w:ilvl="0" w:tplc="04080001">
      <w:start w:val="1"/>
      <w:numFmt w:val="bullet"/>
      <w:pStyle w:val="Normal2"/>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16754553"/>
    <w:multiLevelType w:val="hybridMultilevel"/>
    <w:tmpl w:val="A454DCF6"/>
    <w:lvl w:ilvl="0" w:tplc="04080013">
      <w:start w:val="1"/>
      <w:numFmt w:val="upperRoman"/>
      <w:lvlText w:val="%1."/>
      <w:lvlJc w:val="right"/>
      <w:pPr>
        <w:ind w:left="1080" w:hanging="360"/>
      </w:p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8" w15:restartNumberingAfterBreak="0">
    <w:nsid w:val="27576206"/>
    <w:multiLevelType w:val="hybridMultilevel"/>
    <w:tmpl w:val="9CD40B3C"/>
    <w:lvl w:ilvl="0" w:tplc="0408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2928312B"/>
    <w:multiLevelType w:val="hybridMultilevel"/>
    <w:tmpl w:val="EBE2E28E"/>
    <w:lvl w:ilvl="0" w:tplc="04080001">
      <w:start w:val="1"/>
      <w:numFmt w:val="bullet"/>
      <w:lvlText w:val=""/>
      <w:lvlJc w:val="left"/>
      <w:pPr>
        <w:ind w:left="1647" w:hanging="360"/>
      </w:pPr>
      <w:rPr>
        <w:rFonts w:ascii="Symbol" w:hAnsi="Symbol" w:hint="default"/>
      </w:rPr>
    </w:lvl>
    <w:lvl w:ilvl="1" w:tplc="04080003" w:tentative="1">
      <w:start w:val="1"/>
      <w:numFmt w:val="bullet"/>
      <w:lvlText w:val="o"/>
      <w:lvlJc w:val="left"/>
      <w:pPr>
        <w:ind w:left="2367" w:hanging="360"/>
      </w:pPr>
      <w:rPr>
        <w:rFonts w:ascii="Courier New" w:hAnsi="Courier New" w:cs="Courier New" w:hint="default"/>
      </w:rPr>
    </w:lvl>
    <w:lvl w:ilvl="2" w:tplc="04080005" w:tentative="1">
      <w:start w:val="1"/>
      <w:numFmt w:val="bullet"/>
      <w:lvlText w:val=""/>
      <w:lvlJc w:val="left"/>
      <w:pPr>
        <w:ind w:left="3087" w:hanging="360"/>
      </w:pPr>
      <w:rPr>
        <w:rFonts w:ascii="Wingdings" w:hAnsi="Wingdings" w:hint="default"/>
      </w:rPr>
    </w:lvl>
    <w:lvl w:ilvl="3" w:tplc="04080001" w:tentative="1">
      <w:start w:val="1"/>
      <w:numFmt w:val="bullet"/>
      <w:lvlText w:val=""/>
      <w:lvlJc w:val="left"/>
      <w:pPr>
        <w:ind w:left="3807" w:hanging="360"/>
      </w:pPr>
      <w:rPr>
        <w:rFonts w:ascii="Symbol" w:hAnsi="Symbol" w:hint="default"/>
      </w:rPr>
    </w:lvl>
    <w:lvl w:ilvl="4" w:tplc="04080003" w:tentative="1">
      <w:start w:val="1"/>
      <w:numFmt w:val="bullet"/>
      <w:lvlText w:val="o"/>
      <w:lvlJc w:val="left"/>
      <w:pPr>
        <w:ind w:left="4527" w:hanging="360"/>
      </w:pPr>
      <w:rPr>
        <w:rFonts w:ascii="Courier New" w:hAnsi="Courier New" w:cs="Courier New" w:hint="default"/>
      </w:rPr>
    </w:lvl>
    <w:lvl w:ilvl="5" w:tplc="04080005" w:tentative="1">
      <w:start w:val="1"/>
      <w:numFmt w:val="bullet"/>
      <w:lvlText w:val=""/>
      <w:lvlJc w:val="left"/>
      <w:pPr>
        <w:ind w:left="5247" w:hanging="360"/>
      </w:pPr>
      <w:rPr>
        <w:rFonts w:ascii="Wingdings" w:hAnsi="Wingdings" w:hint="default"/>
      </w:rPr>
    </w:lvl>
    <w:lvl w:ilvl="6" w:tplc="04080001" w:tentative="1">
      <w:start w:val="1"/>
      <w:numFmt w:val="bullet"/>
      <w:lvlText w:val=""/>
      <w:lvlJc w:val="left"/>
      <w:pPr>
        <w:ind w:left="5967" w:hanging="360"/>
      </w:pPr>
      <w:rPr>
        <w:rFonts w:ascii="Symbol" w:hAnsi="Symbol" w:hint="default"/>
      </w:rPr>
    </w:lvl>
    <w:lvl w:ilvl="7" w:tplc="04080003" w:tentative="1">
      <w:start w:val="1"/>
      <w:numFmt w:val="bullet"/>
      <w:lvlText w:val="o"/>
      <w:lvlJc w:val="left"/>
      <w:pPr>
        <w:ind w:left="6687" w:hanging="360"/>
      </w:pPr>
      <w:rPr>
        <w:rFonts w:ascii="Courier New" w:hAnsi="Courier New" w:cs="Courier New" w:hint="default"/>
      </w:rPr>
    </w:lvl>
    <w:lvl w:ilvl="8" w:tplc="04080005" w:tentative="1">
      <w:start w:val="1"/>
      <w:numFmt w:val="bullet"/>
      <w:lvlText w:val=""/>
      <w:lvlJc w:val="left"/>
      <w:pPr>
        <w:ind w:left="7407" w:hanging="360"/>
      </w:pPr>
      <w:rPr>
        <w:rFonts w:ascii="Wingdings" w:hAnsi="Wingdings" w:hint="default"/>
      </w:rPr>
    </w:lvl>
  </w:abstractNum>
  <w:abstractNum w:abstractNumId="10" w15:restartNumberingAfterBreak="0">
    <w:nsid w:val="3531588E"/>
    <w:multiLevelType w:val="hybridMultilevel"/>
    <w:tmpl w:val="C2107CD6"/>
    <w:lvl w:ilvl="0" w:tplc="2EB8AC48">
      <w:start w:val="1"/>
      <w:numFmt w:val="upp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414A7DC6"/>
    <w:multiLevelType w:val="multilevel"/>
    <w:tmpl w:val="DDE8C93A"/>
    <w:lvl w:ilvl="0">
      <w:numFmt w:val="bullet"/>
      <w:lvlText w:val=""/>
      <w:lvlJc w:val="left"/>
      <w:pPr>
        <w:ind w:left="785"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45162BDF"/>
    <w:multiLevelType w:val="hybridMultilevel"/>
    <w:tmpl w:val="D5C438E2"/>
    <w:lvl w:ilvl="0" w:tplc="B74A3EBC">
      <w:start w:val="1"/>
      <w:numFmt w:val="decimal"/>
      <w:lvlText w:val="%1."/>
      <w:lvlJc w:val="left"/>
      <w:pPr>
        <w:ind w:left="720" w:hanging="360"/>
      </w:pPr>
      <w:rPr>
        <w:rFonts w:hint="default"/>
        <w:color w:val="004B87"/>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46F6E5E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47A832D0"/>
    <w:multiLevelType w:val="hybridMultilevel"/>
    <w:tmpl w:val="141CE2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56DD2AC2"/>
    <w:multiLevelType w:val="hybridMultilevel"/>
    <w:tmpl w:val="0722DFE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5D391280"/>
    <w:multiLevelType w:val="hybridMultilevel"/>
    <w:tmpl w:val="BE4C24BA"/>
    <w:lvl w:ilvl="0" w:tplc="04080003">
      <w:start w:val="1"/>
      <w:numFmt w:val="bullet"/>
      <w:lvlText w:val="o"/>
      <w:lvlJc w:val="left"/>
      <w:pPr>
        <w:ind w:left="1649" w:hanging="360"/>
      </w:pPr>
      <w:rPr>
        <w:rFonts w:ascii="Courier New" w:hAnsi="Courier New" w:cs="Courier New" w:hint="default"/>
      </w:rPr>
    </w:lvl>
    <w:lvl w:ilvl="1" w:tplc="04080003" w:tentative="1">
      <w:start w:val="1"/>
      <w:numFmt w:val="bullet"/>
      <w:lvlText w:val="o"/>
      <w:lvlJc w:val="left"/>
      <w:pPr>
        <w:ind w:left="2369" w:hanging="360"/>
      </w:pPr>
      <w:rPr>
        <w:rFonts w:ascii="Courier New" w:hAnsi="Courier New" w:cs="Courier New" w:hint="default"/>
      </w:rPr>
    </w:lvl>
    <w:lvl w:ilvl="2" w:tplc="04080005" w:tentative="1">
      <w:start w:val="1"/>
      <w:numFmt w:val="bullet"/>
      <w:lvlText w:val=""/>
      <w:lvlJc w:val="left"/>
      <w:pPr>
        <w:ind w:left="3089" w:hanging="360"/>
      </w:pPr>
      <w:rPr>
        <w:rFonts w:ascii="Wingdings" w:hAnsi="Wingdings" w:hint="default"/>
      </w:rPr>
    </w:lvl>
    <w:lvl w:ilvl="3" w:tplc="04080001" w:tentative="1">
      <w:start w:val="1"/>
      <w:numFmt w:val="bullet"/>
      <w:lvlText w:val=""/>
      <w:lvlJc w:val="left"/>
      <w:pPr>
        <w:ind w:left="3809" w:hanging="360"/>
      </w:pPr>
      <w:rPr>
        <w:rFonts w:ascii="Symbol" w:hAnsi="Symbol" w:hint="default"/>
      </w:rPr>
    </w:lvl>
    <w:lvl w:ilvl="4" w:tplc="04080003" w:tentative="1">
      <w:start w:val="1"/>
      <w:numFmt w:val="bullet"/>
      <w:lvlText w:val="o"/>
      <w:lvlJc w:val="left"/>
      <w:pPr>
        <w:ind w:left="4529" w:hanging="360"/>
      </w:pPr>
      <w:rPr>
        <w:rFonts w:ascii="Courier New" w:hAnsi="Courier New" w:cs="Courier New" w:hint="default"/>
      </w:rPr>
    </w:lvl>
    <w:lvl w:ilvl="5" w:tplc="04080005" w:tentative="1">
      <w:start w:val="1"/>
      <w:numFmt w:val="bullet"/>
      <w:lvlText w:val=""/>
      <w:lvlJc w:val="left"/>
      <w:pPr>
        <w:ind w:left="5249" w:hanging="360"/>
      </w:pPr>
      <w:rPr>
        <w:rFonts w:ascii="Wingdings" w:hAnsi="Wingdings" w:hint="default"/>
      </w:rPr>
    </w:lvl>
    <w:lvl w:ilvl="6" w:tplc="04080001" w:tentative="1">
      <w:start w:val="1"/>
      <w:numFmt w:val="bullet"/>
      <w:lvlText w:val=""/>
      <w:lvlJc w:val="left"/>
      <w:pPr>
        <w:ind w:left="5969" w:hanging="360"/>
      </w:pPr>
      <w:rPr>
        <w:rFonts w:ascii="Symbol" w:hAnsi="Symbol" w:hint="default"/>
      </w:rPr>
    </w:lvl>
    <w:lvl w:ilvl="7" w:tplc="04080003" w:tentative="1">
      <w:start w:val="1"/>
      <w:numFmt w:val="bullet"/>
      <w:lvlText w:val="o"/>
      <w:lvlJc w:val="left"/>
      <w:pPr>
        <w:ind w:left="6689" w:hanging="360"/>
      </w:pPr>
      <w:rPr>
        <w:rFonts w:ascii="Courier New" w:hAnsi="Courier New" w:cs="Courier New" w:hint="default"/>
      </w:rPr>
    </w:lvl>
    <w:lvl w:ilvl="8" w:tplc="04080005" w:tentative="1">
      <w:start w:val="1"/>
      <w:numFmt w:val="bullet"/>
      <w:lvlText w:val=""/>
      <w:lvlJc w:val="left"/>
      <w:pPr>
        <w:ind w:left="7409" w:hanging="360"/>
      </w:pPr>
      <w:rPr>
        <w:rFonts w:ascii="Wingdings" w:hAnsi="Wingdings" w:hint="default"/>
      </w:rPr>
    </w:lvl>
  </w:abstractNum>
  <w:abstractNum w:abstractNumId="17" w15:restartNumberingAfterBreak="0">
    <w:nsid w:val="5EB9DDE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71E00133"/>
    <w:multiLevelType w:val="hybridMultilevel"/>
    <w:tmpl w:val="471EAEE0"/>
    <w:lvl w:ilvl="0" w:tplc="0408001B">
      <w:start w:val="1"/>
      <w:numFmt w:val="low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74A77075"/>
    <w:multiLevelType w:val="hybridMultilevel"/>
    <w:tmpl w:val="F1B06F06"/>
    <w:lvl w:ilvl="0" w:tplc="1F5EDC04">
      <w:start w:val="1"/>
      <w:numFmt w:val="bullet"/>
      <w:pStyle w:val="02bullet"/>
      <w:lvlText w:val=""/>
      <w:lvlJc w:val="left"/>
      <w:pPr>
        <w:tabs>
          <w:tab w:val="num" w:pos="426"/>
        </w:tabs>
        <w:ind w:left="383" w:hanging="317"/>
      </w:pPr>
      <w:rPr>
        <w:rFonts w:ascii="Symbol" w:hAnsi="Symbol" w:hint="default"/>
        <w:color w:val="auto"/>
      </w:rPr>
    </w:lvl>
    <w:lvl w:ilvl="1" w:tplc="04090003">
      <w:start w:val="1"/>
      <w:numFmt w:val="bullet"/>
      <w:lvlText w:val="o"/>
      <w:lvlJc w:val="left"/>
      <w:pPr>
        <w:tabs>
          <w:tab w:val="num" w:pos="1146"/>
        </w:tabs>
        <w:ind w:left="1146" w:hanging="360"/>
      </w:pPr>
      <w:rPr>
        <w:rFonts w:ascii="Courier New" w:hAnsi="Courier New" w:hint="default"/>
      </w:rPr>
    </w:lvl>
    <w:lvl w:ilvl="2" w:tplc="04090005">
      <w:start w:val="1"/>
      <w:numFmt w:val="bullet"/>
      <w:lvlText w:val=""/>
      <w:lvlJc w:val="left"/>
      <w:pPr>
        <w:tabs>
          <w:tab w:val="num" w:pos="1866"/>
        </w:tabs>
        <w:ind w:left="1866" w:hanging="360"/>
      </w:pPr>
      <w:rPr>
        <w:rFonts w:ascii="Wingdings" w:hAnsi="Wingdings" w:hint="default"/>
      </w:rPr>
    </w:lvl>
    <w:lvl w:ilvl="3" w:tplc="04090001">
      <w:start w:val="1"/>
      <w:numFmt w:val="bullet"/>
      <w:lvlText w:val=""/>
      <w:lvlJc w:val="left"/>
      <w:pPr>
        <w:tabs>
          <w:tab w:val="num" w:pos="2586"/>
        </w:tabs>
        <w:ind w:left="2586" w:hanging="360"/>
      </w:pPr>
      <w:rPr>
        <w:rFonts w:ascii="Symbol" w:hAnsi="Symbol" w:hint="default"/>
      </w:rPr>
    </w:lvl>
    <w:lvl w:ilvl="4" w:tplc="04090003">
      <w:start w:val="1"/>
      <w:numFmt w:val="bullet"/>
      <w:lvlText w:val="o"/>
      <w:lvlJc w:val="left"/>
      <w:pPr>
        <w:tabs>
          <w:tab w:val="num" w:pos="3306"/>
        </w:tabs>
        <w:ind w:left="3306" w:hanging="360"/>
      </w:pPr>
      <w:rPr>
        <w:rFonts w:ascii="Courier New" w:hAnsi="Courier New" w:hint="default"/>
      </w:rPr>
    </w:lvl>
    <w:lvl w:ilvl="5" w:tplc="04090005">
      <w:start w:val="1"/>
      <w:numFmt w:val="bullet"/>
      <w:lvlText w:val=""/>
      <w:lvlJc w:val="left"/>
      <w:pPr>
        <w:tabs>
          <w:tab w:val="num" w:pos="4026"/>
        </w:tabs>
        <w:ind w:left="4026" w:hanging="360"/>
      </w:pPr>
      <w:rPr>
        <w:rFonts w:ascii="Wingdings" w:hAnsi="Wingdings" w:hint="default"/>
      </w:rPr>
    </w:lvl>
    <w:lvl w:ilvl="6" w:tplc="04090001">
      <w:start w:val="1"/>
      <w:numFmt w:val="bullet"/>
      <w:lvlText w:val=""/>
      <w:lvlJc w:val="left"/>
      <w:pPr>
        <w:tabs>
          <w:tab w:val="num" w:pos="4746"/>
        </w:tabs>
        <w:ind w:left="4746" w:hanging="360"/>
      </w:pPr>
      <w:rPr>
        <w:rFonts w:ascii="Symbol" w:hAnsi="Symbol" w:hint="default"/>
      </w:rPr>
    </w:lvl>
    <w:lvl w:ilvl="7" w:tplc="04090003">
      <w:start w:val="1"/>
      <w:numFmt w:val="bullet"/>
      <w:lvlText w:val="o"/>
      <w:lvlJc w:val="left"/>
      <w:pPr>
        <w:tabs>
          <w:tab w:val="num" w:pos="5466"/>
        </w:tabs>
        <w:ind w:left="5466" w:hanging="360"/>
      </w:pPr>
      <w:rPr>
        <w:rFonts w:ascii="Courier New" w:hAnsi="Courier New" w:hint="default"/>
      </w:rPr>
    </w:lvl>
    <w:lvl w:ilvl="8" w:tplc="04090005">
      <w:start w:val="1"/>
      <w:numFmt w:val="bullet"/>
      <w:lvlText w:val=""/>
      <w:lvlJc w:val="left"/>
      <w:pPr>
        <w:tabs>
          <w:tab w:val="num" w:pos="6186"/>
        </w:tabs>
        <w:ind w:left="6186" w:hanging="360"/>
      </w:pPr>
      <w:rPr>
        <w:rFonts w:ascii="Wingdings" w:hAnsi="Wingdings" w:hint="default"/>
      </w:rPr>
    </w:lvl>
  </w:abstractNum>
  <w:abstractNum w:abstractNumId="20" w15:restartNumberingAfterBreak="0">
    <w:nsid w:val="7DAE61EC"/>
    <w:multiLevelType w:val="hybridMultilevel"/>
    <w:tmpl w:val="B3346BF8"/>
    <w:lvl w:ilvl="0" w:tplc="04080001">
      <w:start w:val="1"/>
      <w:numFmt w:val="bullet"/>
      <w:lvlText w:val=""/>
      <w:lvlJc w:val="left"/>
      <w:pPr>
        <w:ind w:left="786" w:hanging="360"/>
      </w:pPr>
      <w:rPr>
        <w:rFonts w:ascii="Symbol" w:hAnsi="Symbol" w:hint="default"/>
      </w:rPr>
    </w:lvl>
    <w:lvl w:ilvl="1" w:tplc="04080003" w:tentative="1">
      <w:start w:val="1"/>
      <w:numFmt w:val="bullet"/>
      <w:lvlText w:val="o"/>
      <w:lvlJc w:val="left"/>
      <w:pPr>
        <w:ind w:left="1506" w:hanging="360"/>
      </w:pPr>
      <w:rPr>
        <w:rFonts w:ascii="Courier New" w:hAnsi="Courier New" w:cs="Courier New" w:hint="default"/>
      </w:rPr>
    </w:lvl>
    <w:lvl w:ilvl="2" w:tplc="04080005" w:tentative="1">
      <w:start w:val="1"/>
      <w:numFmt w:val="bullet"/>
      <w:lvlText w:val=""/>
      <w:lvlJc w:val="left"/>
      <w:pPr>
        <w:ind w:left="2226" w:hanging="360"/>
      </w:pPr>
      <w:rPr>
        <w:rFonts w:ascii="Wingdings" w:hAnsi="Wingdings" w:hint="default"/>
      </w:rPr>
    </w:lvl>
    <w:lvl w:ilvl="3" w:tplc="04080001" w:tentative="1">
      <w:start w:val="1"/>
      <w:numFmt w:val="bullet"/>
      <w:lvlText w:val=""/>
      <w:lvlJc w:val="left"/>
      <w:pPr>
        <w:ind w:left="2946" w:hanging="360"/>
      </w:pPr>
      <w:rPr>
        <w:rFonts w:ascii="Symbol" w:hAnsi="Symbol" w:hint="default"/>
      </w:rPr>
    </w:lvl>
    <w:lvl w:ilvl="4" w:tplc="04080003" w:tentative="1">
      <w:start w:val="1"/>
      <w:numFmt w:val="bullet"/>
      <w:lvlText w:val="o"/>
      <w:lvlJc w:val="left"/>
      <w:pPr>
        <w:ind w:left="3666" w:hanging="360"/>
      </w:pPr>
      <w:rPr>
        <w:rFonts w:ascii="Courier New" w:hAnsi="Courier New" w:cs="Courier New" w:hint="default"/>
      </w:rPr>
    </w:lvl>
    <w:lvl w:ilvl="5" w:tplc="04080005" w:tentative="1">
      <w:start w:val="1"/>
      <w:numFmt w:val="bullet"/>
      <w:lvlText w:val=""/>
      <w:lvlJc w:val="left"/>
      <w:pPr>
        <w:ind w:left="4386" w:hanging="360"/>
      </w:pPr>
      <w:rPr>
        <w:rFonts w:ascii="Wingdings" w:hAnsi="Wingdings" w:hint="default"/>
      </w:rPr>
    </w:lvl>
    <w:lvl w:ilvl="6" w:tplc="04080001" w:tentative="1">
      <w:start w:val="1"/>
      <w:numFmt w:val="bullet"/>
      <w:lvlText w:val=""/>
      <w:lvlJc w:val="left"/>
      <w:pPr>
        <w:ind w:left="5106" w:hanging="360"/>
      </w:pPr>
      <w:rPr>
        <w:rFonts w:ascii="Symbol" w:hAnsi="Symbol" w:hint="default"/>
      </w:rPr>
    </w:lvl>
    <w:lvl w:ilvl="7" w:tplc="04080003" w:tentative="1">
      <w:start w:val="1"/>
      <w:numFmt w:val="bullet"/>
      <w:lvlText w:val="o"/>
      <w:lvlJc w:val="left"/>
      <w:pPr>
        <w:ind w:left="5826" w:hanging="360"/>
      </w:pPr>
      <w:rPr>
        <w:rFonts w:ascii="Courier New" w:hAnsi="Courier New" w:cs="Courier New" w:hint="default"/>
      </w:rPr>
    </w:lvl>
    <w:lvl w:ilvl="8" w:tplc="04080005" w:tentative="1">
      <w:start w:val="1"/>
      <w:numFmt w:val="bullet"/>
      <w:lvlText w:val=""/>
      <w:lvlJc w:val="left"/>
      <w:pPr>
        <w:ind w:left="6546" w:hanging="360"/>
      </w:pPr>
      <w:rPr>
        <w:rFonts w:ascii="Wingdings" w:hAnsi="Wingdings" w:hint="default"/>
      </w:rPr>
    </w:lvl>
  </w:abstractNum>
  <w:num w:numId="1" w16cid:durableId="1552881888">
    <w:abstractNumId w:val="19"/>
  </w:num>
  <w:num w:numId="2" w16cid:durableId="61802995">
    <w:abstractNumId w:val="3"/>
  </w:num>
  <w:num w:numId="3" w16cid:durableId="1393655253">
    <w:abstractNumId w:val="4"/>
  </w:num>
  <w:num w:numId="4" w16cid:durableId="1435898235">
    <w:abstractNumId w:val="12"/>
  </w:num>
  <w:num w:numId="5" w16cid:durableId="87431740">
    <w:abstractNumId w:val="7"/>
  </w:num>
  <w:num w:numId="6" w16cid:durableId="385686173">
    <w:abstractNumId w:val="11"/>
  </w:num>
  <w:num w:numId="7" w16cid:durableId="949051026">
    <w:abstractNumId w:val="14"/>
  </w:num>
  <w:num w:numId="8" w16cid:durableId="210963499">
    <w:abstractNumId w:val="5"/>
  </w:num>
  <w:num w:numId="9" w16cid:durableId="998076647">
    <w:abstractNumId w:val="6"/>
  </w:num>
  <w:num w:numId="10" w16cid:durableId="1379620147">
    <w:abstractNumId w:val="16"/>
  </w:num>
  <w:num w:numId="11" w16cid:durableId="32851188">
    <w:abstractNumId w:val="0"/>
  </w:num>
  <w:num w:numId="12" w16cid:durableId="264582642">
    <w:abstractNumId w:val="1"/>
  </w:num>
  <w:num w:numId="13" w16cid:durableId="1494103344">
    <w:abstractNumId w:val="9"/>
  </w:num>
  <w:num w:numId="14" w16cid:durableId="2121680998">
    <w:abstractNumId w:val="17"/>
  </w:num>
  <w:num w:numId="15" w16cid:durableId="1325888739">
    <w:abstractNumId w:val="20"/>
  </w:num>
  <w:num w:numId="16" w16cid:durableId="731580203">
    <w:abstractNumId w:val="2"/>
  </w:num>
  <w:num w:numId="17" w16cid:durableId="891423790">
    <w:abstractNumId w:val="13"/>
  </w:num>
  <w:num w:numId="18" w16cid:durableId="2144149467">
    <w:abstractNumId w:val="15"/>
  </w:num>
  <w:num w:numId="19" w16cid:durableId="1918707231">
    <w:abstractNumId w:val="8"/>
  </w:num>
  <w:num w:numId="20" w16cid:durableId="1134175407">
    <w:abstractNumId w:val="10"/>
  </w:num>
  <w:num w:numId="21" w16cid:durableId="1681158738">
    <w:abstractNumId w:val="18"/>
  </w:num>
  <w:num w:numId="22" w16cid:durableId="1139566521">
    <w:abstractNumId w:val="6"/>
  </w:num>
  <w:num w:numId="23" w16cid:durableId="1420099684">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B01"/>
    <w:rsid w:val="0000060C"/>
    <w:rsid w:val="00000A06"/>
    <w:rsid w:val="00001CD7"/>
    <w:rsid w:val="0000230C"/>
    <w:rsid w:val="00002620"/>
    <w:rsid w:val="0000267B"/>
    <w:rsid w:val="00002C1F"/>
    <w:rsid w:val="000032A8"/>
    <w:rsid w:val="00003DB7"/>
    <w:rsid w:val="00003F6D"/>
    <w:rsid w:val="000040E7"/>
    <w:rsid w:val="00004334"/>
    <w:rsid w:val="00004466"/>
    <w:rsid w:val="00004724"/>
    <w:rsid w:val="00004A74"/>
    <w:rsid w:val="0000541E"/>
    <w:rsid w:val="00005481"/>
    <w:rsid w:val="00006123"/>
    <w:rsid w:val="00006510"/>
    <w:rsid w:val="000070A0"/>
    <w:rsid w:val="0000714D"/>
    <w:rsid w:val="000075BD"/>
    <w:rsid w:val="0000762B"/>
    <w:rsid w:val="000079DC"/>
    <w:rsid w:val="000113D4"/>
    <w:rsid w:val="00012084"/>
    <w:rsid w:val="00012914"/>
    <w:rsid w:val="00013CB4"/>
    <w:rsid w:val="00013EB2"/>
    <w:rsid w:val="0001494A"/>
    <w:rsid w:val="00014C53"/>
    <w:rsid w:val="00014E5A"/>
    <w:rsid w:val="000151D1"/>
    <w:rsid w:val="000153D7"/>
    <w:rsid w:val="00015420"/>
    <w:rsid w:val="00015827"/>
    <w:rsid w:val="00015EBE"/>
    <w:rsid w:val="00016CF7"/>
    <w:rsid w:val="000176FA"/>
    <w:rsid w:val="000178A2"/>
    <w:rsid w:val="00017A03"/>
    <w:rsid w:val="00017A58"/>
    <w:rsid w:val="00017F4E"/>
    <w:rsid w:val="00020576"/>
    <w:rsid w:val="000208BE"/>
    <w:rsid w:val="0002267D"/>
    <w:rsid w:val="00022C9F"/>
    <w:rsid w:val="00022E28"/>
    <w:rsid w:val="00022F28"/>
    <w:rsid w:val="0002420C"/>
    <w:rsid w:val="0002473E"/>
    <w:rsid w:val="00024B00"/>
    <w:rsid w:val="00026144"/>
    <w:rsid w:val="000261C2"/>
    <w:rsid w:val="00026FB3"/>
    <w:rsid w:val="000276CF"/>
    <w:rsid w:val="00027850"/>
    <w:rsid w:val="00027C49"/>
    <w:rsid w:val="00027C89"/>
    <w:rsid w:val="00030E57"/>
    <w:rsid w:val="00030EE0"/>
    <w:rsid w:val="000313B1"/>
    <w:rsid w:val="00031A2F"/>
    <w:rsid w:val="00031A3E"/>
    <w:rsid w:val="00031B3A"/>
    <w:rsid w:val="00032620"/>
    <w:rsid w:val="00032A63"/>
    <w:rsid w:val="0003543D"/>
    <w:rsid w:val="000359FE"/>
    <w:rsid w:val="00035B47"/>
    <w:rsid w:val="00036123"/>
    <w:rsid w:val="00036243"/>
    <w:rsid w:val="000362B0"/>
    <w:rsid w:val="00036427"/>
    <w:rsid w:val="0003669A"/>
    <w:rsid w:val="00037946"/>
    <w:rsid w:val="00040471"/>
    <w:rsid w:val="0004078D"/>
    <w:rsid w:val="000413F8"/>
    <w:rsid w:val="00041A2F"/>
    <w:rsid w:val="00041BE2"/>
    <w:rsid w:val="0004210A"/>
    <w:rsid w:val="00042446"/>
    <w:rsid w:val="00042973"/>
    <w:rsid w:val="000435F1"/>
    <w:rsid w:val="000441A7"/>
    <w:rsid w:val="0004452F"/>
    <w:rsid w:val="00045CA7"/>
    <w:rsid w:val="00045D1E"/>
    <w:rsid w:val="00046318"/>
    <w:rsid w:val="00047B3F"/>
    <w:rsid w:val="000500FB"/>
    <w:rsid w:val="00050990"/>
    <w:rsid w:val="000515D2"/>
    <w:rsid w:val="00051E74"/>
    <w:rsid w:val="00052574"/>
    <w:rsid w:val="000532AA"/>
    <w:rsid w:val="0005352A"/>
    <w:rsid w:val="00053F70"/>
    <w:rsid w:val="000545B1"/>
    <w:rsid w:val="00054A30"/>
    <w:rsid w:val="00054CB9"/>
    <w:rsid w:val="00054E2E"/>
    <w:rsid w:val="00054E60"/>
    <w:rsid w:val="0005555F"/>
    <w:rsid w:val="00055C03"/>
    <w:rsid w:val="00055C53"/>
    <w:rsid w:val="00056427"/>
    <w:rsid w:val="0005668D"/>
    <w:rsid w:val="00056A2F"/>
    <w:rsid w:val="00057881"/>
    <w:rsid w:val="00060321"/>
    <w:rsid w:val="000604E1"/>
    <w:rsid w:val="0006072E"/>
    <w:rsid w:val="000612A9"/>
    <w:rsid w:val="00061369"/>
    <w:rsid w:val="00061E89"/>
    <w:rsid w:val="000625E9"/>
    <w:rsid w:val="000635AF"/>
    <w:rsid w:val="00063BF6"/>
    <w:rsid w:val="0006424B"/>
    <w:rsid w:val="0006494E"/>
    <w:rsid w:val="00065900"/>
    <w:rsid w:val="0006631B"/>
    <w:rsid w:val="0006647F"/>
    <w:rsid w:val="00066726"/>
    <w:rsid w:val="00067369"/>
    <w:rsid w:val="00067552"/>
    <w:rsid w:val="00070286"/>
    <w:rsid w:val="00070544"/>
    <w:rsid w:val="00070D8F"/>
    <w:rsid w:val="00070EDD"/>
    <w:rsid w:val="000711BC"/>
    <w:rsid w:val="00071B93"/>
    <w:rsid w:val="00071DEA"/>
    <w:rsid w:val="0007259D"/>
    <w:rsid w:val="0007290F"/>
    <w:rsid w:val="00072A02"/>
    <w:rsid w:val="00073647"/>
    <w:rsid w:val="0007365A"/>
    <w:rsid w:val="00073C27"/>
    <w:rsid w:val="00073FA3"/>
    <w:rsid w:val="0007489B"/>
    <w:rsid w:val="00074C4A"/>
    <w:rsid w:val="000750F4"/>
    <w:rsid w:val="00075940"/>
    <w:rsid w:val="00075D01"/>
    <w:rsid w:val="00076325"/>
    <w:rsid w:val="00076A87"/>
    <w:rsid w:val="00076DA7"/>
    <w:rsid w:val="000773CB"/>
    <w:rsid w:val="000774C8"/>
    <w:rsid w:val="00077AC4"/>
    <w:rsid w:val="00077AC9"/>
    <w:rsid w:val="00077B4B"/>
    <w:rsid w:val="00077BEC"/>
    <w:rsid w:val="000807BB"/>
    <w:rsid w:val="00080863"/>
    <w:rsid w:val="00080D02"/>
    <w:rsid w:val="0008137B"/>
    <w:rsid w:val="000816FA"/>
    <w:rsid w:val="00081881"/>
    <w:rsid w:val="00082E8B"/>
    <w:rsid w:val="00083101"/>
    <w:rsid w:val="0008447C"/>
    <w:rsid w:val="00084745"/>
    <w:rsid w:val="000847D7"/>
    <w:rsid w:val="00084951"/>
    <w:rsid w:val="00085035"/>
    <w:rsid w:val="000852EA"/>
    <w:rsid w:val="0008646E"/>
    <w:rsid w:val="0008748C"/>
    <w:rsid w:val="00087FCE"/>
    <w:rsid w:val="00090098"/>
    <w:rsid w:val="00090243"/>
    <w:rsid w:val="000902E5"/>
    <w:rsid w:val="0009084A"/>
    <w:rsid w:val="00090F59"/>
    <w:rsid w:val="00091067"/>
    <w:rsid w:val="0009181E"/>
    <w:rsid w:val="0009184F"/>
    <w:rsid w:val="000919ED"/>
    <w:rsid w:val="000920C2"/>
    <w:rsid w:val="000921C2"/>
    <w:rsid w:val="00092537"/>
    <w:rsid w:val="0009277C"/>
    <w:rsid w:val="00092805"/>
    <w:rsid w:val="00092B17"/>
    <w:rsid w:val="00092D75"/>
    <w:rsid w:val="00093137"/>
    <w:rsid w:val="000934F9"/>
    <w:rsid w:val="00093AA6"/>
    <w:rsid w:val="00094093"/>
    <w:rsid w:val="000946FA"/>
    <w:rsid w:val="000947F7"/>
    <w:rsid w:val="00094AA0"/>
    <w:rsid w:val="00095691"/>
    <w:rsid w:val="00095C93"/>
    <w:rsid w:val="00095D99"/>
    <w:rsid w:val="00095E5C"/>
    <w:rsid w:val="00096169"/>
    <w:rsid w:val="000961C3"/>
    <w:rsid w:val="000962EA"/>
    <w:rsid w:val="000965B9"/>
    <w:rsid w:val="00096C13"/>
    <w:rsid w:val="00096D03"/>
    <w:rsid w:val="00097EA2"/>
    <w:rsid w:val="000A02C6"/>
    <w:rsid w:val="000A16E4"/>
    <w:rsid w:val="000A26C7"/>
    <w:rsid w:val="000A2911"/>
    <w:rsid w:val="000A2BD2"/>
    <w:rsid w:val="000A30DD"/>
    <w:rsid w:val="000A321D"/>
    <w:rsid w:val="000A3C77"/>
    <w:rsid w:val="000A4C67"/>
    <w:rsid w:val="000A4D09"/>
    <w:rsid w:val="000A5EE3"/>
    <w:rsid w:val="000A615F"/>
    <w:rsid w:val="000A77A0"/>
    <w:rsid w:val="000A7934"/>
    <w:rsid w:val="000A794C"/>
    <w:rsid w:val="000B00E3"/>
    <w:rsid w:val="000B0525"/>
    <w:rsid w:val="000B05AD"/>
    <w:rsid w:val="000B0780"/>
    <w:rsid w:val="000B07E6"/>
    <w:rsid w:val="000B0ABC"/>
    <w:rsid w:val="000B0ED0"/>
    <w:rsid w:val="000B1507"/>
    <w:rsid w:val="000B21E3"/>
    <w:rsid w:val="000B2F37"/>
    <w:rsid w:val="000B2F66"/>
    <w:rsid w:val="000B30EB"/>
    <w:rsid w:val="000B31A0"/>
    <w:rsid w:val="000B330D"/>
    <w:rsid w:val="000B3E67"/>
    <w:rsid w:val="000B412C"/>
    <w:rsid w:val="000B4F3B"/>
    <w:rsid w:val="000B5D91"/>
    <w:rsid w:val="000B61A8"/>
    <w:rsid w:val="000B75BE"/>
    <w:rsid w:val="000C0842"/>
    <w:rsid w:val="000C1D79"/>
    <w:rsid w:val="000C1ED3"/>
    <w:rsid w:val="000C204D"/>
    <w:rsid w:val="000C2D92"/>
    <w:rsid w:val="000C31A6"/>
    <w:rsid w:val="000C3A5F"/>
    <w:rsid w:val="000C401B"/>
    <w:rsid w:val="000C42DD"/>
    <w:rsid w:val="000C49FB"/>
    <w:rsid w:val="000C4EE6"/>
    <w:rsid w:val="000C51BE"/>
    <w:rsid w:val="000C55CC"/>
    <w:rsid w:val="000C5DFF"/>
    <w:rsid w:val="000C5EE9"/>
    <w:rsid w:val="000C5FD1"/>
    <w:rsid w:val="000C6CD7"/>
    <w:rsid w:val="000C74A8"/>
    <w:rsid w:val="000C75DF"/>
    <w:rsid w:val="000C7DB7"/>
    <w:rsid w:val="000C7EA4"/>
    <w:rsid w:val="000D0984"/>
    <w:rsid w:val="000D0C7C"/>
    <w:rsid w:val="000D0E13"/>
    <w:rsid w:val="000D1054"/>
    <w:rsid w:val="000D12A6"/>
    <w:rsid w:val="000D15D9"/>
    <w:rsid w:val="000D16E1"/>
    <w:rsid w:val="000D45F0"/>
    <w:rsid w:val="000D48DE"/>
    <w:rsid w:val="000D48F3"/>
    <w:rsid w:val="000D4B2D"/>
    <w:rsid w:val="000D5210"/>
    <w:rsid w:val="000D677C"/>
    <w:rsid w:val="000D6D04"/>
    <w:rsid w:val="000D7AAC"/>
    <w:rsid w:val="000E027F"/>
    <w:rsid w:val="000E035F"/>
    <w:rsid w:val="000E037A"/>
    <w:rsid w:val="000E0AB0"/>
    <w:rsid w:val="000E0AE4"/>
    <w:rsid w:val="000E0C60"/>
    <w:rsid w:val="000E16C6"/>
    <w:rsid w:val="000E1758"/>
    <w:rsid w:val="000E335F"/>
    <w:rsid w:val="000E3551"/>
    <w:rsid w:val="000E3F87"/>
    <w:rsid w:val="000E45DB"/>
    <w:rsid w:val="000E478E"/>
    <w:rsid w:val="000E59F1"/>
    <w:rsid w:val="000E5ECA"/>
    <w:rsid w:val="000E62E1"/>
    <w:rsid w:val="000E688B"/>
    <w:rsid w:val="000E6912"/>
    <w:rsid w:val="000E6D28"/>
    <w:rsid w:val="000E74C4"/>
    <w:rsid w:val="000E77EB"/>
    <w:rsid w:val="000E7D2F"/>
    <w:rsid w:val="000F01FC"/>
    <w:rsid w:val="000F0A89"/>
    <w:rsid w:val="000F11BF"/>
    <w:rsid w:val="000F1584"/>
    <w:rsid w:val="000F29BC"/>
    <w:rsid w:val="000F2A8A"/>
    <w:rsid w:val="000F3634"/>
    <w:rsid w:val="000F4841"/>
    <w:rsid w:val="000F5999"/>
    <w:rsid w:val="000F59C9"/>
    <w:rsid w:val="000F5B3F"/>
    <w:rsid w:val="000F5F51"/>
    <w:rsid w:val="000F6322"/>
    <w:rsid w:val="000F63F9"/>
    <w:rsid w:val="000F6536"/>
    <w:rsid w:val="000F75F8"/>
    <w:rsid w:val="000F7A59"/>
    <w:rsid w:val="00100310"/>
    <w:rsid w:val="00100768"/>
    <w:rsid w:val="001009F2"/>
    <w:rsid w:val="00100DB2"/>
    <w:rsid w:val="00101033"/>
    <w:rsid w:val="00101298"/>
    <w:rsid w:val="001012FE"/>
    <w:rsid w:val="001017BC"/>
    <w:rsid w:val="001019C6"/>
    <w:rsid w:val="00101EE2"/>
    <w:rsid w:val="0010292D"/>
    <w:rsid w:val="00102B01"/>
    <w:rsid w:val="00102E85"/>
    <w:rsid w:val="00103271"/>
    <w:rsid w:val="001032B2"/>
    <w:rsid w:val="00103725"/>
    <w:rsid w:val="001041F5"/>
    <w:rsid w:val="0010434A"/>
    <w:rsid w:val="00104E07"/>
    <w:rsid w:val="001056AC"/>
    <w:rsid w:val="00105876"/>
    <w:rsid w:val="00105C58"/>
    <w:rsid w:val="00106C85"/>
    <w:rsid w:val="00107775"/>
    <w:rsid w:val="0010777C"/>
    <w:rsid w:val="00107842"/>
    <w:rsid w:val="00107DE2"/>
    <w:rsid w:val="001129A9"/>
    <w:rsid w:val="001139E2"/>
    <w:rsid w:val="00113C29"/>
    <w:rsid w:val="0011405A"/>
    <w:rsid w:val="00114D8F"/>
    <w:rsid w:val="0011506F"/>
    <w:rsid w:val="00115843"/>
    <w:rsid w:val="00115E56"/>
    <w:rsid w:val="00116476"/>
    <w:rsid w:val="00116482"/>
    <w:rsid w:val="0011751A"/>
    <w:rsid w:val="0012006E"/>
    <w:rsid w:val="00121E71"/>
    <w:rsid w:val="0012216A"/>
    <w:rsid w:val="00123A09"/>
    <w:rsid w:val="001247F5"/>
    <w:rsid w:val="00124E5E"/>
    <w:rsid w:val="001252E4"/>
    <w:rsid w:val="00125358"/>
    <w:rsid w:val="00125BF0"/>
    <w:rsid w:val="00125C64"/>
    <w:rsid w:val="00127038"/>
    <w:rsid w:val="0012720B"/>
    <w:rsid w:val="001274BE"/>
    <w:rsid w:val="00127627"/>
    <w:rsid w:val="00127643"/>
    <w:rsid w:val="0012789B"/>
    <w:rsid w:val="0013080C"/>
    <w:rsid w:val="00130DAE"/>
    <w:rsid w:val="00131448"/>
    <w:rsid w:val="00131BA2"/>
    <w:rsid w:val="001331E7"/>
    <w:rsid w:val="00133228"/>
    <w:rsid w:val="00133526"/>
    <w:rsid w:val="00133A35"/>
    <w:rsid w:val="00134382"/>
    <w:rsid w:val="00134FA0"/>
    <w:rsid w:val="001351E4"/>
    <w:rsid w:val="001356BE"/>
    <w:rsid w:val="001356FC"/>
    <w:rsid w:val="001358D8"/>
    <w:rsid w:val="00135B38"/>
    <w:rsid w:val="00135BCE"/>
    <w:rsid w:val="0013727F"/>
    <w:rsid w:val="001378E0"/>
    <w:rsid w:val="001408FB"/>
    <w:rsid w:val="00140E00"/>
    <w:rsid w:val="001413F6"/>
    <w:rsid w:val="001420C7"/>
    <w:rsid w:val="001421D3"/>
    <w:rsid w:val="00142A92"/>
    <w:rsid w:val="00142E4B"/>
    <w:rsid w:val="001431F9"/>
    <w:rsid w:val="00143520"/>
    <w:rsid w:val="0014431E"/>
    <w:rsid w:val="001452FC"/>
    <w:rsid w:val="001456BE"/>
    <w:rsid w:val="00145876"/>
    <w:rsid w:val="00145E91"/>
    <w:rsid w:val="00146177"/>
    <w:rsid w:val="00146585"/>
    <w:rsid w:val="0014702C"/>
    <w:rsid w:val="00147156"/>
    <w:rsid w:val="001473A8"/>
    <w:rsid w:val="00150CEB"/>
    <w:rsid w:val="00151389"/>
    <w:rsid w:val="00151454"/>
    <w:rsid w:val="00151AF1"/>
    <w:rsid w:val="00153EFF"/>
    <w:rsid w:val="00154737"/>
    <w:rsid w:val="001547E4"/>
    <w:rsid w:val="0015692B"/>
    <w:rsid w:val="0015724F"/>
    <w:rsid w:val="00157CC2"/>
    <w:rsid w:val="001601FC"/>
    <w:rsid w:val="001605BA"/>
    <w:rsid w:val="00160E06"/>
    <w:rsid w:val="00161032"/>
    <w:rsid w:val="00161892"/>
    <w:rsid w:val="0016208B"/>
    <w:rsid w:val="0016227C"/>
    <w:rsid w:val="00162BAC"/>
    <w:rsid w:val="00163AED"/>
    <w:rsid w:val="0016404D"/>
    <w:rsid w:val="001642C1"/>
    <w:rsid w:val="001646AF"/>
    <w:rsid w:val="00164BA2"/>
    <w:rsid w:val="00164E1E"/>
    <w:rsid w:val="00164EFA"/>
    <w:rsid w:val="00166741"/>
    <w:rsid w:val="00166824"/>
    <w:rsid w:val="00166D90"/>
    <w:rsid w:val="001703E8"/>
    <w:rsid w:val="001707E0"/>
    <w:rsid w:val="001708C5"/>
    <w:rsid w:val="00170A79"/>
    <w:rsid w:val="001713C0"/>
    <w:rsid w:val="00171E11"/>
    <w:rsid w:val="001721C3"/>
    <w:rsid w:val="001725FD"/>
    <w:rsid w:val="00172B18"/>
    <w:rsid w:val="00172C17"/>
    <w:rsid w:val="00172F03"/>
    <w:rsid w:val="0017400C"/>
    <w:rsid w:val="001741B5"/>
    <w:rsid w:val="0017466F"/>
    <w:rsid w:val="0017469B"/>
    <w:rsid w:val="00174F64"/>
    <w:rsid w:val="001759DE"/>
    <w:rsid w:val="00176584"/>
    <w:rsid w:val="00181467"/>
    <w:rsid w:val="00181D76"/>
    <w:rsid w:val="0018245E"/>
    <w:rsid w:val="00182978"/>
    <w:rsid w:val="001834B2"/>
    <w:rsid w:val="00184211"/>
    <w:rsid w:val="00185F95"/>
    <w:rsid w:val="001870B4"/>
    <w:rsid w:val="001876CA"/>
    <w:rsid w:val="001879A1"/>
    <w:rsid w:val="00187E69"/>
    <w:rsid w:val="00190F1D"/>
    <w:rsid w:val="0019113E"/>
    <w:rsid w:val="00191A6F"/>
    <w:rsid w:val="00191CE0"/>
    <w:rsid w:val="00191DB6"/>
    <w:rsid w:val="001930DC"/>
    <w:rsid w:val="0019313E"/>
    <w:rsid w:val="001934A5"/>
    <w:rsid w:val="001939BF"/>
    <w:rsid w:val="00193A45"/>
    <w:rsid w:val="00193AFC"/>
    <w:rsid w:val="00193F1D"/>
    <w:rsid w:val="001945C6"/>
    <w:rsid w:val="00195221"/>
    <w:rsid w:val="00195574"/>
    <w:rsid w:val="00195E0F"/>
    <w:rsid w:val="00197DE9"/>
    <w:rsid w:val="001A040F"/>
    <w:rsid w:val="001A0594"/>
    <w:rsid w:val="001A0946"/>
    <w:rsid w:val="001A0B28"/>
    <w:rsid w:val="001A2388"/>
    <w:rsid w:val="001A271D"/>
    <w:rsid w:val="001A369E"/>
    <w:rsid w:val="001A3A19"/>
    <w:rsid w:val="001A5509"/>
    <w:rsid w:val="001A69F6"/>
    <w:rsid w:val="001A6B6D"/>
    <w:rsid w:val="001A78EF"/>
    <w:rsid w:val="001A7EAE"/>
    <w:rsid w:val="001B0796"/>
    <w:rsid w:val="001B16CE"/>
    <w:rsid w:val="001B19F2"/>
    <w:rsid w:val="001B28E2"/>
    <w:rsid w:val="001B28E9"/>
    <w:rsid w:val="001B34F7"/>
    <w:rsid w:val="001B34FF"/>
    <w:rsid w:val="001B3E1F"/>
    <w:rsid w:val="001B4CEF"/>
    <w:rsid w:val="001B4D66"/>
    <w:rsid w:val="001B4EEB"/>
    <w:rsid w:val="001B5894"/>
    <w:rsid w:val="001B600E"/>
    <w:rsid w:val="001B677D"/>
    <w:rsid w:val="001B6C7A"/>
    <w:rsid w:val="001B7009"/>
    <w:rsid w:val="001B73BB"/>
    <w:rsid w:val="001B743D"/>
    <w:rsid w:val="001B7C78"/>
    <w:rsid w:val="001C02A6"/>
    <w:rsid w:val="001C02FD"/>
    <w:rsid w:val="001C0502"/>
    <w:rsid w:val="001C16BD"/>
    <w:rsid w:val="001C21FF"/>
    <w:rsid w:val="001C22E2"/>
    <w:rsid w:val="001C342F"/>
    <w:rsid w:val="001C3901"/>
    <w:rsid w:val="001C45EB"/>
    <w:rsid w:val="001C51D3"/>
    <w:rsid w:val="001C572F"/>
    <w:rsid w:val="001C5A38"/>
    <w:rsid w:val="001C649D"/>
    <w:rsid w:val="001C64D7"/>
    <w:rsid w:val="001C6790"/>
    <w:rsid w:val="001C6913"/>
    <w:rsid w:val="001C73D2"/>
    <w:rsid w:val="001C7466"/>
    <w:rsid w:val="001C754D"/>
    <w:rsid w:val="001C7739"/>
    <w:rsid w:val="001C7BA5"/>
    <w:rsid w:val="001D02D9"/>
    <w:rsid w:val="001D03AE"/>
    <w:rsid w:val="001D0552"/>
    <w:rsid w:val="001D05FF"/>
    <w:rsid w:val="001D0CEE"/>
    <w:rsid w:val="001D0F4C"/>
    <w:rsid w:val="001D11C7"/>
    <w:rsid w:val="001D16F0"/>
    <w:rsid w:val="001D1952"/>
    <w:rsid w:val="001D1F92"/>
    <w:rsid w:val="001D209F"/>
    <w:rsid w:val="001D3C10"/>
    <w:rsid w:val="001D3D06"/>
    <w:rsid w:val="001D49F4"/>
    <w:rsid w:val="001D5322"/>
    <w:rsid w:val="001D5D8B"/>
    <w:rsid w:val="001D6073"/>
    <w:rsid w:val="001D643A"/>
    <w:rsid w:val="001D6EE6"/>
    <w:rsid w:val="001D708C"/>
    <w:rsid w:val="001D7A36"/>
    <w:rsid w:val="001D7CA8"/>
    <w:rsid w:val="001E06AD"/>
    <w:rsid w:val="001E0A88"/>
    <w:rsid w:val="001E0E60"/>
    <w:rsid w:val="001E0EDE"/>
    <w:rsid w:val="001E10B7"/>
    <w:rsid w:val="001E138C"/>
    <w:rsid w:val="001E1C03"/>
    <w:rsid w:val="001E1DB7"/>
    <w:rsid w:val="001E1F82"/>
    <w:rsid w:val="001E2409"/>
    <w:rsid w:val="001E2745"/>
    <w:rsid w:val="001E2979"/>
    <w:rsid w:val="001E2B78"/>
    <w:rsid w:val="001E3671"/>
    <w:rsid w:val="001E3D58"/>
    <w:rsid w:val="001E3F29"/>
    <w:rsid w:val="001E4C14"/>
    <w:rsid w:val="001E4F45"/>
    <w:rsid w:val="001E57A0"/>
    <w:rsid w:val="001E5990"/>
    <w:rsid w:val="001E65A6"/>
    <w:rsid w:val="001E6923"/>
    <w:rsid w:val="001E6A2E"/>
    <w:rsid w:val="001E6B3A"/>
    <w:rsid w:val="001E6FFC"/>
    <w:rsid w:val="001E7D85"/>
    <w:rsid w:val="001E7FE3"/>
    <w:rsid w:val="001F07D3"/>
    <w:rsid w:val="001F098B"/>
    <w:rsid w:val="001F0E1C"/>
    <w:rsid w:val="001F1185"/>
    <w:rsid w:val="001F130A"/>
    <w:rsid w:val="001F143E"/>
    <w:rsid w:val="001F1E1A"/>
    <w:rsid w:val="001F2029"/>
    <w:rsid w:val="001F26AB"/>
    <w:rsid w:val="001F2B80"/>
    <w:rsid w:val="001F35CF"/>
    <w:rsid w:val="001F3A1E"/>
    <w:rsid w:val="001F3ACD"/>
    <w:rsid w:val="001F416F"/>
    <w:rsid w:val="001F494A"/>
    <w:rsid w:val="001F5738"/>
    <w:rsid w:val="001F6ED3"/>
    <w:rsid w:val="001F7495"/>
    <w:rsid w:val="001F77D4"/>
    <w:rsid w:val="0020106C"/>
    <w:rsid w:val="002015A0"/>
    <w:rsid w:val="00201631"/>
    <w:rsid w:val="00201C5D"/>
    <w:rsid w:val="00201ED9"/>
    <w:rsid w:val="00202F4E"/>
    <w:rsid w:val="00203138"/>
    <w:rsid w:val="002032C6"/>
    <w:rsid w:val="002039DB"/>
    <w:rsid w:val="00204011"/>
    <w:rsid w:val="002040F6"/>
    <w:rsid w:val="002044B3"/>
    <w:rsid w:val="002053BC"/>
    <w:rsid w:val="0020553F"/>
    <w:rsid w:val="00205612"/>
    <w:rsid w:val="002067E7"/>
    <w:rsid w:val="002067EA"/>
    <w:rsid w:val="00206867"/>
    <w:rsid w:val="00206D1A"/>
    <w:rsid w:val="00207E28"/>
    <w:rsid w:val="00210B7C"/>
    <w:rsid w:val="00211420"/>
    <w:rsid w:val="00211F0A"/>
    <w:rsid w:val="00211F45"/>
    <w:rsid w:val="00212033"/>
    <w:rsid w:val="00213CCC"/>
    <w:rsid w:val="002147AF"/>
    <w:rsid w:val="00215677"/>
    <w:rsid w:val="00215F5F"/>
    <w:rsid w:val="0021629A"/>
    <w:rsid w:val="0021662C"/>
    <w:rsid w:val="00216962"/>
    <w:rsid w:val="00216E41"/>
    <w:rsid w:val="00216ECF"/>
    <w:rsid w:val="002174F2"/>
    <w:rsid w:val="002176B8"/>
    <w:rsid w:val="00217A34"/>
    <w:rsid w:val="0022009B"/>
    <w:rsid w:val="002200E0"/>
    <w:rsid w:val="002201E2"/>
    <w:rsid w:val="0022035C"/>
    <w:rsid w:val="00220AAA"/>
    <w:rsid w:val="00221422"/>
    <w:rsid w:val="00221503"/>
    <w:rsid w:val="00222081"/>
    <w:rsid w:val="002223F4"/>
    <w:rsid w:val="00222FF3"/>
    <w:rsid w:val="00224417"/>
    <w:rsid w:val="0022472D"/>
    <w:rsid w:val="00224F1C"/>
    <w:rsid w:val="00225188"/>
    <w:rsid w:val="0022549B"/>
    <w:rsid w:val="00225C88"/>
    <w:rsid w:val="00225DF7"/>
    <w:rsid w:val="0022695D"/>
    <w:rsid w:val="00227596"/>
    <w:rsid w:val="00227656"/>
    <w:rsid w:val="00227A53"/>
    <w:rsid w:val="00230316"/>
    <w:rsid w:val="002306CF"/>
    <w:rsid w:val="00230E75"/>
    <w:rsid w:val="00231F13"/>
    <w:rsid w:val="00232AD8"/>
    <w:rsid w:val="00232D1C"/>
    <w:rsid w:val="002333B3"/>
    <w:rsid w:val="00233586"/>
    <w:rsid w:val="00233A24"/>
    <w:rsid w:val="00233B4E"/>
    <w:rsid w:val="00233CE2"/>
    <w:rsid w:val="002340BD"/>
    <w:rsid w:val="00234633"/>
    <w:rsid w:val="00235D33"/>
    <w:rsid w:val="0023616A"/>
    <w:rsid w:val="002367B6"/>
    <w:rsid w:val="002375EB"/>
    <w:rsid w:val="00237626"/>
    <w:rsid w:val="00237FE4"/>
    <w:rsid w:val="0024017E"/>
    <w:rsid w:val="002404D6"/>
    <w:rsid w:val="00241177"/>
    <w:rsid w:val="0024117E"/>
    <w:rsid w:val="00241262"/>
    <w:rsid w:val="00241AB4"/>
    <w:rsid w:val="00242478"/>
    <w:rsid w:val="0024380D"/>
    <w:rsid w:val="00243C53"/>
    <w:rsid w:val="00243EDD"/>
    <w:rsid w:val="002440FB"/>
    <w:rsid w:val="00244643"/>
    <w:rsid w:val="0024486B"/>
    <w:rsid w:val="00244EC3"/>
    <w:rsid w:val="00245D84"/>
    <w:rsid w:val="00245FE1"/>
    <w:rsid w:val="00246A5E"/>
    <w:rsid w:val="00250D33"/>
    <w:rsid w:val="00250D3D"/>
    <w:rsid w:val="00251F22"/>
    <w:rsid w:val="00252888"/>
    <w:rsid w:val="002529C6"/>
    <w:rsid w:val="0025316E"/>
    <w:rsid w:val="002535B4"/>
    <w:rsid w:val="00253DEA"/>
    <w:rsid w:val="00254484"/>
    <w:rsid w:val="00254B0E"/>
    <w:rsid w:val="00254B81"/>
    <w:rsid w:val="0025549F"/>
    <w:rsid w:val="0025579E"/>
    <w:rsid w:val="002557C0"/>
    <w:rsid w:val="002559C4"/>
    <w:rsid w:val="00255C83"/>
    <w:rsid w:val="00256137"/>
    <w:rsid w:val="0025651A"/>
    <w:rsid w:val="002567ED"/>
    <w:rsid w:val="002568A5"/>
    <w:rsid w:val="002570B6"/>
    <w:rsid w:val="0025745A"/>
    <w:rsid w:val="002615AA"/>
    <w:rsid w:val="002616D6"/>
    <w:rsid w:val="00261B57"/>
    <w:rsid w:val="0026202C"/>
    <w:rsid w:val="002620CF"/>
    <w:rsid w:val="00262CE2"/>
    <w:rsid w:val="00262E46"/>
    <w:rsid w:val="00262FFC"/>
    <w:rsid w:val="00263760"/>
    <w:rsid w:val="00263DFD"/>
    <w:rsid w:val="002650F5"/>
    <w:rsid w:val="00265725"/>
    <w:rsid w:val="00265B28"/>
    <w:rsid w:val="002660A5"/>
    <w:rsid w:val="0026655E"/>
    <w:rsid w:val="00267181"/>
    <w:rsid w:val="002702CC"/>
    <w:rsid w:val="002707A0"/>
    <w:rsid w:val="00270EFD"/>
    <w:rsid w:val="002714DA"/>
    <w:rsid w:val="0027230E"/>
    <w:rsid w:val="00272A09"/>
    <w:rsid w:val="00272C1B"/>
    <w:rsid w:val="00273102"/>
    <w:rsid w:val="00274441"/>
    <w:rsid w:val="00274720"/>
    <w:rsid w:val="00274C4C"/>
    <w:rsid w:val="00275862"/>
    <w:rsid w:val="00275C15"/>
    <w:rsid w:val="00275F7E"/>
    <w:rsid w:val="0027617E"/>
    <w:rsid w:val="00276F29"/>
    <w:rsid w:val="0028001E"/>
    <w:rsid w:val="002802D2"/>
    <w:rsid w:val="00280496"/>
    <w:rsid w:val="00280D3F"/>
    <w:rsid w:val="00281631"/>
    <w:rsid w:val="002818B7"/>
    <w:rsid w:val="00281A01"/>
    <w:rsid w:val="00282003"/>
    <w:rsid w:val="0028272A"/>
    <w:rsid w:val="00282D72"/>
    <w:rsid w:val="00283104"/>
    <w:rsid w:val="00283230"/>
    <w:rsid w:val="0028387D"/>
    <w:rsid w:val="002838A5"/>
    <w:rsid w:val="00283F6C"/>
    <w:rsid w:val="00284051"/>
    <w:rsid w:val="002843A4"/>
    <w:rsid w:val="002844FB"/>
    <w:rsid w:val="00284899"/>
    <w:rsid w:val="00284BBB"/>
    <w:rsid w:val="0028663A"/>
    <w:rsid w:val="0028747A"/>
    <w:rsid w:val="002874E0"/>
    <w:rsid w:val="002903BD"/>
    <w:rsid w:val="00290A38"/>
    <w:rsid w:val="00290E5E"/>
    <w:rsid w:val="00290F84"/>
    <w:rsid w:val="00292513"/>
    <w:rsid w:val="00292629"/>
    <w:rsid w:val="0029334A"/>
    <w:rsid w:val="00293F04"/>
    <w:rsid w:val="002948EB"/>
    <w:rsid w:val="00294C67"/>
    <w:rsid w:val="00294D74"/>
    <w:rsid w:val="0029504F"/>
    <w:rsid w:val="00295430"/>
    <w:rsid w:val="00295D2C"/>
    <w:rsid w:val="00297B7E"/>
    <w:rsid w:val="00297D04"/>
    <w:rsid w:val="002A0C0C"/>
    <w:rsid w:val="002A1158"/>
    <w:rsid w:val="002A12C7"/>
    <w:rsid w:val="002A21FB"/>
    <w:rsid w:val="002A2B4F"/>
    <w:rsid w:val="002A31FE"/>
    <w:rsid w:val="002A38B7"/>
    <w:rsid w:val="002A3BEE"/>
    <w:rsid w:val="002A3CAA"/>
    <w:rsid w:val="002A4B48"/>
    <w:rsid w:val="002A4D19"/>
    <w:rsid w:val="002A54A1"/>
    <w:rsid w:val="002A54DA"/>
    <w:rsid w:val="002A589C"/>
    <w:rsid w:val="002A590B"/>
    <w:rsid w:val="002A6909"/>
    <w:rsid w:val="002A7101"/>
    <w:rsid w:val="002A7311"/>
    <w:rsid w:val="002A7630"/>
    <w:rsid w:val="002A7BA6"/>
    <w:rsid w:val="002A7FD4"/>
    <w:rsid w:val="002B079A"/>
    <w:rsid w:val="002B1B7B"/>
    <w:rsid w:val="002B231D"/>
    <w:rsid w:val="002B3110"/>
    <w:rsid w:val="002B3295"/>
    <w:rsid w:val="002B35D7"/>
    <w:rsid w:val="002B3691"/>
    <w:rsid w:val="002B3751"/>
    <w:rsid w:val="002B3862"/>
    <w:rsid w:val="002B5881"/>
    <w:rsid w:val="002B612A"/>
    <w:rsid w:val="002B6295"/>
    <w:rsid w:val="002B65AD"/>
    <w:rsid w:val="002B695A"/>
    <w:rsid w:val="002B6ECA"/>
    <w:rsid w:val="002B72B8"/>
    <w:rsid w:val="002B74B6"/>
    <w:rsid w:val="002C0974"/>
    <w:rsid w:val="002C09E5"/>
    <w:rsid w:val="002C1854"/>
    <w:rsid w:val="002C198B"/>
    <w:rsid w:val="002C1E5B"/>
    <w:rsid w:val="002C1EDA"/>
    <w:rsid w:val="002C2037"/>
    <w:rsid w:val="002C23A2"/>
    <w:rsid w:val="002C43EE"/>
    <w:rsid w:val="002C4527"/>
    <w:rsid w:val="002C4B69"/>
    <w:rsid w:val="002C55E2"/>
    <w:rsid w:val="002C6267"/>
    <w:rsid w:val="002C6ED0"/>
    <w:rsid w:val="002C6EE4"/>
    <w:rsid w:val="002D053F"/>
    <w:rsid w:val="002D11EC"/>
    <w:rsid w:val="002D17AD"/>
    <w:rsid w:val="002D1876"/>
    <w:rsid w:val="002D2FE6"/>
    <w:rsid w:val="002D2FFF"/>
    <w:rsid w:val="002D33E8"/>
    <w:rsid w:val="002D3C12"/>
    <w:rsid w:val="002D42BC"/>
    <w:rsid w:val="002D460D"/>
    <w:rsid w:val="002D4D2A"/>
    <w:rsid w:val="002D4D73"/>
    <w:rsid w:val="002D5289"/>
    <w:rsid w:val="002D5781"/>
    <w:rsid w:val="002D597B"/>
    <w:rsid w:val="002D6EE8"/>
    <w:rsid w:val="002D7071"/>
    <w:rsid w:val="002D7A17"/>
    <w:rsid w:val="002D7F53"/>
    <w:rsid w:val="002E0479"/>
    <w:rsid w:val="002E0F84"/>
    <w:rsid w:val="002E1156"/>
    <w:rsid w:val="002E1FDC"/>
    <w:rsid w:val="002E20C7"/>
    <w:rsid w:val="002E2B3C"/>
    <w:rsid w:val="002E3447"/>
    <w:rsid w:val="002E3511"/>
    <w:rsid w:val="002E412E"/>
    <w:rsid w:val="002E4C29"/>
    <w:rsid w:val="002E4C57"/>
    <w:rsid w:val="002E53F9"/>
    <w:rsid w:val="002E5425"/>
    <w:rsid w:val="002E58E9"/>
    <w:rsid w:val="002E5999"/>
    <w:rsid w:val="002E622F"/>
    <w:rsid w:val="002E6603"/>
    <w:rsid w:val="002E67F5"/>
    <w:rsid w:val="002E7088"/>
    <w:rsid w:val="002E789D"/>
    <w:rsid w:val="002E7A41"/>
    <w:rsid w:val="002E7C3F"/>
    <w:rsid w:val="002E7E30"/>
    <w:rsid w:val="002E7E7C"/>
    <w:rsid w:val="002F02E2"/>
    <w:rsid w:val="002F0632"/>
    <w:rsid w:val="002F099D"/>
    <w:rsid w:val="002F1563"/>
    <w:rsid w:val="002F1656"/>
    <w:rsid w:val="002F16E4"/>
    <w:rsid w:val="002F1BE2"/>
    <w:rsid w:val="002F26F5"/>
    <w:rsid w:val="002F2965"/>
    <w:rsid w:val="002F36C5"/>
    <w:rsid w:val="002F436B"/>
    <w:rsid w:val="002F4CA6"/>
    <w:rsid w:val="002F5187"/>
    <w:rsid w:val="002F576C"/>
    <w:rsid w:val="002F59DE"/>
    <w:rsid w:val="002F5A5F"/>
    <w:rsid w:val="002F6567"/>
    <w:rsid w:val="002F7821"/>
    <w:rsid w:val="002F7923"/>
    <w:rsid w:val="00300059"/>
    <w:rsid w:val="00300698"/>
    <w:rsid w:val="00300E70"/>
    <w:rsid w:val="0030102E"/>
    <w:rsid w:val="00301182"/>
    <w:rsid w:val="00301430"/>
    <w:rsid w:val="00302254"/>
    <w:rsid w:val="00303CE8"/>
    <w:rsid w:val="00305271"/>
    <w:rsid w:val="00305360"/>
    <w:rsid w:val="00305807"/>
    <w:rsid w:val="00305A1A"/>
    <w:rsid w:val="00306AF4"/>
    <w:rsid w:val="00306D3E"/>
    <w:rsid w:val="003075C6"/>
    <w:rsid w:val="003077D7"/>
    <w:rsid w:val="0030792C"/>
    <w:rsid w:val="003102CC"/>
    <w:rsid w:val="00310983"/>
    <w:rsid w:val="00311286"/>
    <w:rsid w:val="00311827"/>
    <w:rsid w:val="00311CC4"/>
    <w:rsid w:val="00314F64"/>
    <w:rsid w:val="003150DB"/>
    <w:rsid w:val="00315341"/>
    <w:rsid w:val="00315E45"/>
    <w:rsid w:val="00316ABD"/>
    <w:rsid w:val="00316F7E"/>
    <w:rsid w:val="00317BAD"/>
    <w:rsid w:val="00317D05"/>
    <w:rsid w:val="0032034B"/>
    <w:rsid w:val="00320571"/>
    <w:rsid w:val="00320729"/>
    <w:rsid w:val="00322226"/>
    <w:rsid w:val="00322275"/>
    <w:rsid w:val="00322FEA"/>
    <w:rsid w:val="003238F0"/>
    <w:rsid w:val="00324667"/>
    <w:rsid w:val="00324BF2"/>
    <w:rsid w:val="003253AC"/>
    <w:rsid w:val="00325525"/>
    <w:rsid w:val="003261F8"/>
    <w:rsid w:val="003266EA"/>
    <w:rsid w:val="00326AE2"/>
    <w:rsid w:val="00327D9F"/>
    <w:rsid w:val="00330DD5"/>
    <w:rsid w:val="00330EBF"/>
    <w:rsid w:val="00331850"/>
    <w:rsid w:val="00331903"/>
    <w:rsid w:val="0033245F"/>
    <w:rsid w:val="00332BD3"/>
    <w:rsid w:val="00332BED"/>
    <w:rsid w:val="00332C7E"/>
    <w:rsid w:val="00333DA4"/>
    <w:rsid w:val="00333ED3"/>
    <w:rsid w:val="00334737"/>
    <w:rsid w:val="00334992"/>
    <w:rsid w:val="00334A37"/>
    <w:rsid w:val="00334C60"/>
    <w:rsid w:val="00334CFD"/>
    <w:rsid w:val="00335C20"/>
    <w:rsid w:val="00335E2F"/>
    <w:rsid w:val="003367AD"/>
    <w:rsid w:val="00336874"/>
    <w:rsid w:val="00336CB1"/>
    <w:rsid w:val="00337256"/>
    <w:rsid w:val="003407B3"/>
    <w:rsid w:val="00340F65"/>
    <w:rsid w:val="003415AB"/>
    <w:rsid w:val="0034237C"/>
    <w:rsid w:val="00342C57"/>
    <w:rsid w:val="00345953"/>
    <w:rsid w:val="00345F2D"/>
    <w:rsid w:val="003467F7"/>
    <w:rsid w:val="00346C95"/>
    <w:rsid w:val="0034764C"/>
    <w:rsid w:val="003504DB"/>
    <w:rsid w:val="00351C04"/>
    <w:rsid w:val="00351CE4"/>
    <w:rsid w:val="00352196"/>
    <w:rsid w:val="00352204"/>
    <w:rsid w:val="0035243D"/>
    <w:rsid w:val="0035286C"/>
    <w:rsid w:val="00353B0F"/>
    <w:rsid w:val="00353F17"/>
    <w:rsid w:val="00353F48"/>
    <w:rsid w:val="00354D8C"/>
    <w:rsid w:val="0035598B"/>
    <w:rsid w:val="00355F3C"/>
    <w:rsid w:val="00356691"/>
    <w:rsid w:val="0035715E"/>
    <w:rsid w:val="003576E9"/>
    <w:rsid w:val="0036076D"/>
    <w:rsid w:val="0036086C"/>
    <w:rsid w:val="0036091A"/>
    <w:rsid w:val="00360943"/>
    <w:rsid w:val="00360D36"/>
    <w:rsid w:val="003612AF"/>
    <w:rsid w:val="00361950"/>
    <w:rsid w:val="00361D8C"/>
    <w:rsid w:val="0036207A"/>
    <w:rsid w:val="003621ED"/>
    <w:rsid w:val="003629D3"/>
    <w:rsid w:val="00362C28"/>
    <w:rsid w:val="00362DF7"/>
    <w:rsid w:val="003631E6"/>
    <w:rsid w:val="00363A9E"/>
    <w:rsid w:val="00364502"/>
    <w:rsid w:val="00364C52"/>
    <w:rsid w:val="003650C4"/>
    <w:rsid w:val="00365361"/>
    <w:rsid w:val="0036556E"/>
    <w:rsid w:val="00365A75"/>
    <w:rsid w:val="003668D7"/>
    <w:rsid w:val="00366F95"/>
    <w:rsid w:val="0036732B"/>
    <w:rsid w:val="003704BA"/>
    <w:rsid w:val="00370A38"/>
    <w:rsid w:val="00370DF3"/>
    <w:rsid w:val="00370E6C"/>
    <w:rsid w:val="00370EC3"/>
    <w:rsid w:val="00370FAE"/>
    <w:rsid w:val="0037120F"/>
    <w:rsid w:val="003718E6"/>
    <w:rsid w:val="003720DB"/>
    <w:rsid w:val="00372232"/>
    <w:rsid w:val="00372611"/>
    <w:rsid w:val="00372856"/>
    <w:rsid w:val="0037317A"/>
    <w:rsid w:val="00373938"/>
    <w:rsid w:val="003740FA"/>
    <w:rsid w:val="00374A77"/>
    <w:rsid w:val="00374E3F"/>
    <w:rsid w:val="00374F9B"/>
    <w:rsid w:val="003751D1"/>
    <w:rsid w:val="00375810"/>
    <w:rsid w:val="00375DE7"/>
    <w:rsid w:val="0037601E"/>
    <w:rsid w:val="00376ABF"/>
    <w:rsid w:val="00377541"/>
    <w:rsid w:val="00377D24"/>
    <w:rsid w:val="00380B5F"/>
    <w:rsid w:val="00380ECD"/>
    <w:rsid w:val="0038116A"/>
    <w:rsid w:val="0038174F"/>
    <w:rsid w:val="0038283D"/>
    <w:rsid w:val="00382F70"/>
    <w:rsid w:val="003830A6"/>
    <w:rsid w:val="0038353A"/>
    <w:rsid w:val="0038454C"/>
    <w:rsid w:val="0038461B"/>
    <w:rsid w:val="00384A1B"/>
    <w:rsid w:val="00384C5D"/>
    <w:rsid w:val="00385072"/>
    <w:rsid w:val="00385223"/>
    <w:rsid w:val="0038561F"/>
    <w:rsid w:val="00385A3C"/>
    <w:rsid w:val="00385B03"/>
    <w:rsid w:val="00385CB0"/>
    <w:rsid w:val="00386715"/>
    <w:rsid w:val="00386DF6"/>
    <w:rsid w:val="00386EA0"/>
    <w:rsid w:val="0038713B"/>
    <w:rsid w:val="0038786E"/>
    <w:rsid w:val="00387A57"/>
    <w:rsid w:val="00387A98"/>
    <w:rsid w:val="0039001B"/>
    <w:rsid w:val="00390152"/>
    <w:rsid w:val="00390378"/>
    <w:rsid w:val="0039082A"/>
    <w:rsid w:val="00391041"/>
    <w:rsid w:val="0039120A"/>
    <w:rsid w:val="00391229"/>
    <w:rsid w:val="0039172A"/>
    <w:rsid w:val="00391924"/>
    <w:rsid w:val="00391EB4"/>
    <w:rsid w:val="003929F6"/>
    <w:rsid w:val="00392A38"/>
    <w:rsid w:val="00392AC5"/>
    <w:rsid w:val="0039364C"/>
    <w:rsid w:val="00393C7E"/>
    <w:rsid w:val="00393CB7"/>
    <w:rsid w:val="00393FC5"/>
    <w:rsid w:val="00394879"/>
    <w:rsid w:val="0039533C"/>
    <w:rsid w:val="0039577C"/>
    <w:rsid w:val="00395B3B"/>
    <w:rsid w:val="00395CCE"/>
    <w:rsid w:val="00395EFA"/>
    <w:rsid w:val="003967C6"/>
    <w:rsid w:val="00397103"/>
    <w:rsid w:val="00397287"/>
    <w:rsid w:val="00397A14"/>
    <w:rsid w:val="00397CF8"/>
    <w:rsid w:val="00397E7A"/>
    <w:rsid w:val="003A0621"/>
    <w:rsid w:val="003A0BCB"/>
    <w:rsid w:val="003A0EEB"/>
    <w:rsid w:val="003A116C"/>
    <w:rsid w:val="003A1A59"/>
    <w:rsid w:val="003A1C27"/>
    <w:rsid w:val="003A1C77"/>
    <w:rsid w:val="003A23CE"/>
    <w:rsid w:val="003A2BB1"/>
    <w:rsid w:val="003A3363"/>
    <w:rsid w:val="003A355D"/>
    <w:rsid w:val="003A3D03"/>
    <w:rsid w:val="003A3EE8"/>
    <w:rsid w:val="003A4254"/>
    <w:rsid w:val="003A4E2C"/>
    <w:rsid w:val="003A5FAD"/>
    <w:rsid w:val="003A605B"/>
    <w:rsid w:val="003A6A0C"/>
    <w:rsid w:val="003A6A86"/>
    <w:rsid w:val="003A6F20"/>
    <w:rsid w:val="003A7786"/>
    <w:rsid w:val="003A7932"/>
    <w:rsid w:val="003A7CBF"/>
    <w:rsid w:val="003B04B5"/>
    <w:rsid w:val="003B0547"/>
    <w:rsid w:val="003B05C3"/>
    <w:rsid w:val="003B0675"/>
    <w:rsid w:val="003B06D9"/>
    <w:rsid w:val="003B08D2"/>
    <w:rsid w:val="003B08FB"/>
    <w:rsid w:val="003B0F0D"/>
    <w:rsid w:val="003B18F0"/>
    <w:rsid w:val="003B1930"/>
    <w:rsid w:val="003B1E6C"/>
    <w:rsid w:val="003B215B"/>
    <w:rsid w:val="003B27F4"/>
    <w:rsid w:val="003B27FC"/>
    <w:rsid w:val="003B2AE3"/>
    <w:rsid w:val="003B339A"/>
    <w:rsid w:val="003B38A8"/>
    <w:rsid w:val="003B3C9C"/>
    <w:rsid w:val="003B3DA8"/>
    <w:rsid w:val="003B3FC0"/>
    <w:rsid w:val="003B41AF"/>
    <w:rsid w:val="003B452A"/>
    <w:rsid w:val="003B4A00"/>
    <w:rsid w:val="003B5AC9"/>
    <w:rsid w:val="003B6EC7"/>
    <w:rsid w:val="003B7641"/>
    <w:rsid w:val="003C0110"/>
    <w:rsid w:val="003C0B7B"/>
    <w:rsid w:val="003C0F6D"/>
    <w:rsid w:val="003C111D"/>
    <w:rsid w:val="003C1F72"/>
    <w:rsid w:val="003C2507"/>
    <w:rsid w:val="003C25E9"/>
    <w:rsid w:val="003C2EDE"/>
    <w:rsid w:val="003C3608"/>
    <w:rsid w:val="003C3B23"/>
    <w:rsid w:val="003C41C3"/>
    <w:rsid w:val="003C49E5"/>
    <w:rsid w:val="003C4F2A"/>
    <w:rsid w:val="003C50A3"/>
    <w:rsid w:val="003C7992"/>
    <w:rsid w:val="003C7A07"/>
    <w:rsid w:val="003D0CD5"/>
    <w:rsid w:val="003D1CEC"/>
    <w:rsid w:val="003D2FF6"/>
    <w:rsid w:val="003D35E8"/>
    <w:rsid w:val="003D36E0"/>
    <w:rsid w:val="003D37D6"/>
    <w:rsid w:val="003D3869"/>
    <w:rsid w:val="003D3C9B"/>
    <w:rsid w:val="003D3FCD"/>
    <w:rsid w:val="003D4470"/>
    <w:rsid w:val="003D4CA4"/>
    <w:rsid w:val="003D621A"/>
    <w:rsid w:val="003D69F0"/>
    <w:rsid w:val="003D7B8C"/>
    <w:rsid w:val="003D7CD5"/>
    <w:rsid w:val="003E0237"/>
    <w:rsid w:val="003E218F"/>
    <w:rsid w:val="003E2227"/>
    <w:rsid w:val="003E26B4"/>
    <w:rsid w:val="003E2DCE"/>
    <w:rsid w:val="003E3279"/>
    <w:rsid w:val="003E392A"/>
    <w:rsid w:val="003E3965"/>
    <w:rsid w:val="003E3C45"/>
    <w:rsid w:val="003E408D"/>
    <w:rsid w:val="003E42B2"/>
    <w:rsid w:val="003E43CC"/>
    <w:rsid w:val="003E43DD"/>
    <w:rsid w:val="003E6020"/>
    <w:rsid w:val="003E6431"/>
    <w:rsid w:val="003E7090"/>
    <w:rsid w:val="003E70C9"/>
    <w:rsid w:val="003E72E5"/>
    <w:rsid w:val="003E7459"/>
    <w:rsid w:val="003E77BC"/>
    <w:rsid w:val="003E7B2B"/>
    <w:rsid w:val="003E7B37"/>
    <w:rsid w:val="003E7EA7"/>
    <w:rsid w:val="003F017B"/>
    <w:rsid w:val="003F024E"/>
    <w:rsid w:val="003F0302"/>
    <w:rsid w:val="003F0920"/>
    <w:rsid w:val="003F095E"/>
    <w:rsid w:val="003F26FE"/>
    <w:rsid w:val="003F35E4"/>
    <w:rsid w:val="003F3956"/>
    <w:rsid w:val="003F3A63"/>
    <w:rsid w:val="003F4609"/>
    <w:rsid w:val="003F485A"/>
    <w:rsid w:val="003F4B6E"/>
    <w:rsid w:val="003F4BC7"/>
    <w:rsid w:val="003F54BB"/>
    <w:rsid w:val="003F54D9"/>
    <w:rsid w:val="003F5512"/>
    <w:rsid w:val="003F5961"/>
    <w:rsid w:val="003F5987"/>
    <w:rsid w:val="003F5F22"/>
    <w:rsid w:val="003F658C"/>
    <w:rsid w:val="003F70EA"/>
    <w:rsid w:val="003F766D"/>
    <w:rsid w:val="003F7EA8"/>
    <w:rsid w:val="00400A1F"/>
    <w:rsid w:val="00400FEC"/>
    <w:rsid w:val="00401105"/>
    <w:rsid w:val="0040178B"/>
    <w:rsid w:val="00402476"/>
    <w:rsid w:val="00402B2D"/>
    <w:rsid w:val="00402D87"/>
    <w:rsid w:val="00402E4D"/>
    <w:rsid w:val="004035DC"/>
    <w:rsid w:val="004037A2"/>
    <w:rsid w:val="004037B4"/>
    <w:rsid w:val="004037C0"/>
    <w:rsid w:val="00403919"/>
    <w:rsid w:val="0040393E"/>
    <w:rsid w:val="00403CB3"/>
    <w:rsid w:val="00404710"/>
    <w:rsid w:val="004048C8"/>
    <w:rsid w:val="0040537C"/>
    <w:rsid w:val="0040589E"/>
    <w:rsid w:val="004058B9"/>
    <w:rsid w:val="00405BC2"/>
    <w:rsid w:val="00406B62"/>
    <w:rsid w:val="00406FE6"/>
    <w:rsid w:val="00406FF0"/>
    <w:rsid w:val="004075DC"/>
    <w:rsid w:val="004102D8"/>
    <w:rsid w:val="004114AD"/>
    <w:rsid w:val="00411674"/>
    <w:rsid w:val="0041191D"/>
    <w:rsid w:val="004119D9"/>
    <w:rsid w:val="00411F56"/>
    <w:rsid w:val="00412259"/>
    <w:rsid w:val="00412CC8"/>
    <w:rsid w:val="004137F0"/>
    <w:rsid w:val="004138E9"/>
    <w:rsid w:val="00413DFC"/>
    <w:rsid w:val="00413E44"/>
    <w:rsid w:val="00413FDF"/>
    <w:rsid w:val="00414A3F"/>
    <w:rsid w:val="0041547E"/>
    <w:rsid w:val="00415B2A"/>
    <w:rsid w:val="00415D23"/>
    <w:rsid w:val="004160F9"/>
    <w:rsid w:val="0041653F"/>
    <w:rsid w:val="00416790"/>
    <w:rsid w:val="00416C44"/>
    <w:rsid w:val="00417F9B"/>
    <w:rsid w:val="004201E2"/>
    <w:rsid w:val="004214F1"/>
    <w:rsid w:val="004221F7"/>
    <w:rsid w:val="0042223E"/>
    <w:rsid w:val="0042272D"/>
    <w:rsid w:val="004228C0"/>
    <w:rsid w:val="00422924"/>
    <w:rsid w:val="00423370"/>
    <w:rsid w:val="004235F6"/>
    <w:rsid w:val="0042391E"/>
    <w:rsid w:val="004240F9"/>
    <w:rsid w:val="004242A1"/>
    <w:rsid w:val="004244A2"/>
    <w:rsid w:val="004247AC"/>
    <w:rsid w:val="00424DDB"/>
    <w:rsid w:val="00425010"/>
    <w:rsid w:val="004250D6"/>
    <w:rsid w:val="00425A39"/>
    <w:rsid w:val="00425BFD"/>
    <w:rsid w:val="0042600B"/>
    <w:rsid w:val="00426334"/>
    <w:rsid w:val="00426C49"/>
    <w:rsid w:val="00426F6A"/>
    <w:rsid w:val="00427321"/>
    <w:rsid w:val="00427326"/>
    <w:rsid w:val="004276BB"/>
    <w:rsid w:val="00427914"/>
    <w:rsid w:val="00427D94"/>
    <w:rsid w:val="004302E8"/>
    <w:rsid w:val="0043105D"/>
    <w:rsid w:val="0043201D"/>
    <w:rsid w:val="004320F8"/>
    <w:rsid w:val="00433342"/>
    <w:rsid w:val="00434AD1"/>
    <w:rsid w:val="00435756"/>
    <w:rsid w:val="00435762"/>
    <w:rsid w:val="00436AAD"/>
    <w:rsid w:val="0043700C"/>
    <w:rsid w:val="004374AE"/>
    <w:rsid w:val="0044070A"/>
    <w:rsid w:val="00440FBC"/>
    <w:rsid w:val="00441417"/>
    <w:rsid w:val="004414DD"/>
    <w:rsid w:val="00441799"/>
    <w:rsid w:val="0044254F"/>
    <w:rsid w:val="00442BC9"/>
    <w:rsid w:val="00443766"/>
    <w:rsid w:val="00444254"/>
    <w:rsid w:val="004451C4"/>
    <w:rsid w:val="00445A3F"/>
    <w:rsid w:val="00445B0D"/>
    <w:rsid w:val="00445D50"/>
    <w:rsid w:val="004465A4"/>
    <w:rsid w:val="00446659"/>
    <w:rsid w:val="00446AF2"/>
    <w:rsid w:val="00446C31"/>
    <w:rsid w:val="00446E28"/>
    <w:rsid w:val="0044796F"/>
    <w:rsid w:val="00447C81"/>
    <w:rsid w:val="00447F93"/>
    <w:rsid w:val="0045011A"/>
    <w:rsid w:val="00450267"/>
    <w:rsid w:val="00450DBB"/>
    <w:rsid w:val="004510E5"/>
    <w:rsid w:val="00451616"/>
    <w:rsid w:val="0045265B"/>
    <w:rsid w:val="00452B3E"/>
    <w:rsid w:val="004544D6"/>
    <w:rsid w:val="00454AA6"/>
    <w:rsid w:val="00455246"/>
    <w:rsid w:val="0045661F"/>
    <w:rsid w:val="0045696D"/>
    <w:rsid w:val="00456DDD"/>
    <w:rsid w:val="004573DA"/>
    <w:rsid w:val="004574B7"/>
    <w:rsid w:val="00457554"/>
    <w:rsid w:val="00457F77"/>
    <w:rsid w:val="0046016F"/>
    <w:rsid w:val="00460194"/>
    <w:rsid w:val="004602BA"/>
    <w:rsid w:val="00460728"/>
    <w:rsid w:val="00460E4F"/>
    <w:rsid w:val="004616D5"/>
    <w:rsid w:val="004623B2"/>
    <w:rsid w:val="00462475"/>
    <w:rsid w:val="0046250A"/>
    <w:rsid w:val="00462A5B"/>
    <w:rsid w:val="00462A74"/>
    <w:rsid w:val="0046307F"/>
    <w:rsid w:val="00464FC7"/>
    <w:rsid w:val="00465273"/>
    <w:rsid w:val="004657A3"/>
    <w:rsid w:val="00465EC7"/>
    <w:rsid w:val="00466207"/>
    <w:rsid w:val="00466D24"/>
    <w:rsid w:val="00466FAF"/>
    <w:rsid w:val="00467902"/>
    <w:rsid w:val="00467AAC"/>
    <w:rsid w:val="00467B10"/>
    <w:rsid w:val="00467B64"/>
    <w:rsid w:val="0047030F"/>
    <w:rsid w:val="004705D0"/>
    <w:rsid w:val="004706CA"/>
    <w:rsid w:val="00470D9A"/>
    <w:rsid w:val="004715A1"/>
    <w:rsid w:val="00471636"/>
    <w:rsid w:val="004716D8"/>
    <w:rsid w:val="00471AF7"/>
    <w:rsid w:val="00472A23"/>
    <w:rsid w:val="00472ED8"/>
    <w:rsid w:val="00473160"/>
    <w:rsid w:val="00473258"/>
    <w:rsid w:val="00474341"/>
    <w:rsid w:val="004745D6"/>
    <w:rsid w:val="00475255"/>
    <w:rsid w:val="00475653"/>
    <w:rsid w:val="00475720"/>
    <w:rsid w:val="004759DA"/>
    <w:rsid w:val="00475AE7"/>
    <w:rsid w:val="00475D1C"/>
    <w:rsid w:val="00475D3E"/>
    <w:rsid w:val="00475EE9"/>
    <w:rsid w:val="004760B8"/>
    <w:rsid w:val="0047692B"/>
    <w:rsid w:val="00477903"/>
    <w:rsid w:val="00477E2A"/>
    <w:rsid w:val="004807F5"/>
    <w:rsid w:val="00480BBB"/>
    <w:rsid w:val="004813B4"/>
    <w:rsid w:val="00481ADA"/>
    <w:rsid w:val="00481B7A"/>
    <w:rsid w:val="00481CB8"/>
    <w:rsid w:val="004823CA"/>
    <w:rsid w:val="00482C11"/>
    <w:rsid w:val="00482C25"/>
    <w:rsid w:val="00482F37"/>
    <w:rsid w:val="00483095"/>
    <w:rsid w:val="004836B3"/>
    <w:rsid w:val="0048383A"/>
    <w:rsid w:val="004839B9"/>
    <w:rsid w:val="00483ACA"/>
    <w:rsid w:val="00483E06"/>
    <w:rsid w:val="00484352"/>
    <w:rsid w:val="004845C4"/>
    <w:rsid w:val="004845CF"/>
    <w:rsid w:val="004850C0"/>
    <w:rsid w:val="004855E0"/>
    <w:rsid w:val="00485DC8"/>
    <w:rsid w:val="004862AA"/>
    <w:rsid w:val="00486A3A"/>
    <w:rsid w:val="00486F07"/>
    <w:rsid w:val="00487C2A"/>
    <w:rsid w:val="00487E9D"/>
    <w:rsid w:val="00490159"/>
    <w:rsid w:val="0049056A"/>
    <w:rsid w:val="00490650"/>
    <w:rsid w:val="0049066B"/>
    <w:rsid w:val="00490A4E"/>
    <w:rsid w:val="00490D8E"/>
    <w:rsid w:val="00491352"/>
    <w:rsid w:val="0049145A"/>
    <w:rsid w:val="004914FF"/>
    <w:rsid w:val="00491F0C"/>
    <w:rsid w:val="0049208F"/>
    <w:rsid w:val="0049251D"/>
    <w:rsid w:val="004927CB"/>
    <w:rsid w:val="0049289A"/>
    <w:rsid w:val="00492FD4"/>
    <w:rsid w:val="00494A00"/>
    <w:rsid w:val="00496229"/>
    <w:rsid w:val="0049637A"/>
    <w:rsid w:val="00496DE3"/>
    <w:rsid w:val="00496E96"/>
    <w:rsid w:val="00496F33"/>
    <w:rsid w:val="004A00C8"/>
    <w:rsid w:val="004A0978"/>
    <w:rsid w:val="004A13F0"/>
    <w:rsid w:val="004A1744"/>
    <w:rsid w:val="004A230E"/>
    <w:rsid w:val="004A267E"/>
    <w:rsid w:val="004A289E"/>
    <w:rsid w:val="004A299F"/>
    <w:rsid w:val="004A2C6D"/>
    <w:rsid w:val="004A406C"/>
    <w:rsid w:val="004A4852"/>
    <w:rsid w:val="004A4DD6"/>
    <w:rsid w:val="004A4FC5"/>
    <w:rsid w:val="004A5B13"/>
    <w:rsid w:val="004A6177"/>
    <w:rsid w:val="004A63AE"/>
    <w:rsid w:val="004A68C9"/>
    <w:rsid w:val="004B082A"/>
    <w:rsid w:val="004B08A1"/>
    <w:rsid w:val="004B0FFD"/>
    <w:rsid w:val="004B1890"/>
    <w:rsid w:val="004B1BDF"/>
    <w:rsid w:val="004B1C5D"/>
    <w:rsid w:val="004B1D33"/>
    <w:rsid w:val="004B1DCC"/>
    <w:rsid w:val="004B27A4"/>
    <w:rsid w:val="004B2819"/>
    <w:rsid w:val="004B298A"/>
    <w:rsid w:val="004B2A66"/>
    <w:rsid w:val="004B3648"/>
    <w:rsid w:val="004B3976"/>
    <w:rsid w:val="004B4324"/>
    <w:rsid w:val="004B4D43"/>
    <w:rsid w:val="004B5F38"/>
    <w:rsid w:val="004B7D87"/>
    <w:rsid w:val="004B7DC7"/>
    <w:rsid w:val="004C0CED"/>
    <w:rsid w:val="004C10A2"/>
    <w:rsid w:val="004C141C"/>
    <w:rsid w:val="004C16BE"/>
    <w:rsid w:val="004C1976"/>
    <w:rsid w:val="004C2294"/>
    <w:rsid w:val="004C28B9"/>
    <w:rsid w:val="004C2DC3"/>
    <w:rsid w:val="004C34B3"/>
    <w:rsid w:val="004C3A0C"/>
    <w:rsid w:val="004C42E3"/>
    <w:rsid w:val="004C459A"/>
    <w:rsid w:val="004C4D58"/>
    <w:rsid w:val="004C50AA"/>
    <w:rsid w:val="004C68A5"/>
    <w:rsid w:val="004C7780"/>
    <w:rsid w:val="004C7901"/>
    <w:rsid w:val="004C7B8A"/>
    <w:rsid w:val="004C7FBD"/>
    <w:rsid w:val="004D1140"/>
    <w:rsid w:val="004D11EF"/>
    <w:rsid w:val="004D1353"/>
    <w:rsid w:val="004D1874"/>
    <w:rsid w:val="004D1B04"/>
    <w:rsid w:val="004D1B1F"/>
    <w:rsid w:val="004D2827"/>
    <w:rsid w:val="004D31ED"/>
    <w:rsid w:val="004D3774"/>
    <w:rsid w:val="004D411D"/>
    <w:rsid w:val="004D4612"/>
    <w:rsid w:val="004D4A83"/>
    <w:rsid w:val="004D4FBB"/>
    <w:rsid w:val="004D5363"/>
    <w:rsid w:val="004D5629"/>
    <w:rsid w:val="004D577A"/>
    <w:rsid w:val="004D57C4"/>
    <w:rsid w:val="004D60F6"/>
    <w:rsid w:val="004D6794"/>
    <w:rsid w:val="004D7BC2"/>
    <w:rsid w:val="004E01A4"/>
    <w:rsid w:val="004E0844"/>
    <w:rsid w:val="004E09E1"/>
    <w:rsid w:val="004E0A3D"/>
    <w:rsid w:val="004E0F4F"/>
    <w:rsid w:val="004E0F76"/>
    <w:rsid w:val="004E1B69"/>
    <w:rsid w:val="004E1FFF"/>
    <w:rsid w:val="004E22B3"/>
    <w:rsid w:val="004E31B6"/>
    <w:rsid w:val="004E3906"/>
    <w:rsid w:val="004E3B22"/>
    <w:rsid w:val="004E3B43"/>
    <w:rsid w:val="004E4110"/>
    <w:rsid w:val="004E4AC6"/>
    <w:rsid w:val="004E4AE8"/>
    <w:rsid w:val="004E4E76"/>
    <w:rsid w:val="004E4F79"/>
    <w:rsid w:val="004E5527"/>
    <w:rsid w:val="004E58F7"/>
    <w:rsid w:val="004E5FFE"/>
    <w:rsid w:val="004E6156"/>
    <w:rsid w:val="004E6775"/>
    <w:rsid w:val="004E67C0"/>
    <w:rsid w:val="004E697B"/>
    <w:rsid w:val="004E6AE3"/>
    <w:rsid w:val="004E7357"/>
    <w:rsid w:val="004E738F"/>
    <w:rsid w:val="004E758B"/>
    <w:rsid w:val="004E7757"/>
    <w:rsid w:val="004E7E06"/>
    <w:rsid w:val="004F0C15"/>
    <w:rsid w:val="004F0CDE"/>
    <w:rsid w:val="004F1110"/>
    <w:rsid w:val="004F11AF"/>
    <w:rsid w:val="004F14DF"/>
    <w:rsid w:val="004F16C9"/>
    <w:rsid w:val="004F174E"/>
    <w:rsid w:val="004F2979"/>
    <w:rsid w:val="004F299D"/>
    <w:rsid w:val="004F3307"/>
    <w:rsid w:val="004F331D"/>
    <w:rsid w:val="004F382C"/>
    <w:rsid w:val="004F3CA7"/>
    <w:rsid w:val="004F48B3"/>
    <w:rsid w:val="004F49F4"/>
    <w:rsid w:val="004F4AC4"/>
    <w:rsid w:val="004F5CAC"/>
    <w:rsid w:val="004F5F11"/>
    <w:rsid w:val="004F6786"/>
    <w:rsid w:val="004F6B9B"/>
    <w:rsid w:val="004F76BB"/>
    <w:rsid w:val="004F7863"/>
    <w:rsid w:val="00501B94"/>
    <w:rsid w:val="00502A8F"/>
    <w:rsid w:val="00502B63"/>
    <w:rsid w:val="00504B53"/>
    <w:rsid w:val="00505030"/>
    <w:rsid w:val="0050573E"/>
    <w:rsid w:val="00505BBE"/>
    <w:rsid w:val="00506BBE"/>
    <w:rsid w:val="00506E68"/>
    <w:rsid w:val="0050713E"/>
    <w:rsid w:val="005076F6"/>
    <w:rsid w:val="00510E40"/>
    <w:rsid w:val="005129D4"/>
    <w:rsid w:val="00512B26"/>
    <w:rsid w:val="00512D16"/>
    <w:rsid w:val="00512F3E"/>
    <w:rsid w:val="0051337B"/>
    <w:rsid w:val="005133FA"/>
    <w:rsid w:val="00513B76"/>
    <w:rsid w:val="00513C8B"/>
    <w:rsid w:val="0051466E"/>
    <w:rsid w:val="00515704"/>
    <w:rsid w:val="005160FD"/>
    <w:rsid w:val="00517498"/>
    <w:rsid w:val="00517B76"/>
    <w:rsid w:val="00517CB5"/>
    <w:rsid w:val="00517E54"/>
    <w:rsid w:val="00520939"/>
    <w:rsid w:val="00520DF7"/>
    <w:rsid w:val="00521580"/>
    <w:rsid w:val="005230F7"/>
    <w:rsid w:val="005238EA"/>
    <w:rsid w:val="00523F7D"/>
    <w:rsid w:val="00523FFF"/>
    <w:rsid w:val="00524613"/>
    <w:rsid w:val="00524B3D"/>
    <w:rsid w:val="005252CD"/>
    <w:rsid w:val="00525533"/>
    <w:rsid w:val="00525EAE"/>
    <w:rsid w:val="005262AE"/>
    <w:rsid w:val="005262C4"/>
    <w:rsid w:val="00526E37"/>
    <w:rsid w:val="005300C3"/>
    <w:rsid w:val="00530BFB"/>
    <w:rsid w:val="00530F5F"/>
    <w:rsid w:val="00531867"/>
    <w:rsid w:val="00532C6F"/>
    <w:rsid w:val="00533018"/>
    <w:rsid w:val="00533092"/>
    <w:rsid w:val="00533741"/>
    <w:rsid w:val="005341B5"/>
    <w:rsid w:val="0053472C"/>
    <w:rsid w:val="00534985"/>
    <w:rsid w:val="00535089"/>
    <w:rsid w:val="00535469"/>
    <w:rsid w:val="00535FB6"/>
    <w:rsid w:val="005375DA"/>
    <w:rsid w:val="005376F7"/>
    <w:rsid w:val="0053777C"/>
    <w:rsid w:val="00537848"/>
    <w:rsid w:val="005400E1"/>
    <w:rsid w:val="00540357"/>
    <w:rsid w:val="00540A11"/>
    <w:rsid w:val="005410F1"/>
    <w:rsid w:val="00541472"/>
    <w:rsid w:val="00541537"/>
    <w:rsid w:val="00542095"/>
    <w:rsid w:val="00542243"/>
    <w:rsid w:val="005424FA"/>
    <w:rsid w:val="00543927"/>
    <w:rsid w:val="00544075"/>
    <w:rsid w:val="00544163"/>
    <w:rsid w:val="005442F3"/>
    <w:rsid w:val="00544BDE"/>
    <w:rsid w:val="005453F5"/>
    <w:rsid w:val="00545C47"/>
    <w:rsid w:val="0054641C"/>
    <w:rsid w:val="0054750A"/>
    <w:rsid w:val="00547545"/>
    <w:rsid w:val="00547D20"/>
    <w:rsid w:val="0055018C"/>
    <w:rsid w:val="0055036F"/>
    <w:rsid w:val="0055048C"/>
    <w:rsid w:val="00551AC6"/>
    <w:rsid w:val="00551B36"/>
    <w:rsid w:val="005538AD"/>
    <w:rsid w:val="00553C51"/>
    <w:rsid w:val="00553DC1"/>
    <w:rsid w:val="0055430F"/>
    <w:rsid w:val="00554F2C"/>
    <w:rsid w:val="00555E09"/>
    <w:rsid w:val="00555F18"/>
    <w:rsid w:val="00557053"/>
    <w:rsid w:val="005572E3"/>
    <w:rsid w:val="005577AE"/>
    <w:rsid w:val="00557873"/>
    <w:rsid w:val="00557880"/>
    <w:rsid w:val="005606E6"/>
    <w:rsid w:val="005608B8"/>
    <w:rsid w:val="005609AA"/>
    <w:rsid w:val="00560D07"/>
    <w:rsid w:val="00561570"/>
    <w:rsid w:val="005615B3"/>
    <w:rsid w:val="00561CB1"/>
    <w:rsid w:val="0056209D"/>
    <w:rsid w:val="005622D0"/>
    <w:rsid w:val="0056253C"/>
    <w:rsid w:val="005625CA"/>
    <w:rsid w:val="0056282E"/>
    <w:rsid w:val="00562F6C"/>
    <w:rsid w:val="00562FEB"/>
    <w:rsid w:val="005630F2"/>
    <w:rsid w:val="0056393C"/>
    <w:rsid w:val="00563D67"/>
    <w:rsid w:val="0056427A"/>
    <w:rsid w:val="00564537"/>
    <w:rsid w:val="00565036"/>
    <w:rsid w:val="0056568C"/>
    <w:rsid w:val="00565785"/>
    <w:rsid w:val="0056584B"/>
    <w:rsid w:val="0056658D"/>
    <w:rsid w:val="00566AAD"/>
    <w:rsid w:val="00566B01"/>
    <w:rsid w:val="00566CB3"/>
    <w:rsid w:val="005679FA"/>
    <w:rsid w:val="00567B09"/>
    <w:rsid w:val="00567E32"/>
    <w:rsid w:val="00567E38"/>
    <w:rsid w:val="005702C6"/>
    <w:rsid w:val="0057039F"/>
    <w:rsid w:val="005710D3"/>
    <w:rsid w:val="0057298B"/>
    <w:rsid w:val="005739D5"/>
    <w:rsid w:val="005742AB"/>
    <w:rsid w:val="005745A7"/>
    <w:rsid w:val="005749CC"/>
    <w:rsid w:val="005752BD"/>
    <w:rsid w:val="00575475"/>
    <w:rsid w:val="00575BE4"/>
    <w:rsid w:val="0057640E"/>
    <w:rsid w:val="00576929"/>
    <w:rsid w:val="0057716E"/>
    <w:rsid w:val="00577756"/>
    <w:rsid w:val="00577CA8"/>
    <w:rsid w:val="00580130"/>
    <w:rsid w:val="00580A47"/>
    <w:rsid w:val="00582330"/>
    <w:rsid w:val="00582F02"/>
    <w:rsid w:val="0058316E"/>
    <w:rsid w:val="005834F1"/>
    <w:rsid w:val="00583FD1"/>
    <w:rsid w:val="0058408E"/>
    <w:rsid w:val="00584EBC"/>
    <w:rsid w:val="00585AC3"/>
    <w:rsid w:val="00585CF0"/>
    <w:rsid w:val="00585DE0"/>
    <w:rsid w:val="005868FC"/>
    <w:rsid w:val="00590009"/>
    <w:rsid w:val="005909ED"/>
    <w:rsid w:val="00590A70"/>
    <w:rsid w:val="005914B7"/>
    <w:rsid w:val="00591962"/>
    <w:rsid w:val="00591F7E"/>
    <w:rsid w:val="00592111"/>
    <w:rsid w:val="00592128"/>
    <w:rsid w:val="00592493"/>
    <w:rsid w:val="00593811"/>
    <w:rsid w:val="005941A5"/>
    <w:rsid w:val="00595D52"/>
    <w:rsid w:val="005963A3"/>
    <w:rsid w:val="005965CC"/>
    <w:rsid w:val="005A0DA7"/>
    <w:rsid w:val="005A12E4"/>
    <w:rsid w:val="005A12E7"/>
    <w:rsid w:val="005A1531"/>
    <w:rsid w:val="005A18A3"/>
    <w:rsid w:val="005A2860"/>
    <w:rsid w:val="005A2CB3"/>
    <w:rsid w:val="005A2D0E"/>
    <w:rsid w:val="005A2DE6"/>
    <w:rsid w:val="005A3482"/>
    <w:rsid w:val="005A3745"/>
    <w:rsid w:val="005A432C"/>
    <w:rsid w:val="005A4690"/>
    <w:rsid w:val="005A5697"/>
    <w:rsid w:val="005A5954"/>
    <w:rsid w:val="005A5A4B"/>
    <w:rsid w:val="005A5C47"/>
    <w:rsid w:val="005A5C84"/>
    <w:rsid w:val="005A5C96"/>
    <w:rsid w:val="005A5CCA"/>
    <w:rsid w:val="005A6151"/>
    <w:rsid w:val="005A6602"/>
    <w:rsid w:val="005A73F9"/>
    <w:rsid w:val="005A7479"/>
    <w:rsid w:val="005A76AF"/>
    <w:rsid w:val="005A77FD"/>
    <w:rsid w:val="005A7AEC"/>
    <w:rsid w:val="005A7BC9"/>
    <w:rsid w:val="005B1057"/>
    <w:rsid w:val="005B121E"/>
    <w:rsid w:val="005B1C7B"/>
    <w:rsid w:val="005B1E17"/>
    <w:rsid w:val="005B2631"/>
    <w:rsid w:val="005B29E8"/>
    <w:rsid w:val="005B2F68"/>
    <w:rsid w:val="005B2FD6"/>
    <w:rsid w:val="005B3098"/>
    <w:rsid w:val="005B3440"/>
    <w:rsid w:val="005B4013"/>
    <w:rsid w:val="005B4501"/>
    <w:rsid w:val="005B4FE6"/>
    <w:rsid w:val="005B6506"/>
    <w:rsid w:val="005B6DF2"/>
    <w:rsid w:val="005B6F45"/>
    <w:rsid w:val="005B6F70"/>
    <w:rsid w:val="005B6FEE"/>
    <w:rsid w:val="005B7F67"/>
    <w:rsid w:val="005C0E70"/>
    <w:rsid w:val="005C0F4E"/>
    <w:rsid w:val="005C1CB9"/>
    <w:rsid w:val="005C249A"/>
    <w:rsid w:val="005C2A9B"/>
    <w:rsid w:val="005C2CE9"/>
    <w:rsid w:val="005C330E"/>
    <w:rsid w:val="005C33B0"/>
    <w:rsid w:val="005C3493"/>
    <w:rsid w:val="005C412D"/>
    <w:rsid w:val="005C4591"/>
    <w:rsid w:val="005C492A"/>
    <w:rsid w:val="005C50CF"/>
    <w:rsid w:val="005C51F0"/>
    <w:rsid w:val="005C52FB"/>
    <w:rsid w:val="005C5641"/>
    <w:rsid w:val="005C62D7"/>
    <w:rsid w:val="005C63E3"/>
    <w:rsid w:val="005C69B0"/>
    <w:rsid w:val="005C69D3"/>
    <w:rsid w:val="005C7200"/>
    <w:rsid w:val="005C7667"/>
    <w:rsid w:val="005C795B"/>
    <w:rsid w:val="005D0709"/>
    <w:rsid w:val="005D0797"/>
    <w:rsid w:val="005D0C9F"/>
    <w:rsid w:val="005D0CA7"/>
    <w:rsid w:val="005D13BF"/>
    <w:rsid w:val="005D1A49"/>
    <w:rsid w:val="005D1B68"/>
    <w:rsid w:val="005D2521"/>
    <w:rsid w:val="005D2623"/>
    <w:rsid w:val="005D3487"/>
    <w:rsid w:val="005D34C8"/>
    <w:rsid w:val="005D379E"/>
    <w:rsid w:val="005D493B"/>
    <w:rsid w:val="005D549F"/>
    <w:rsid w:val="005D5B5D"/>
    <w:rsid w:val="005D5C84"/>
    <w:rsid w:val="005D61E3"/>
    <w:rsid w:val="005D64D5"/>
    <w:rsid w:val="005D666C"/>
    <w:rsid w:val="005D6711"/>
    <w:rsid w:val="005D6BC6"/>
    <w:rsid w:val="005D77D9"/>
    <w:rsid w:val="005E04A6"/>
    <w:rsid w:val="005E0754"/>
    <w:rsid w:val="005E09B5"/>
    <w:rsid w:val="005E0DD4"/>
    <w:rsid w:val="005E13E6"/>
    <w:rsid w:val="005E1FBC"/>
    <w:rsid w:val="005E2147"/>
    <w:rsid w:val="005E238D"/>
    <w:rsid w:val="005E2973"/>
    <w:rsid w:val="005E2B8B"/>
    <w:rsid w:val="005E2C88"/>
    <w:rsid w:val="005E3624"/>
    <w:rsid w:val="005E4272"/>
    <w:rsid w:val="005E56FB"/>
    <w:rsid w:val="005E5DAD"/>
    <w:rsid w:val="005E676A"/>
    <w:rsid w:val="005E6B4A"/>
    <w:rsid w:val="005E786E"/>
    <w:rsid w:val="005F0820"/>
    <w:rsid w:val="005F11BC"/>
    <w:rsid w:val="005F17EB"/>
    <w:rsid w:val="005F1957"/>
    <w:rsid w:val="005F1D3B"/>
    <w:rsid w:val="005F23FC"/>
    <w:rsid w:val="005F37D9"/>
    <w:rsid w:val="005F3D0E"/>
    <w:rsid w:val="005F4129"/>
    <w:rsid w:val="005F4553"/>
    <w:rsid w:val="005F4672"/>
    <w:rsid w:val="005F4AD6"/>
    <w:rsid w:val="005F527D"/>
    <w:rsid w:val="005F572E"/>
    <w:rsid w:val="005F5A1D"/>
    <w:rsid w:val="005F5A5A"/>
    <w:rsid w:val="005F5A9C"/>
    <w:rsid w:val="005F5CB6"/>
    <w:rsid w:val="005F5D7D"/>
    <w:rsid w:val="005F5DDF"/>
    <w:rsid w:val="005F6074"/>
    <w:rsid w:val="005F6909"/>
    <w:rsid w:val="005F6E3F"/>
    <w:rsid w:val="005F6FC7"/>
    <w:rsid w:val="005F7572"/>
    <w:rsid w:val="005F7697"/>
    <w:rsid w:val="005F76A8"/>
    <w:rsid w:val="005F7C20"/>
    <w:rsid w:val="00600074"/>
    <w:rsid w:val="006009BE"/>
    <w:rsid w:val="006009C7"/>
    <w:rsid w:val="00600C42"/>
    <w:rsid w:val="00600C95"/>
    <w:rsid w:val="00602509"/>
    <w:rsid w:val="00602B57"/>
    <w:rsid w:val="00602C18"/>
    <w:rsid w:val="006034F7"/>
    <w:rsid w:val="00603527"/>
    <w:rsid w:val="0060378C"/>
    <w:rsid w:val="00603814"/>
    <w:rsid w:val="00603935"/>
    <w:rsid w:val="00605EF8"/>
    <w:rsid w:val="00606112"/>
    <w:rsid w:val="0060632D"/>
    <w:rsid w:val="00606670"/>
    <w:rsid w:val="006068F5"/>
    <w:rsid w:val="00607143"/>
    <w:rsid w:val="0060776D"/>
    <w:rsid w:val="00610742"/>
    <w:rsid w:val="00610C48"/>
    <w:rsid w:val="00611558"/>
    <w:rsid w:val="006118B6"/>
    <w:rsid w:val="00611EF9"/>
    <w:rsid w:val="006127A3"/>
    <w:rsid w:val="00612910"/>
    <w:rsid w:val="00612D30"/>
    <w:rsid w:val="00612E95"/>
    <w:rsid w:val="00613626"/>
    <w:rsid w:val="00613A3E"/>
    <w:rsid w:val="00613EC6"/>
    <w:rsid w:val="006141E8"/>
    <w:rsid w:val="0061497E"/>
    <w:rsid w:val="0061501C"/>
    <w:rsid w:val="0061542D"/>
    <w:rsid w:val="00615528"/>
    <w:rsid w:val="006157EC"/>
    <w:rsid w:val="006162CD"/>
    <w:rsid w:val="006165ED"/>
    <w:rsid w:val="00616FFA"/>
    <w:rsid w:val="00617092"/>
    <w:rsid w:val="006173A7"/>
    <w:rsid w:val="006173C7"/>
    <w:rsid w:val="006177BF"/>
    <w:rsid w:val="00617CBA"/>
    <w:rsid w:val="006204D0"/>
    <w:rsid w:val="00620D54"/>
    <w:rsid w:val="00620DB5"/>
    <w:rsid w:val="006211BB"/>
    <w:rsid w:val="006212C9"/>
    <w:rsid w:val="0062226B"/>
    <w:rsid w:val="00622F3C"/>
    <w:rsid w:val="00622FF9"/>
    <w:rsid w:val="00623AD8"/>
    <w:rsid w:val="00623DD7"/>
    <w:rsid w:val="00623EA1"/>
    <w:rsid w:val="0062415E"/>
    <w:rsid w:val="00624523"/>
    <w:rsid w:val="006257ED"/>
    <w:rsid w:val="00625C4B"/>
    <w:rsid w:val="00625C55"/>
    <w:rsid w:val="00625D5F"/>
    <w:rsid w:val="00626675"/>
    <w:rsid w:val="00626A71"/>
    <w:rsid w:val="00626BCF"/>
    <w:rsid w:val="00626CDB"/>
    <w:rsid w:val="00627529"/>
    <w:rsid w:val="00627A03"/>
    <w:rsid w:val="00627EE6"/>
    <w:rsid w:val="00630969"/>
    <w:rsid w:val="0063096C"/>
    <w:rsid w:val="00630F78"/>
    <w:rsid w:val="00631850"/>
    <w:rsid w:val="0063251A"/>
    <w:rsid w:val="00632974"/>
    <w:rsid w:val="00633759"/>
    <w:rsid w:val="00633996"/>
    <w:rsid w:val="00634395"/>
    <w:rsid w:val="00635624"/>
    <w:rsid w:val="00636622"/>
    <w:rsid w:val="006378D2"/>
    <w:rsid w:val="0064057C"/>
    <w:rsid w:val="00640DF3"/>
    <w:rsid w:val="006419B7"/>
    <w:rsid w:val="00641DE0"/>
    <w:rsid w:val="00642A78"/>
    <w:rsid w:val="006430EE"/>
    <w:rsid w:val="006431BD"/>
    <w:rsid w:val="0064360A"/>
    <w:rsid w:val="00643CA9"/>
    <w:rsid w:val="00643F41"/>
    <w:rsid w:val="00644126"/>
    <w:rsid w:val="00644865"/>
    <w:rsid w:val="00644FEA"/>
    <w:rsid w:val="006456B8"/>
    <w:rsid w:val="00645FA8"/>
    <w:rsid w:val="00646115"/>
    <w:rsid w:val="00646768"/>
    <w:rsid w:val="00647C42"/>
    <w:rsid w:val="0065042B"/>
    <w:rsid w:val="0065104A"/>
    <w:rsid w:val="006514C7"/>
    <w:rsid w:val="00651DCF"/>
    <w:rsid w:val="00652C1B"/>
    <w:rsid w:val="006531FC"/>
    <w:rsid w:val="006536A3"/>
    <w:rsid w:val="00653713"/>
    <w:rsid w:val="00653835"/>
    <w:rsid w:val="00654038"/>
    <w:rsid w:val="0065484D"/>
    <w:rsid w:val="00654E8E"/>
    <w:rsid w:val="00654FB4"/>
    <w:rsid w:val="00655186"/>
    <w:rsid w:val="0065558D"/>
    <w:rsid w:val="0065565B"/>
    <w:rsid w:val="00656973"/>
    <w:rsid w:val="00656C0A"/>
    <w:rsid w:val="00657A9C"/>
    <w:rsid w:val="00657CAD"/>
    <w:rsid w:val="00660962"/>
    <w:rsid w:val="006609F4"/>
    <w:rsid w:val="00661310"/>
    <w:rsid w:val="006613FA"/>
    <w:rsid w:val="00661E3D"/>
    <w:rsid w:val="0066201D"/>
    <w:rsid w:val="00662618"/>
    <w:rsid w:val="00662B47"/>
    <w:rsid w:val="00662EDF"/>
    <w:rsid w:val="00663424"/>
    <w:rsid w:val="00663597"/>
    <w:rsid w:val="00663613"/>
    <w:rsid w:val="00664544"/>
    <w:rsid w:val="00664769"/>
    <w:rsid w:val="006647BE"/>
    <w:rsid w:val="00664A05"/>
    <w:rsid w:val="00664BF4"/>
    <w:rsid w:val="00664DCC"/>
    <w:rsid w:val="00664F1D"/>
    <w:rsid w:val="00664F46"/>
    <w:rsid w:val="00665076"/>
    <w:rsid w:val="006652C2"/>
    <w:rsid w:val="0066577D"/>
    <w:rsid w:val="00665FA7"/>
    <w:rsid w:val="00666DAB"/>
    <w:rsid w:val="00666F16"/>
    <w:rsid w:val="006671C0"/>
    <w:rsid w:val="00667CC0"/>
    <w:rsid w:val="006701C7"/>
    <w:rsid w:val="006704BC"/>
    <w:rsid w:val="006707B7"/>
    <w:rsid w:val="00670D42"/>
    <w:rsid w:val="006710A7"/>
    <w:rsid w:val="00671262"/>
    <w:rsid w:val="00671295"/>
    <w:rsid w:val="006713E3"/>
    <w:rsid w:val="00671481"/>
    <w:rsid w:val="00671574"/>
    <w:rsid w:val="006720A7"/>
    <w:rsid w:val="00672C90"/>
    <w:rsid w:val="006731D5"/>
    <w:rsid w:val="0067487F"/>
    <w:rsid w:val="00674A06"/>
    <w:rsid w:val="00674DA0"/>
    <w:rsid w:val="0067536A"/>
    <w:rsid w:val="0067581F"/>
    <w:rsid w:val="00675DEF"/>
    <w:rsid w:val="00676781"/>
    <w:rsid w:val="00677CF6"/>
    <w:rsid w:val="006804B8"/>
    <w:rsid w:val="00680B18"/>
    <w:rsid w:val="00680B2C"/>
    <w:rsid w:val="00680F53"/>
    <w:rsid w:val="00681360"/>
    <w:rsid w:val="00681AA1"/>
    <w:rsid w:val="0068203F"/>
    <w:rsid w:val="00682395"/>
    <w:rsid w:val="006829E9"/>
    <w:rsid w:val="00683604"/>
    <w:rsid w:val="00683DEA"/>
    <w:rsid w:val="00683FB3"/>
    <w:rsid w:val="00684663"/>
    <w:rsid w:val="0068484C"/>
    <w:rsid w:val="00685E9D"/>
    <w:rsid w:val="00685EA2"/>
    <w:rsid w:val="00686401"/>
    <w:rsid w:val="0068648C"/>
    <w:rsid w:val="006872A6"/>
    <w:rsid w:val="006877B5"/>
    <w:rsid w:val="00687955"/>
    <w:rsid w:val="00687A4B"/>
    <w:rsid w:val="00687B13"/>
    <w:rsid w:val="00687C93"/>
    <w:rsid w:val="00687E77"/>
    <w:rsid w:val="006900A1"/>
    <w:rsid w:val="00691F83"/>
    <w:rsid w:val="00692DD7"/>
    <w:rsid w:val="00692E22"/>
    <w:rsid w:val="00694043"/>
    <w:rsid w:val="00696ADB"/>
    <w:rsid w:val="006979F7"/>
    <w:rsid w:val="006A0D71"/>
    <w:rsid w:val="006A1681"/>
    <w:rsid w:val="006A2BB9"/>
    <w:rsid w:val="006A2EF3"/>
    <w:rsid w:val="006A3793"/>
    <w:rsid w:val="006A3810"/>
    <w:rsid w:val="006A386F"/>
    <w:rsid w:val="006A3B24"/>
    <w:rsid w:val="006A3DD3"/>
    <w:rsid w:val="006A4168"/>
    <w:rsid w:val="006A42AF"/>
    <w:rsid w:val="006A43B3"/>
    <w:rsid w:val="006A4DB7"/>
    <w:rsid w:val="006A4DCE"/>
    <w:rsid w:val="006A59EA"/>
    <w:rsid w:val="006A5E07"/>
    <w:rsid w:val="006A6148"/>
    <w:rsid w:val="006A66FD"/>
    <w:rsid w:val="006A6759"/>
    <w:rsid w:val="006A68D3"/>
    <w:rsid w:val="006A6A76"/>
    <w:rsid w:val="006A71ED"/>
    <w:rsid w:val="006A7731"/>
    <w:rsid w:val="006A7B64"/>
    <w:rsid w:val="006B0092"/>
    <w:rsid w:val="006B0B80"/>
    <w:rsid w:val="006B13C8"/>
    <w:rsid w:val="006B1609"/>
    <w:rsid w:val="006B1AEE"/>
    <w:rsid w:val="006B1CA6"/>
    <w:rsid w:val="006B23AC"/>
    <w:rsid w:val="006B2DDB"/>
    <w:rsid w:val="006B3777"/>
    <w:rsid w:val="006B3E45"/>
    <w:rsid w:val="006B498A"/>
    <w:rsid w:val="006B4995"/>
    <w:rsid w:val="006B4BAF"/>
    <w:rsid w:val="006B550C"/>
    <w:rsid w:val="006B55DD"/>
    <w:rsid w:val="006B5860"/>
    <w:rsid w:val="006B5946"/>
    <w:rsid w:val="006B5965"/>
    <w:rsid w:val="006B5F41"/>
    <w:rsid w:val="006B5F94"/>
    <w:rsid w:val="006B63F5"/>
    <w:rsid w:val="006B6666"/>
    <w:rsid w:val="006B7289"/>
    <w:rsid w:val="006C0C50"/>
    <w:rsid w:val="006C244E"/>
    <w:rsid w:val="006C2993"/>
    <w:rsid w:val="006C3320"/>
    <w:rsid w:val="006C3578"/>
    <w:rsid w:val="006C413A"/>
    <w:rsid w:val="006C43B7"/>
    <w:rsid w:val="006C4605"/>
    <w:rsid w:val="006C4994"/>
    <w:rsid w:val="006C4A28"/>
    <w:rsid w:val="006C4BD2"/>
    <w:rsid w:val="006C4DFB"/>
    <w:rsid w:val="006C5497"/>
    <w:rsid w:val="006C6242"/>
    <w:rsid w:val="006C6983"/>
    <w:rsid w:val="006C6B57"/>
    <w:rsid w:val="006C6D66"/>
    <w:rsid w:val="006D0140"/>
    <w:rsid w:val="006D0455"/>
    <w:rsid w:val="006D07D5"/>
    <w:rsid w:val="006D1157"/>
    <w:rsid w:val="006D140E"/>
    <w:rsid w:val="006D203B"/>
    <w:rsid w:val="006D2F6E"/>
    <w:rsid w:val="006D3291"/>
    <w:rsid w:val="006D3876"/>
    <w:rsid w:val="006D3B21"/>
    <w:rsid w:val="006D3D91"/>
    <w:rsid w:val="006D3F1A"/>
    <w:rsid w:val="006D4B18"/>
    <w:rsid w:val="006D4E0C"/>
    <w:rsid w:val="006D4F37"/>
    <w:rsid w:val="006D4FD2"/>
    <w:rsid w:val="006D5AD3"/>
    <w:rsid w:val="006D5F34"/>
    <w:rsid w:val="006D732E"/>
    <w:rsid w:val="006D74FD"/>
    <w:rsid w:val="006D77F2"/>
    <w:rsid w:val="006E0597"/>
    <w:rsid w:val="006E080E"/>
    <w:rsid w:val="006E1219"/>
    <w:rsid w:val="006E145C"/>
    <w:rsid w:val="006E1BC1"/>
    <w:rsid w:val="006E2154"/>
    <w:rsid w:val="006E22AA"/>
    <w:rsid w:val="006E233D"/>
    <w:rsid w:val="006E2615"/>
    <w:rsid w:val="006E2760"/>
    <w:rsid w:val="006E2EDC"/>
    <w:rsid w:val="006E3169"/>
    <w:rsid w:val="006E40B3"/>
    <w:rsid w:val="006E46BB"/>
    <w:rsid w:val="006E4A05"/>
    <w:rsid w:val="006E4B25"/>
    <w:rsid w:val="006E50DF"/>
    <w:rsid w:val="006E5391"/>
    <w:rsid w:val="006E543F"/>
    <w:rsid w:val="006E58CC"/>
    <w:rsid w:val="006E692A"/>
    <w:rsid w:val="006E7F88"/>
    <w:rsid w:val="006F02A2"/>
    <w:rsid w:val="006F116E"/>
    <w:rsid w:val="006F1B44"/>
    <w:rsid w:val="006F1EE9"/>
    <w:rsid w:val="006F1FDD"/>
    <w:rsid w:val="006F3EAB"/>
    <w:rsid w:val="006F4E67"/>
    <w:rsid w:val="006F65E1"/>
    <w:rsid w:val="006F6AF0"/>
    <w:rsid w:val="006F7668"/>
    <w:rsid w:val="006F7712"/>
    <w:rsid w:val="006F7957"/>
    <w:rsid w:val="006F7A24"/>
    <w:rsid w:val="006F7BA5"/>
    <w:rsid w:val="006F7DAB"/>
    <w:rsid w:val="00700FEE"/>
    <w:rsid w:val="00701895"/>
    <w:rsid w:val="007019E9"/>
    <w:rsid w:val="00701D1F"/>
    <w:rsid w:val="00702010"/>
    <w:rsid w:val="00702263"/>
    <w:rsid w:val="007023B9"/>
    <w:rsid w:val="0070249D"/>
    <w:rsid w:val="0070254C"/>
    <w:rsid w:val="00702713"/>
    <w:rsid w:val="0070295F"/>
    <w:rsid w:val="00702AF3"/>
    <w:rsid w:val="00703249"/>
    <w:rsid w:val="0070405E"/>
    <w:rsid w:val="007046A8"/>
    <w:rsid w:val="00705484"/>
    <w:rsid w:val="00706052"/>
    <w:rsid w:val="00706787"/>
    <w:rsid w:val="007067A5"/>
    <w:rsid w:val="007077E2"/>
    <w:rsid w:val="00707BAE"/>
    <w:rsid w:val="007103C7"/>
    <w:rsid w:val="0071045A"/>
    <w:rsid w:val="007110C8"/>
    <w:rsid w:val="007127FA"/>
    <w:rsid w:val="007128A0"/>
    <w:rsid w:val="00712A3E"/>
    <w:rsid w:val="00712C32"/>
    <w:rsid w:val="00712D3E"/>
    <w:rsid w:val="00712F9A"/>
    <w:rsid w:val="00713D91"/>
    <w:rsid w:val="00714175"/>
    <w:rsid w:val="00714817"/>
    <w:rsid w:val="0071511E"/>
    <w:rsid w:val="007157AA"/>
    <w:rsid w:val="00716196"/>
    <w:rsid w:val="0071670C"/>
    <w:rsid w:val="00716BB8"/>
    <w:rsid w:val="00717425"/>
    <w:rsid w:val="007178FE"/>
    <w:rsid w:val="007179BC"/>
    <w:rsid w:val="0072028D"/>
    <w:rsid w:val="00720471"/>
    <w:rsid w:val="0072131E"/>
    <w:rsid w:val="00721FAD"/>
    <w:rsid w:val="0072332D"/>
    <w:rsid w:val="0072335C"/>
    <w:rsid w:val="00724239"/>
    <w:rsid w:val="00724589"/>
    <w:rsid w:val="00724F95"/>
    <w:rsid w:val="0072507F"/>
    <w:rsid w:val="00725B5E"/>
    <w:rsid w:val="00725B92"/>
    <w:rsid w:val="00726B8A"/>
    <w:rsid w:val="00727425"/>
    <w:rsid w:val="00727C27"/>
    <w:rsid w:val="00727CF6"/>
    <w:rsid w:val="00727D6C"/>
    <w:rsid w:val="0073007F"/>
    <w:rsid w:val="007300E0"/>
    <w:rsid w:val="00731E9C"/>
    <w:rsid w:val="00732467"/>
    <w:rsid w:val="007328E7"/>
    <w:rsid w:val="00732C8E"/>
    <w:rsid w:val="00733755"/>
    <w:rsid w:val="0073393E"/>
    <w:rsid w:val="00733A8D"/>
    <w:rsid w:val="00733CA4"/>
    <w:rsid w:val="0073441A"/>
    <w:rsid w:val="00734A1D"/>
    <w:rsid w:val="00735207"/>
    <w:rsid w:val="00735949"/>
    <w:rsid w:val="00735F48"/>
    <w:rsid w:val="00736331"/>
    <w:rsid w:val="00736965"/>
    <w:rsid w:val="00736D5D"/>
    <w:rsid w:val="00737D58"/>
    <w:rsid w:val="0074040D"/>
    <w:rsid w:val="0074131F"/>
    <w:rsid w:val="007422CB"/>
    <w:rsid w:val="00742CF8"/>
    <w:rsid w:val="007432BD"/>
    <w:rsid w:val="00743875"/>
    <w:rsid w:val="00743879"/>
    <w:rsid w:val="00743C45"/>
    <w:rsid w:val="007445B5"/>
    <w:rsid w:val="007446B5"/>
    <w:rsid w:val="0074482A"/>
    <w:rsid w:val="007449D7"/>
    <w:rsid w:val="00745AA0"/>
    <w:rsid w:val="00745C32"/>
    <w:rsid w:val="00747E00"/>
    <w:rsid w:val="00747F42"/>
    <w:rsid w:val="007502B3"/>
    <w:rsid w:val="00750650"/>
    <w:rsid w:val="007509DD"/>
    <w:rsid w:val="00750A87"/>
    <w:rsid w:val="00750FA4"/>
    <w:rsid w:val="0075102E"/>
    <w:rsid w:val="00751189"/>
    <w:rsid w:val="00751631"/>
    <w:rsid w:val="007521BB"/>
    <w:rsid w:val="00752E9F"/>
    <w:rsid w:val="00753896"/>
    <w:rsid w:val="00753D28"/>
    <w:rsid w:val="007546E1"/>
    <w:rsid w:val="0075478A"/>
    <w:rsid w:val="007549D1"/>
    <w:rsid w:val="007550C7"/>
    <w:rsid w:val="007552D9"/>
    <w:rsid w:val="0075556C"/>
    <w:rsid w:val="0075564F"/>
    <w:rsid w:val="00755F6C"/>
    <w:rsid w:val="00756ECD"/>
    <w:rsid w:val="00757E0B"/>
    <w:rsid w:val="00760314"/>
    <w:rsid w:val="00760449"/>
    <w:rsid w:val="007604B0"/>
    <w:rsid w:val="00760770"/>
    <w:rsid w:val="00760DA3"/>
    <w:rsid w:val="00762A5D"/>
    <w:rsid w:val="007638D0"/>
    <w:rsid w:val="00763E86"/>
    <w:rsid w:val="007641F3"/>
    <w:rsid w:val="00764283"/>
    <w:rsid w:val="00764BA2"/>
    <w:rsid w:val="00765861"/>
    <w:rsid w:val="0076648C"/>
    <w:rsid w:val="00766FA6"/>
    <w:rsid w:val="00766FDD"/>
    <w:rsid w:val="0076773C"/>
    <w:rsid w:val="00767EB4"/>
    <w:rsid w:val="007716AB"/>
    <w:rsid w:val="00771F1F"/>
    <w:rsid w:val="00771FA0"/>
    <w:rsid w:val="00772A28"/>
    <w:rsid w:val="00772B29"/>
    <w:rsid w:val="00773487"/>
    <w:rsid w:val="007741B0"/>
    <w:rsid w:val="00774840"/>
    <w:rsid w:val="007750F7"/>
    <w:rsid w:val="007757FA"/>
    <w:rsid w:val="00775FD0"/>
    <w:rsid w:val="00776149"/>
    <w:rsid w:val="0077619D"/>
    <w:rsid w:val="0077627E"/>
    <w:rsid w:val="007763C7"/>
    <w:rsid w:val="00776746"/>
    <w:rsid w:val="00776DD0"/>
    <w:rsid w:val="00776F69"/>
    <w:rsid w:val="00777227"/>
    <w:rsid w:val="00777DD7"/>
    <w:rsid w:val="00777F7C"/>
    <w:rsid w:val="00780E81"/>
    <w:rsid w:val="00781597"/>
    <w:rsid w:val="00781A3D"/>
    <w:rsid w:val="007823D5"/>
    <w:rsid w:val="00782AF5"/>
    <w:rsid w:val="0078316C"/>
    <w:rsid w:val="00783E1C"/>
    <w:rsid w:val="0078431E"/>
    <w:rsid w:val="00784673"/>
    <w:rsid w:val="00784693"/>
    <w:rsid w:val="007847F5"/>
    <w:rsid w:val="00785211"/>
    <w:rsid w:val="00785C99"/>
    <w:rsid w:val="00786F13"/>
    <w:rsid w:val="0078703F"/>
    <w:rsid w:val="0078719D"/>
    <w:rsid w:val="007876D8"/>
    <w:rsid w:val="0078775F"/>
    <w:rsid w:val="00787EE2"/>
    <w:rsid w:val="007909FD"/>
    <w:rsid w:val="00790AA5"/>
    <w:rsid w:val="007911A2"/>
    <w:rsid w:val="00792137"/>
    <w:rsid w:val="00792C78"/>
    <w:rsid w:val="00793A09"/>
    <w:rsid w:val="00794C29"/>
    <w:rsid w:val="00794F0C"/>
    <w:rsid w:val="0079603C"/>
    <w:rsid w:val="00796175"/>
    <w:rsid w:val="007963DE"/>
    <w:rsid w:val="007969F9"/>
    <w:rsid w:val="007974C4"/>
    <w:rsid w:val="007976C8"/>
    <w:rsid w:val="00797855"/>
    <w:rsid w:val="00797CC8"/>
    <w:rsid w:val="007A12A7"/>
    <w:rsid w:val="007A1A19"/>
    <w:rsid w:val="007A1A7B"/>
    <w:rsid w:val="007A1F5C"/>
    <w:rsid w:val="007A25BC"/>
    <w:rsid w:val="007A2BB8"/>
    <w:rsid w:val="007A2E83"/>
    <w:rsid w:val="007A3350"/>
    <w:rsid w:val="007A36A8"/>
    <w:rsid w:val="007A3779"/>
    <w:rsid w:val="007A3F39"/>
    <w:rsid w:val="007A448F"/>
    <w:rsid w:val="007A48C9"/>
    <w:rsid w:val="007A50C5"/>
    <w:rsid w:val="007A5D5D"/>
    <w:rsid w:val="007A5DE6"/>
    <w:rsid w:val="007A5F02"/>
    <w:rsid w:val="007A6319"/>
    <w:rsid w:val="007A6A08"/>
    <w:rsid w:val="007A6AD4"/>
    <w:rsid w:val="007A7ED1"/>
    <w:rsid w:val="007B03B5"/>
    <w:rsid w:val="007B0433"/>
    <w:rsid w:val="007B13A8"/>
    <w:rsid w:val="007B178E"/>
    <w:rsid w:val="007B25F1"/>
    <w:rsid w:val="007B2E56"/>
    <w:rsid w:val="007B2EB2"/>
    <w:rsid w:val="007B4613"/>
    <w:rsid w:val="007B4629"/>
    <w:rsid w:val="007B5D98"/>
    <w:rsid w:val="007B670E"/>
    <w:rsid w:val="007B6AE1"/>
    <w:rsid w:val="007B6BB8"/>
    <w:rsid w:val="007B6DCD"/>
    <w:rsid w:val="007B6EA3"/>
    <w:rsid w:val="007B7061"/>
    <w:rsid w:val="007C0214"/>
    <w:rsid w:val="007C0804"/>
    <w:rsid w:val="007C0D5C"/>
    <w:rsid w:val="007C161B"/>
    <w:rsid w:val="007C1FBC"/>
    <w:rsid w:val="007C2645"/>
    <w:rsid w:val="007C2870"/>
    <w:rsid w:val="007C2895"/>
    <w:rsid w:val="007C2DD8"/>
    <w:rsid w:val="007C2F35"/>
    <w:rsid w:val="007C32D1"/>
    <w:rsid w:val="007C430B"/>
    <w:rsid w:val="007C444A"/>
    <w:rsid w:val="007C47DD"/>
    <w:rsid w:val="007C59D5"/>
    <w:rsid w:val="007C59F9"/>
    <w:rsid w:val="007C5B83"/>
    <w:rsid w:val="007C5D30"/>
    <w:rsid w:val="007C67FD"/>
    <w:rsid w:val="007C6D2C"/>
    <w:rsid w:val="007C7190"/>
    <w:rsid w:val="007C77EC"/>
    <w:rsid w:val="007C7AD5"/>
    <w:rsid w:val="007D0FCE"/>
    <w:rsid w:val="007D13F5"/>
    <w:rsid w:val="007D1F85"/>
    <w:rsid w:val="007D2948"/>
    <w:rsid w:val="007D325D"/>
    <w:rsid w:val="007D33BD"/>
    <w:rsid w:val="007D3E42"/>
    <w:rsid w:val="007D46A2"/>
    <w:rsid w:val="007D4CD2"/>
    <w:rsid w:val="007D5B13"/>
    <w:rsid w:val="007D63E1"/>
    <w:rsid w:val="007D6606"/>
    <w:rsid w:val="007D7268"/>
    <w:rsid w:val="007D758B"/>
    <w:rsid w:val="007D7BA5"/>
    <w:rsid w:val="007D7BD0"/>
    <w:rsid w:val="007D7F65"/>
    <w:rsid w:val="007E040D"/>
    <w:rsid w:val="007E091D"/>
    <w:rsid w:val="007E120D"/>
    <w:rsid w:val="007E168A"/>
    <w:rsid w:val="007E1A4E"/>
    <w:rsid w:val="007E1B02"/>
    <w:rsid w:val="007E1EC5"/>
    <w:rsid w:val="007E217A"/>
    <w:rsid w:val="007E2736"/>
    <w:rsid w:val="007E2B72"/>
    <w:rsid w:val="007E2F66"/>
    <w:rsid w:val="007E313F"/>
    <w:rsid w:val="007E3E41"/>
    <w:rsid w:val="007E421F"/>
    <w:rsid w:val="007E46C5"/>
    <w:rsid w:val="007E50F5"/>
    <w:rsid w:val="007E51A0"/>
    <w:rsid w:val="007E54F6"/>
    <w:rsid w:val="007E554F"/>
    <w:rsid w:val="007E5A56"/>
    <w:rsid w:val="007E5ABB"/>
    <w:rsid w:val="007E5C37"/>
    <w:rsid w:val="007E5E08"/>
    <w:rsid w:val="007E66C1"/>
    <w:rsid w:val="007E68F2"/>
    <w:rsid w:val="007E75BE"/>
    <w:rsid w:val="007F0163"/>
    <w:rsid w:val="007F0582"/>
    <w:rsid w:val="007F1B23"/>
    <w:rsid w:val="007F1D3D"/>
    <w:rsid w:val="007F1DA5"/>
    <w:rsid w:val="007F24A6"/>
    <w:rsid w:val="007F24D5"/>
    <w:rsid w:val="007F25D4"/>
    <w:rsid w:val="007F2C2A"/>
    <w:rsid w:val="007F2CA5"/>
    <w:rsid w:val="007F3216"/>
    <w:rsid w:val="007F3371"/>
    <w:rsid w:val="007F3FB8"/>
    <w:rsid w:val="007F4B64"/>
    <w:rsid w:val="007F4E21"/>
    <w:rsid w:val="007F58B9"/>
    <w:rsid w:val="007F63F3"/>
    <w:rsid w:val="007F6432"/>
    <w:rsid w:val="007F6D7F"/>
    <w:rsid w:val="007F6EEF"/>
    <w:rsid w:val="007F7B4B"/>
    <w:rsid w:val="007F7C1D"/>
    <w:rsid w:val="00800FD4"/>
    <w:rsid w:val="00801ABB"/>
    <w:rsid w:val="00801C20"/>
    <w:rsid w:val="0080235D"/>
    <w:rsid w:val="00802594"/>
    <w:rsid w:val="008030CA"/>
    <w:rsid w:val="008047DF"/>
    <w:rsid w:val="008050C1"/>
    <w:rsid w:val="00805948"/>
    <w:rsid w:val="00806D3A"/>
    <w:rsid w:val="00806E3B"/>
    <w:rsid w:val="00807F67"/>
    <w:rsid w:val="00810FDB"/>
    <w:rsid w:val="00811470"/>
    <w:rsid w:val="00811633"/>
    <w:rsid w:val="008124C0"/>
    <w:rsid w:val="00812575"/>
    <w:rsid w:val="00812F58"/>
    <w:rsid w:val="00813E0B"/>
    <w:rsid w:val="008142E1"/>
    <w:rsid w:val="00815035"/>
    <w:rsid w:val="00815314"/>
    <w:rsid w:val="00816C4E"/>
    <w:rsid w:val="00816C72"/>
    <w:rsid w:val="0081712B"/>
    <w:rsid w:val="008177C6"/>
    <w:rsid w:val="00817BC0"/>
    <w:rsid w:val="00820B99"/>
    <w:rsid w:val="00820DCA"/>
    <w:rsid w:val="00821B02"/>
    <w:rsid w:val="008225DC"/>
    <w:rsid w:val="0082295A"/>
    <w:rsid w:val="00823081"/>
    <w:rsid w:val="00823427"/>
    <w:rsid w:val="008237CE"/>
    <w:rsid w:val="0082405E"/>
    <w:rsid w:val="008242BD"/>
    <w:rsid w:val="00824403"/>
    <w:rsid w:val="00824E09"/>
    <w:rsid w:val="00825137"/>
    <w:rsid w:val="008252DD"/>
    <w:rsid w:val="00825910"/>
    <w:rsid w:val="00826378"/>
    <w:rsid w:val="008264B9"/>
    <w:rsid w:val="008269B3"/>
    <w:rsid w:val="00826BAD"/>
    <w:rsid w:val="008270D1"/>
    <w:rsid w:val="008271B6"/>
    <w:rsid w:val="00827264"/>
    <w:rsid w:val="0083084C"/>
    <w:rsid w:val="008309F2"/>
    <w:rsid w:val="00830CBE"/>
    <w:rsid w:val="00831952"/>
    <w:rsid w:val="00831969"/>
    <w:rsid w:val="00831C71"/>
    <w:rsid w:val="00831D8C"/>
    <w:rsid w:val="00832161"/>
    <w:rsid w:val="00833340"/>
    <w:rsid w:val="00833364"/>
    <w:rsid w:val="0083390F"/>
    <w:rsid w:val="00833C37"/>
    <w:rsid w:val="00834A71"/>
    <w:rsid w:val="00835500"/>
    <w:rsid w:val="00835ADF"/>
    <w:rsid w:val="00836327"/>
    <w:rsid w:val="008366FE"/>
    <w:rsid w:val="00840282"/>
    <w:rsid w:val="00840AB8"/>
    <w:rsid w:val="00840B75"/>
    <w:rsid w:val="00840C9C"/>
    <w:rsid w:val="00842408"/>
    <w:rsid w:val="008429C8"/>
    <w:rsid w:val="00842A0E"/>
    <w:rsid w:val="00844230"/>
    <w:rsid w:val="00844307"/>
    <w:rsid w:val="00844372"/>
    <w:rsid w:val="00844657"/>
    <w:rsid w:val="008450B3"/>
    <w:rsid w:val="00845606"/>
    <w:rsid w:val="008468AF"/>
    <w:rsid w:val="008470C1"/>
    <w:rsid w:val="008479B8"/>
    <w:rsid w:val="00847B9A"/>
    <w:rsid w:val="00847D22"/>
    <w:rsid w:val="00850582"/>
    <w:rsid w:val="00850CDE"/>
    <w:rsid w:val="00850ECC"/>
    <w:rsid w:val="00851D9E"/>
    <w:rsid w:val="00852123"/>
    <w:rsid w:val="00852D23"/>
    <w:rsid w:val="008530EC"/>
    <w:rsid w:val="008535AD"/>
    <w:rsid w:val="00853C04"/>
    <w:rsid w:val="00853FA0"/>
    <w:rsid w:val="0085470D"/>
    <w:rsid w:val="00854CE6"/>
    <w:rsid w:val="00854E1B"/>
    <w:rsid w:val="00855410"/>
    <w:rsid w:val="008557D3"/>
    <w:rsid w:val="0085597E"/>
    <w:rsid w:val="00855D73"/>
    <w:rsid w:val="008560C0"/>
    <w:rsid w:val="008561D6"/>
    <w:rsid w:val="00856706"/>
    <w:rsid w:val="0085767F"/>
    <w:rsid w:val="00857709"/>
    <w:rsid w:val="0085794E"/>
    <w:rsid w:val="00857F16"/>
    <w:rsid w:val="00860897"/>
    <w:rsid w:val="00862047"/>
    <w:rsid w:val="008621B8"/>
    <w:rsid w:val="00862289"/>
    <w:rsid w:val="0086233E"/>
    <w:rsid w:val="00862C3A"/>
    <w:rsid w:val="00862FCF"/>
    <w:rsid w:val="00863181"/>
    <w:rsid w:val="00863ED1"/>
    <w:rsid w:val="00864025"/>
    <w:rsid w:val="0086425A"/>
    <w:rsid w:val="00864EBF"/>
    <w:rsid w:val="00865120"/>
    <w:rsid w:val="00865185"/>
    <w:rsid w:val="008656FA"/>
    <w:rsid w:val="008657F3"/>
    <w:rsid w:val="00865D5A"/>
    <w:rsid w:val="0086600C"/>
    <w:rsid w:val="00866D3D"/>
    <w:rsid w:val="00867610"/>
    <w:rsid w:val="008678DA"/>
    <w:rsid w:val="00867C3F"/>
    <w:rsid w:val="00867DA3"/>
    <w:rsid w:val="0087063E"/>
    <w:rsid w:val="00870E45"/>
    <w:rsid w:val="0087135C"/>
    <w:rsid w:val="00871398"/>
    <w:rsid w:val="008729EA"/>
    <w:rsid w:val="00872AF3"/>
    <w:rsid w:val="00872C4D"/>
    <w:rsid w:val="00872FD9"/>
    <w:rsid w:val="00873CB0"/>
    <w:rsid w:val="008750D8"/>
    <w:rsid w:val="0087563A"/>
    <w:rsid w:val="00875765"/>
    <w:rsid w:val="008761BD"/>
    <w:rsid w:val="00876383"/>
    <w:rsid w:val="00876BA6"/>
    <w:rsid w:val="00877E62"/>
    <w:rsid w:val="00877FAB"/>
    <w:rsid w:val="0088094B"/>
    <w:rsid w:val="00881163"/>
    <w:rsid w:val="0088131C"/>
    <w:rsid w:val="00881976"/>
    <w:rsid w:val="00881A4F"/>
    <w:rsid w:val="00881ECC"/>
    <w:rsid w:val="00882192"/>
    <w:rsid w:val="008823FB"/>
    <w:rsid w:val="00882C56"/>
    <w:rsid w:val="008838A4"/>
    <w:rsid w:val="00883BC4"/>
    <w:rsid w:val="00884B07"/>
    <w:rsid w:val="00885141"/>
    <w:rsid w:val="0088547F"/>
    <w:rsid w:val="0088554F"/>
    <w:rsid w:val="008858D1"/>
    <w:rsid w:val="00885C21"/>
    <w:rsid w:val="00885D64"/>
    <w:rsid w:val="0088690A"/>
    <w:rsid w:val="00887009"/>
    <w:rsid w:val="00887992"/>
    <w:rsid w:val="00887FC0"/>
    <w:rsid w:val="00887FF8"/>
    <w:rsid w:val="00890739"/>
    <w:rsid w:val="0089082B"/>
    <w:rsid w:val="00891071"/>
    <w:rsid w:val="0089131F"/>
    <w:rsid w:val="008914A9"/>
    <w:rsid w:val="008916FE"/>
    <w:rsid w:val="00891EB0"/>
    <w:rsid w:val="0089220B"/>
    <w:rsid w:val="0089221B"/>
    <w:rsid w:val="00892239"/>
    <w:rsid w:val="0089250E"/>
    <w:rsid w:val="008925AD"/>
    <w:rsid w:val="00892A0C"/>
    <w:rsid w:val="00892D39"/>
    <w:rsid w:val="00892D83"/>
    <w:rsid w:val="00892FA7"/>
    <w:rsid w:val="00893086"/>
    <w:rsid w:val="00893BF6"/>
    <w:rsid w:val="00893C96"/>
    <w:rsid w:val="00893D8D"/>
    <w:rsid w:val="00893EEB"/>
    <w:rsid w:val="00894026"/>
    <w:rsid w:val="008940DA"/>
    <w:rsid w:val="00895531"/>
    <w:rsid w:val="00895717"/>
    <w:rsid w:val="008959D0"/>
    <w:rsid w:val="008962D9"/>
    <w:rsid w:val="0089674E"/>
    <w:rsid w:val="008968F9"/>
    <w:rsid w:val="008969B2"/>
    <w:rsid w:val="00897523"/>
    <w:rsid w:val="00897A38"/>
    <w:rsid w:val="00897D02"/>
    <w:rsid w:val="008A00DE"/>
    <w:rsid w:val="008A08B5"/>
    <w:rsid w:val="008A0BF3"/>
    <w:rsid w:val="008A0E74"/>
    <w:rsid w:val="008A1831"/>
    <w:rsid w:val="008A1AA7"/>
    <w:rsid w:val="008A1B00"/>
    <w:rsid w:val="008A2163"/>
    <w:rsid w:val="008A2571"/>
    <w:rsid w:val="008A2815"/>
    <w:rsid w:val="008A2941"/>
    <w:rsid w:val="008A3420"/>
    <w:rsid w:val="008A3EC8"/>
    <w:rsid w:val="008A40D1"/>
    <w:rsid w:val="008A4401"/>
    <w:rsid w:val="008A4575"/>
    <w:rsid w:val="008A51F8"/>
    <w:rsid w:val="008A5779"/>
    <w:rsid w:val="008A604F"/>
    <w:rsid w:val="008A6CFF"/>
    <w:rsid w:val="008A6D05"/>
    <w:rsid w:val="008A6D4D"/>
    <w:rsid w:val="008A6DDD"/>
    <w:rsid w:val="008A72D3"/>
    <w:rsid w:val="008A78F5"/>
    <w:rsid w:val="008B0231"/>
    <w:rsid w:val="008B0812"/>
    <w:rsid w:val="008B08B5"/>
    <w:rsid w:val="008B0F7E"/>
    <w:rsid w:val="008B1CC2"/>
    <w:rsid w:val="008B2A24"/>
    <w:rsid w:val="008B2ED1"/>
    <w:rsid w:val="008B2F13"/>
    <w:rsid w:val="008B2F38"/>
    <w:rsid w:val="008B355B"/>
    <w:rsid w:val="008B370D"/>
    <w:rsid w:val="008B42CA"/>
    <w:rsid w:val="008B4539"/>
    <w:rsid w:val="008B585C"/>
    <w:rsid w:val="008B5CA0"/>
    <w:rsid w:val="008B6156"/>
    <w:rsid w:val="008B78C0"/>
    <w:rsid w:val="008B7C3C"/>
    <w:rsid w:val="008B7FFB"/>
    <w:rsid w:val="008C042B"/>
    <w:rsid w:val="008C048E"/>
    <w:rsid w:val="008C10B5"/>
    <w:rsid w:val="008C22ED"/>
    <w:rsid w:val="008C2B12"/>
    <w:rsid w:val="008C2BB4"/>
    <w:rsid w:val="008C2C01"/>
    <w:rsid w:val="008C353D"/>
    <w:rsid w:val="008C35DF"/>
    <w:rsid w:val="008C382B"/>
    <w:rsid w:val="008C4768"/>
    <w:rsid w:val="008C4C1E"/>
    <w:rsid w:val="008C4E81"/>
    <w:rsid w:val="008C4F45"/>
    <w:rsid w:val="008C524C"/>
    <w:rsid w:val="008C5930"/>
    <w:rsid w:val="008C6005"/>
    <w:rsid w:val="008C6149"/>
    <w:rsid w:val="008C6641"/>
    <w:rsid w:val="008C68F9"/>
    <w:rsid w:val="008C6ECD"/>
    <w:rsid w:val="008C70F5"/>
    <w:rsid w:val="008C730E"/>
    <w:rsid w:val="008C7AE2"/>
    <w:rsid w:val="008C7DB4"/>
    <w:rsid w:val="008D072F"/>
    <w:rsid w:val="008D0C34"/>
    <w:rsid w:val="008D1004"/>
    <w:rsid w:val="008D1013"/>
    <w:rsid w:val="008D14FA"/>
    <w:rsid w:val="008D1590"/>
    <w:rsid w:val="008D1FC0"/>
    <w:rsid w:val="008D2433"/>
    <w:rsid w:val="008D25A9"/>
    <w:rsid w:val="008D3562"/>
    <w:rsid w:val="008D35A5"/>
    <w:rsid w:val="008D37F4"/>
    <w:rsid w:val="008D5031"/>
    <w:rsid w:val="008D5A04"/>
    <w:rsid w:val="008D6977"/>
    <w:rsid w:val="008D6EAF"/>
    <w:rsid w:val="008D74A6"/>
    <w:rsid w:val="008D7813"/>
    <w:rsid w:val="008D7F65"/>
    <w:rsid w:val="008D7FCB"/>
    <w:rsid w:val="008E147C"/>
    <w:rsid w:val="008E1EE8"/>
    <w:rsid w:val="008E202F"/>
    <w:rsid w:val="008E2891"/>
    <w:rsid w:val="008E3861"/>
    <w:rsid w:val="008E435C"/>
    <w:rsid w:val="008E4684"/>
    <w:rsid w:val="008E4B40"/>
    <w:rsid w:val="008E4D94"/>
    <w:rsid w:val="008E52E3"/>
    <w:rsid w:val="008E5FDB"/>
    <w:rsid w:val="008E60CD"/>
    <w:rsid w:val="008E652B"/>
    <w:rsid w:val="008E652F"/>
    <w:rsid w:val="008E679D"/>
    <w:rsid w:val="008E67F5"/>
    <w:rsid w:val="008E731B"/>
    <w:rsid w:val="008E75F4"/>
    <w:rsid w:val="008E7FC3"/>
    <w:rsid w:val="008F049D"/>
    <w:rsid w:val="008F0D96"/>
    <w:rsid w:val="008F2236"/>
    <w:rsid w:val="008F27A3"/>
    <w:rsid w:val="008F2D84"/>
    <w:rsid w:val="008F2E38"/>
    <w:rsid w:val="008F3033"/>
    <w:rsid w:val="008F3951"/>
    <w:rsid w:val="008F3B54"/>
    <w:rsid w:val="008F3DE7"/>
    <w:rsid w:val="008F4C1D"/>
    <w:rsid w:val="008F4C97"/>
    <w:rsid w:val="008F4E5D"/>
    <w:rsid w:val="008F5C19"/>
    <w:rsid w:val="008F61DE"/>
    <w:rsid w:val="008F683B"/>
    <w:rsid w:val="008F6903"/>
    <w:rsid w:val="008F6BCA"/>
    <w:rsid w:val="008F6D93"/>
    <w:rsid w:val="008F7059"/>
    <w:rsid w:val="008F743E"/>
    <w:rsid w:val="008F7C49"/>
    <w:rsid w:val="008F7D26"/>
    <w:rsid w:val="008F7D2F"/>
    <w:rsid w:val="0090008F"/>
    <w:rsid w:val="00900ACD"/>
    <w:rsid w:val="00901017"/>
    <w:rsid w:val="0090152C"/>
    <w:rsid w:val="009016C7"/>
    <w:rsid w:val="009019D9"/>
    <w:rsid w:val="00902B2E"/>
    <w:rsid w:val="00903995"/>
    <w:rsid w:val="00903E9D"/>
    <w:rsid w:val="00904AFF"/>
    <w:rsid w:val="00904E26"/>
    <w:rsid w:val="00905149"/>
    <w:rsid w:val="00905411"/>
    <w:rsid w:val="009063E8"/>
    <w:rsid w:val="0090661A"/>
    <w:rsid w:val="009066D7"/>
    <w:rsid w:val="00906E90"/>
    <w:rsid w:val="00907033"/>
    <w:rsid w:val="00907C6E"/>
    <w:rsid w:val="00910388"/>
    <w:rsid w:val="0091142C"/>
    <w:rsid w:val="00912187"/>
    <w:rsid w:val="00912838"/>
    <w:rsid w:val="00912C18"/>
    <w:rsid w:val="0091307A"/>
    <w:rsid w:val="0091344A"/>
    <w:rsid w:val="00913B77"/>
    <w:rsid w:val="00913E90"/>
    <w:rsid w:val="00913F31"/>
    <w:rsid w:val="00914239"/>
    <w:rsid w:val="009143E6"/>
    <w:rsid w:val="00914D94"/>
    <w:rsid w:val="00914ED6"/>
    <w:rsid w:val="00915173"/>
    <w:rsid w:val="009152A0"/>
    <w:rsid w:val="00915A3A"/>
    <w:rsid w:val="009165B7"/>
    <w:rsid w:val="009166EC"/>
    <w:rsid w:val="00916B1E"/>
    <w:rsid w:val="009173CD"/>
    <w:rsid w:val="00917820"/>
    <w:rsid w:val="00917928"/>
    <w:rsid w:val="00917DCC"/>
    <w:rsid w:val="0092016E"/>
    <w:rsid w:val="009204DC"/>
    <w:rsid w:val="00920BD0"/>
    <w:rsid w:val="00920F08"/>
    <w:rsid w:val="00921C5C"/>
    <w:rsid w:val="0092282A"/>
    <w:rsid w:val="00922A8D"/>
    <w:rsid w:val="00923158"/>
    <w:rsid w:val="00923B57"/>
    <w:rsid w:val="00923DAB"/>
    <w:rsid w:val="0092450B"/>
    <w:rsid w:val="00924AB6"/>
    <w:rsid w:val="00924E1F"/>
    <w:rsid w:val="00926133"/>
    <w:rsid w:val="00926C29"/>
    <w:rsid w:val="00926CBD"/>
    <w:rsid w:val="00926E01"/>
    <w:rsid w:val="00926FF4"/>
    <w:rsid w:val="00927497"/>
    <w:rsid w:val="00927E89"/>
    <w:rsid w:val="0093006C"/>
    <w:rsid w:val="0093018E"/>
    <w:rsid w:val="00932E41"/>
    <w:rsid w:val="00932EBC"/>
    <w:rsid w:val="00932FE6"/>
    <w:rsid w:val="00933233"/>
    <w:rsid w:val="009333AD"/>
    <w:rsid w:val="00933867"/>
    <w:rsid w:val="00934ACB"/>
    <w:rsid w:val="00934D07"/>
    <w:rsid w:val="00935F8D"/>
    <w:rsid w:val="00936013"/>
    <w:rsid w:val="0093639E"/>
    <w:rsid w:val="00936BBB"/>
    <w:rsid w:val="00936BDE"/>
    <w:rsid w:val="00936C40"/>
    <w:rsid w:val="00936E9E"/>
    <w:rsid w:val="00937491"/>
    <w:rsid w:val="00937BD1"/>
    <w:rsid w:val="0094035E"/>
    <w:rsid w:val="0094074C"/>
    <w:rsid w:val="0094205B"/>
    <w:rsid w:val="0094223A"/>
    <w:rsid w:val="0094307D"/>
    <w:rsid w:val="009435A3"/>
    <w:rsid w:val="00943CDC"/>
    <w:rsid w:val="00944156"/>
    <w:rsid w:val="00944FFA"/>
    <w:rsid w:val="00945305"/>
    <w:rsid w:val="00945581"/>
    <w:rsid w:val="00945662"/>
    <w:rsid w:val="00946042"/>
    <w:rsid w:val="009461EB"/>
    <w:rsid w:val="00946673"/>
    <w:rsid w:val="00946AE7"/>
    <w:rsid w:val="00947BFC"/>
    <w:rsid w:val="0095081E"/>
    <w:rsid w:val="00950C82"/>
    <w:rsid w:val="009513F7"/>
    <w:rsid w:val="0095177E"/>
    <w:rsid w:val="00951B30"/>
    <w:rsid w:val="00951DED"/>
    <w:rsid w:val="009526DC"/>
    <w:rsid w:val="00952B9A"/>
    <w:rsid w:val="00953479"/>
    <w:rsid w:val="009535DD"/>
    <w:rsid w:val="009536DE"/>
    <w:rsid w:val="009537E7"/>
    <w:rsid w:val="009538AF"/>
    <w:rsid w:val="0095441F"/>
    <w:rsid w:val="00954927"/>
    <w:rsid w:val="0095530C"/>
    <w:rsid w:val="00955B5D"/>
    <w:rsid w:val="00955CE3"/>
    <w:rsid w:val="00956BEF"/>
    <w:rsid w:val="00960C40"/>
    <w:rsid w:val="009617A7"/>
    <w:rsid w:val="00961E5A"/>
    <w:rsid w:val="009628FD"/>
    <w:rsid w:val="009632E9"/>
    <w:rsid w:val="0096334E"/>
    <w:rsid w:val="00963A5F"/>
    <w:rsid w:val="00963EE6"/>
    <w:rsid w:val="009641E0"/>
    <w:rsid w:val="00964A4C"/>
    <w:rsid w:val="009651F0"/>
    <w:rsid w:val="009658F3"/>
    <w:rsid w:val="0096603A"/>
    <w:rsid w:val="00966122"/>
    <w:rsid w:val="00966AE4"/>
    <w:rsid w:val="009674AE"/>
    <w:rsid w:val="009674ED"/>
    <w:rsid w:val="009675B6"/>
    <w:rsid w:val="0097040C"/>
    <w:rsid w:val="00970A4F"/>
    <w:rsid w:val="00970C50"/>
    <w:rsid w:val="009710FE"/>
    <w:rsid w:val="0097115D"/>
    <w:rsid w:val="009716F8"/>
    <w:rsid w:val="00972171"/>
    <w:rsid w:val="00972526"/>
    <w:rsid w:val="00972866"/>
    <w:rsid w:val="00972CB1"/>
    <w:rsid w:val="00973928"/>
    <w:rsid w:val="00973C55"/>
    <w:rsid w:val="009747BE"/>
    <w:rsid w:val="009748A7"/>
    <w:rsid w:val="009749D7"/>
    <w:rsid w:val="00974F46"/>
    <w:rsid w:val="009766E9"/>
    <w:rsid w:val="00976CF2"/>
    <w:rsid w:val="009773D6"/>
    <w:rsid w:val="009775FE"/>
    <w:rsid w:val="00977BFA"/>
    <w:rsid w:val="00980801"/>
    <w:rsid w:val="00980951"/>
    <w:rsid w:val="0098095E"/>
    <w:rsid w:val="00980A1F"/>
    <w:rsid w:val="00981060"/>
    <w:rsid w:val="00981741"/>
    <w:rsid w:val="00981D11"/>
    <w:rsid w:val="00981D39"/>
    <w:rsid w:val="00981E96"/>
    <w:rsid w:val="00981ED9"/>
    <w:rsid w:val="009820FA"/>
    <w:rsid w:val="00982258"/>
    <w:rsid w:val="0098269A"/>
    <w:rsid w:val="00983846"/>
    <w:rsid w:val="009838AD"/>
    <w:rsid w:val="00983B86"/>
    <w:rsid w:val="00984137"/>
    <w:rsid w:val="00984937"/>
    <w:rsid w:val="00985787"/>
    <w:rsid w:val="00985922"/>
    <w:rsid w:val="009864E6"/>
    <w:rsid w:val="00986646"/>
    <w:rsid w:val="009868FC"/>
    <w:rsid w:val="00986D65"/>
    <w:rsid w:val="0098723D"/>
    <w:rsid w:val="0099011E"/>
    <w:rsid w:val="00990803"/>
    <w:rsid w:val="00990A91"/>
    <w:rsid w:val="00991737"/>
    <w:rsid w:val="00991FE1"/>
    <w:rsid w:val="00992333"/>
    <w:rsid w:val="00992773"/>
    <w:rsid w:val="0099285E"/>
    <w:rsid w:val="00992C5F"/>
    <w:rsid w:val="00993991"/>
    <w:rsid w:val="00993A36"/>
    <w:rsid w:val="0099435A"/>
    <w:rsid w:val="00995396"/>
    <w:rsid w:val="009955B8"/>
    <w:rsid w:val="00997322"/>
    <w:rsid w:val="009977F2"/>
    <w:rsid w:val="00997919"/>
    <w:rsid w:val="00997F2B"/>
    <w:rsid w:val="009A035A"/>
    <w:rsid w:val="009A0F86"/>
    <w:rsid w:val="009A1C28"/>
    <w:rsid w:val="009A1F39"/>
    <w:rsid w:val="009A20C8"/>
    <w:rsid w:val="009A2300"/>
    <w:rsid w:val="009A353A"/>
    <w:rsid w:val="009A4630"/>
    <w:rsid w:val="009A48A0"/>
    <w:rsid w:val="009A5C76"/>
    <w:rsid w:val="009A5F70"/>
    <w:rsid w:val="009A62BE"/>
    <w:rsid w:val="009A7826"/>
    <w:rsid w:val="009A79C7"/>
    <w:rsid w:val="009B03E8"/>
    <w:rsid w:val="009B0A63"/>
    <w:rsid w:val="009B0FF7"/>
    <w:rsid w:val="009B11B6"/>
    <w:rsid w:val="009B24AD"/>
    <w:rsid w:val="009B2EB0"/>
    <w:rsid w:val="009B2F55"/>
    <w:rsid w:val="009B3940"/>
    <w:rsid w:val="009B44F2"/>
    <w:rsid w:val="009B4843"/>
    <w:rsid w:val="009B52E5"/>
    <w:rsid w:val="009B5731"/>
    <w:rsid w:val="009B5815"/>
    <w:rsid w:val="009B5B6B"/>
    <w:rsid w:val="009B6D85"/>
    <w:rsid w:val="009B702F"/>
    <w:rsid w:val="009B70E2"/>
    <w:rsid w:val="009B7ADA"/>
    <w:rsid w:val="009C015B"/>
    <w:rsid w:val="009C02C8"/>
    <w:rsid w:val="009C03C6"/>
    <w:rsid w:val="009C0E6C"/>
    <w:rsid w:val="009C1029"/>
    <w:rsid w:val="009C1650"/>
    <w:rsid w:val="009C2CEC"/>
    <w:rsid w:val="009C2DDE"/>
    <w:rsid w:val="009C37E7"/>
    <w:rsid w:val="009C3BF9"/>
    <w:rsid w:val="009C4128"/>
    <w:rsid w:val="009C4233"/>
    <w:rsid w:val="009C477B"/>
    <w:rsid w:val="009C496A"/>
    <w:rsid w:val="009C563F"/>
    <w:rsid w:val="009C6026"/>
    <w:rsid w:val="009C618E"/>
    <w:rsid w:val="009C6932"/>
    <w:rsid w:val="009C69A4"/>
    <w:rsid w:val="009C6A37"/>
    <w:rsid w:val="009C7623"/>
    <w:rsid w:val="009C77E2"/>
    <w:rsid w:val="009D0334"/>
    <w:rsid w:val="009D12CD"/>
    <w:rsid w:val="009D1D36"/>
    <w:rsid w:val="009D1FA6"/>
    <w:rsid w:val="009D2490"/>
    <w:rsid w:val="009D25E1"/>
    <w:rsid w:val="009D2A9C"/>
    <w:rsid w:val="009D2BC8"/>
    <w:rsid w:val="009D4011"/>
    <w:rsid w:val="009D41AE"/>
    <w:rsid w:val="009D4335"/>
    <w:rsid w:val="009D4A35"/>
    <w:rsid w:val="009D50B0"/>
    <w:rsid w:val="009D585C"/>
    <w:rsid w:val="009D5BBD"/>
    <w:rsid w:val="009D5BD0"/>
    <w:rsid w:val="009D60E2"/>
    <w:rsid w:val="009D7CF2"/>
    <w:rsid w:val="009E00F8"/>
    <w:rsid w:val="009E0957"/>
    <w:rsid w:val="009E0A5B"/>
    <w:rsid w:val="009E0EE8"/>
    <w:rsid w:val="009E18A7"/>
    <w:rsid w:val="009E1B9B"/>
    <w:rsid w:val="009E2299"/>
    <w:rsid w:val="009E23A8"/>
    <w:rsid w:val="009E285A"/>
    <w:rsid w:val="009E2BB7"/>
    <w:rsid w:val="009E2DC8"/>
    <w:rsid w:val="009E3154"/>
    <w:rsid w:val="009E3457"/>
    <w:rsid w:val="009E4209"/>
    <w:rsid w:val="009E47E7"/>
    <w:rsid w:val="009E4B15"/>
    <w:rsid w:val="009E4BF3"/>
    <w:rsid w:val="009E4D99"/>
    <w:rsid w:val="009E526F"/>
    <w:rsid w:val="009E55C5"/>
    <w:rsid w:val="009E5A94"/>
    <w:rsid w:val="009E5C60"/>
    <w:rsid w:val="009E5FCE"/>
    <w:rsid w:val="009E61A6"/>
    <w:rsid w:val="009E62BF"/>
    <w:rsid w:val="009E6893"/>
    <w:rsid w:val="009E68F6"/>
    <w:rsid w:val="009E6B9A"/>
    <w:rsid w:val="009E6BEE"/>
    <w:rsid w:val="009E77D2"/>
    <w:rsid w:val="009E7E04"/>
    <w:rsid w:val="009F0D92"/>
    <w:rsid w:val="009F12EB"/>
    <w:rsid w:val="009F16FB"/>
    <w:rsid w:val="009F198D"/>
    <w:rsid w:val="009F1F3B"/>
    <w:rsid w:val="009F1F8D"/>
    <w:rsid w:val="009F29AA"/>
    <w:rsid w:val="009F2D32"/>
    <w:rsid w:val="009F2D59"/>
    <w:rsid w:val="009F2D67"/>
    <w:rsid w:val="009F4149"/>
    <w:rsid w:val="009F479D"/>
    <w:rsid w:val="009F484D"/>
    <w:rsid w:val="009F48B9"/>
    <w:rsid w:val="009F4D1F"/>
    <w:rsid w:val="009F6025"/>
    <w:rsid w:val="009F609F"/>
    <w:rsid w:val="009F64DA"/>
    <w:rsid w:val="009F69A4"/>
    <w:rsid w:val="009F6DD1"/>
    <w:rsid w:val="009F7F71"/>
    <w:rsid w:val="00A005FD"/>
    <w:rsid w:val="00A0061C"/>
    <w:rsid w:val="00A00F2D"/>
    <w:rsid w:val="00A01193"/>
    <w:rsid w:val="00A01273"/>
    <w:rsid w:val="00A01E58"/>
    <w:rsid w:val="00A01F53"/>
    <w:rsid w:val="00A020DA"/>
    <w:rsid w:val="00A024D2"/>
    <w:rsid w:val="00A0264B"/>
    <w:rsid w:val="00A0280F"/>
    <w:rsid w:val="00A03DC0"/>
    <w:rsid w:val="00A03E77"/>
    <w:rsid w:val="00A049C4"/>
    <w:rsid w:val="00A04B22"/>
    <w:rsid w:val="00A05581"/>
    <w:rsid w:val="00A0594F"/>
    <w:rsid w:val="00A05A6A"/>
    <w:rsid w:val="00A06BCC"/>
    <w:rsid w:val="00A06CD0"/>
    <w:rsid w:val="00A10184"/>
    <w:rsid w:val="00A1020E"/>
    <w:rsid w:val="00A102DC"/>
    <w:rsid w:val="00A105ED"/>
    <w:rsid w:val="00A10E4E"/>
    <w:rsid w:val="00A1144C"/>
    <w:rsid w:val="00A11E06"/>
    <w:rsid w:val="00A11FA6"/>
    <w:rsid w:val="00A12572"/>
    <w:rsid w:val="00A127E3"/>
    <w:rsid w:val="00A127FC"/>
    <w:rsid w:val="00A15C25"/>
    <w:rsid w:val="00A160F4"/>
    <w:rsid w:val="00A16959"/>
    <w:rsid w:val="00A172B0"/>
    <w:rsid w:val="00A172C7"/>
    <w:rsid w:val="00A174C4"/>
    <w:rsid w:val="00A178F5"/>
    <w:rsid w:val="00A202E7"/>
    <w:rsid w:val="00A20DA3"/>
    <w:rsid w:val="00A20E0F"/>
    <w:rsid w:val="00A20E93"/>
    <w:rsid w:val="00A229D6"/>
    <w:rsid w:val="00A22DD3"/>
    <w:rsid w:val="00A22F69"/>
    <w:rsid w:val="00A235B0"/>
    <w:rsid w:val="00A239B0"/>
    <w:rsid w:val="00A246B5"/>
    <w:rsid w:val="00A24BCB"/>
    <w:rsid w:val="00A24F98"/>
    <w:rsid w:val="00A2546A"/>
    <w:rsid w:val="00A258FE"/>
    <w:rsid w:val="00A2678C"/>
    <w:rsid w:val="00A2762C"/>
    <w:rsid w:val="00A277CC"/>
    <w:rsid w:val="00A27B02"/>
    <w:rsid w:val="00A301D6"/>
    <w:rsid w:val="00A30C2E"/>
    <w:rsid w:val="00A3106A"/>
    <w:rsid w:val="00A31E8E"/>
    <w:rsid w:val="00A32777"/>
    <w:rsid w:val="00A32CE2"/>
    <w:rsid w:val="00A32D9C"/>
    <w:rsid w:val="00A3365E"/>
    <w:rsid w:val="00A33926"/>
    <w:rsid w:val="00A34DD1"/>
    <w:rsid w:val="00A34E76"/>
    <w:rsid w:val="00A35213"/>
    <w:rsid w:val="00A35890"/>
    <w:rsid w:val="00A36163"/>
    <w:rsid w:val="00A36A36"/>
    <w:rsid w:val="00A36B76"/>
    <w:rsid w:val="00A370BD"/>
    <w:rsid w:val="00A3717F"/>
    <w:rsid w:val="00A371B0"/>
    <w:rsid w:val="00A4001C"/>
    <w:rsid w:val="00A40946"/>
    <w:rsid w:val="00A41395"/>
    <w:rsid w:val="00A419A0"/>
    <w:rsid w:val="00A429D2"/>
    <w:rsid w:val="00A42CC3"/>
    <w:rsid w:val="00A433F9"/>
    <w:rsid w:val="00A434E6"/>
    <w:rsid w:val="00A439EA"/>
    <w:rsid w:val="00A43D3D"/>
    <w:rsid w:val="00A446A8"/>
    <w:rsid w:val="00A4493F"/>
    <w:rsid w:val="00A45142"/>
    <w:rsid w:val="00A45CBD"/>
    <w:rsid w:val="00A462D6"/>
    <w:rsid w:val="00A46A28"/>
    <w:rsid w:val="00A46C52"/>
    <w:rsid w:val="00A47E08"/>
    <w:rsid w:val="00A50077"/>
    <w:rsid w:val="00A51973"/>
    <w:rsid w:val="00A51A43"/>
    <w:rsid w:val="00A521D1"/>
    <w:rsid w:val="00A523B4"/>
    <w:rsid w:val="00A5326E"/>
    <w:rsid w:val="00A5503A"/>
    <w:rsid w:val="00A55505"/>
    <w:rsid w:val="00A5550D"/>
    <w:rsid w:val="00A55522"/>
    <w:rsid w:val="00A55544"/>
    <w:rsid w:val="00A5583D"/>
    <w:rsid w:val="00A5589C"/>
    <w:rsid w:val="00A55EDB"/>
    <w:rsid w:val="00A565B0"/>
    <w:rsid w:val="00A569AD"/>
    <w:rsid w:val="00A56C01"/>
    <w:rsid w:val="00A57AF8"/>
    <w:rsid w:val="00A602C0"/>
    <w:rsid w:val="00A60448"/>
    <w:rsid w:val="00A6073F"/>
    <w:rsid w:val="00A615D0"/>
    <w:rsid w:val="00A61B2C"/>
    <w:rsid w:val="00A61B5B"/>
    <w:rsid w:val="00A621CA"/>
    <w:rsid w:val="00A62B81"/>
    <w:rsid w:val="00A636DD"/>
    <w:rsid w:val="00A637E1"/>
    <w:rsid w:val="00A63BA7"/>
    <w:rsid w:val="00A63D3C"/>
    <w:rsid w:val="00A64036"/>
    <w:rsid w:val="00A64A32"/>
    <w:rsid w:val="00A65132"/>
    <w:rsid w:val="00A6517C"/>
    <w:rsid w:val="00A65596"/>
    <w:rsid w:val="00A655B6"/>
    <w:rsid w:val="00A655D5"/>
    <w:rsid w:val="00A6562F"/>
    <w:rsid w:val="00A6581E"/>
    <w:rsid w:val="00A65FE2"/>
    <w:rsid w:val="00A6676F"/>
    <w:rsid w:val="00A66847"/>
    <w:rsid w:val="00A66BB5"/>
    <w:rsid w:val="00A6742C"/>
    <w:rsid w:val="00A67E1F"/>
    <w:rsid w:val="00A70302"/>
    <w:rsid w:val="00A7082C"/>
    <w:rsid w:val="00A70F20"/>
    <w:rsid w:val="00A7123C"/>
    <w:rsid w:val="00A712F1"/>
    <w:rsid w:val="00A7156D"/>
    <w:rsid w:val="00A7228E"/>
    <w:rsid w:val="00A72CEE"/>
    <w:rsid w:val="00A7336E"/>
    <w:rsid w:val="00A73516"/>
    <w:rsid w:val="00A74952"/>
    <w:rsid w:val="00A75480"/>
    <w:rsid w:val="00A765F6"/>
    <w:rsid w:val="00A767FB"/>
    <w:rsid w:val="00A76DCF"/>
    <w:rsid w:val="00A7723A"/>
    <w:rsid w:val="00A77437"/>
    <w:rsid w:val="00A7778E"/>
    <w:rsid w:val="00A778CE"/>
    <w:rsid w:val="00A802B8"/>
    <w:rsid w:val="00A80559"/>
    <w:rsid w:val="00A80704"/>
    <w:rsid w:val="00A80C53"/>
    <w:rsid w:val="00A80CCC"/>
    <w:rsid w:val="00A812F0"/>
    <w:rsid w:val="00A81808"/>
    <w:rsid w:val="00A81885"/>
    <w:rsid w:val="00A81DEC"/>
    <w:rsid w:val="00A821CD"/>
    <w:rsid w:val="00A82BE6"/>
    <w:rsid w:val="00A82BF5"/>
    <w:rsid w:val="00A82E7C"/>
    <w:rsid w:val="00A838F0"/>
    <w:rsid w:val="00A839CB"/>
    <w:rsid w:val="00A84C0C"/>
    <w:rsid w:val="00A84E7F"/>
    <w:rsid w:val="00A85592"/>
    <w:rsid w:val="00A85656"/>
    <w:rsid w:val="00A856FD"/>
    <w:rsid w:val="00A85B58"/>
    <w:rsid w:val="00A85CC6"/>
    <w:rsid w:val="00A8623E"/>
    <w:rsid w:val="00A86E60"/>
    <w:rsid w:val="00A87CA8"/>
    <w:rsid w:val="00A904B7"/>
    <w:rsid w:val="00A90912"/>
    <w:rsid w:val="00A911D5"/>
    <w:rsid w:val="00A93A0D"/>
    <w:rsid w:val="00A93A46"/>
    <w:rsid w:val="00A93B3D"/>
    <w:rsid w:val="00A94F4A"/>
    <w:rsid w:val="00A951BA"/>
    <w:rsid w:val="00A95750"/>
    <w:rsid w:val="00A95A5B"/>
    <w:rsid w:val="00A95E28"/>
    <w:rsid w:val="00A9690E"/>
    <w:rsid w:val="00A96D43"/>
    <w:rsid w:val="00A9731F"/>
    <w:rsid w:val="00AA023D"/>
    <w:rsid w:val="00AA03AC"/>
    <w:rsid w:val="00AA0431"/>
    <w:rsid w:val="00AA051F"/>
    <w:rsid w:val="00AA0552"/>
    <w:rsid w:val="00AA14A9"/>
    <w:rsid w:val="00AA195C"/>
    <w:rsid w:val="00AA19AF"/>
    <w:rsid w:val="00AA1F4E"/>
    <w:rsid w:val="00AA2031"/>
    <w:rsid w:val="00AA23E0"/>
    <w:rsid w:val="00AA3587"/>
    <w:rsid w:val="00AA40D4"/>
    <w:rsid w:val="00AA427E"/>
    <w:rsid w:val="00AA4404"/>
    <w:rsid w:val="00AA45CE"/>
    <w:rsid w:val="00AA534D"/>
    <w:rsid w:val="00AA56F9"/>
    <w:rsid w:val="00AA5772"/>
    <w:rsid w:val="00AA5B5F"/>
    <w:rsid w:val="00AA6070"/>
    <w:rsid w:val="00AA607D"/>
    <w:rsid w:val="00AA6525"/>
    <w:rsid w:val="00AA6619"/>
    <w:rsid w:val="00AA6A46"/>
    <w:rsid w:val="00AA6ED4"/>
    <w:rsid w:val="00AA7067"/>
    <w:rsid w:val="00AA7615"/>
    <w:rsid w:val="00AA78DF"/>
    <w:rsid w:val="00AA7A09"/>
    <w:rsid w:val="00AA7C2E"/>
    <w:rsid w:val="00AA7DB1"/>
    <w:rsid w:val="00AB0C49"/>
    <w:rsid w:val="00AB20A5"/>
    <w:rsid w:val="00AB280B"/>
    <w:rsid w:val="00AB28C2"/>
    <w:rsid w:val="00AB313D"/>
    <w:rsid w:val="00AB395C"/>
    <w:rsid w:val="00AB4068"/>
    <w:rsid w:val="00AB42F8"/>
    <w:rsid w:val="00AB46C0"/>
    <w:rsid w:val="00AB4E54"/>
    <w:rsid w:val="00AB4E9F"/>
    <w:rsid w:val="00AB507F"/>
    <w:rsid w:val="00AB524E"/>
    <w:rsid w:val="00AB5D12"/>
    <w:rsid w:val="00AB6354"/>
    <w:rsid w:val="00AB68AD"/>
    <w:rsid w:val="00AB72BA"/>
    <w:rsid w:val="00AB76DA"/>
    <w:rsid w:val="00AC08E9"/>
    <w:rsid w:val="00AC2247"/>
    <w:rsid w:val="00AC3104"/>
    <w:rsid w:val="00AC38B6"/>
    <w:rsid w:val="00AC3A33"/>
    <w:rsid w:val="00AC40A0"/>
    <w:rsid w:val="00AC419B"/>
    <w:rsid w:val="00AC4982"/>
    <w:rsid w:val="00AC4D33"/>
    <w:rsid w:val="00AC5DEF"/>
    <w:rsid w:val="00AC61D2"/>
    <w:rsid w:val="00AC74E2"/>
    <w:rsid w:val="00AC7557"/>
    <w:rsid w:val="00AC77F7"/>
    <w:rsid w:val="00AD03E6"/>
    <w:rsid w:val="00AD0414"/>
    <w:rsid w:val="00AD0BEE"/>
    <w:rsid w:val="00AD1322"/>
    <w:rsid w:val="00AD13DE"/>
    <w:rsid w:val="00AD1619"/>
    <w:rsid w:val="00AD1818"/>
    <w:rsid w:val="00AD1983"/>
    <w:rsid w:val="00AD1BF5"/>
    <w:rsid w:val="00AD2344"/>
    <w:rsid w:val="00AD2D4B"/>
    <w:rsid w:val="00AD3347"/>
    <w:rsid w:val="00AD355F"/>
    <w:rsid w:val="00AD484C"/>
    <w:rsid w:val="00AD4BC6"/>
    <w:rsid w:val="00AD5094"/>
    <w:rsid w:val="00AD538A"/>
    <w:rsid w:val="00AD5BCE"/>
    <w:rsid w:val="00AD5F64"/>
    <w:rsid w:val="00AD60B1"/>
    <w:rsid w:val="00AD6595"/>
    <w:rsid w:val="00AD6823"/>
    <w:rsid w:val="00AD68A0"/>
    <w:rsid w:val="00AD6B16"/>
    <w:rsid w:val="00AD74E4"/>
    <w:rsid w:val="00AD793D"/>
    <w:rsid w:val="00AD7A19"/>
    <w:rsid w:val="00AE07D0"/>
    <w:rsid w:val="00AE1C11"/>
    <w:rsid w:val="00AE1CCE"/>
    <w:rsid w:val="00AE1CDE"/>
    <w:rsid w:val="00AE255B"/>
    <w:rsid w:val="00AE2BFA"/>
    <w:rsid w:val="00AE2DC7"/>
    <w:rsid w:val="00AE2DF6"/>
    <w:rsid w:val="00AE329F"/>
    <w:rsid w:val="00AE4F67"/>
    <w:rsid w:val="00AE5E85"/>
    <w:rsid w:val="00AE69E1"/>
    <w:rsid w:val="00AF1E1D"/>
    <w:rsid w:val="00AF1FD9"/>
    <w:rsid w:val="00AF289C"/>
    <w:rsid w:val="00AF33DE"/>
    <w:rsid w:val="00AF341B"/>
    <w:rsid w:val="00AF3730"/>
    <w:rsid w:val="00AF3AA5"/>
    <w:rsid w:val="00AF4E11"/>
    <w:rsid w:val="00AF51CA"/>
    <w:rsid w:val="00AF5C83"/>
    <w:rsid w:val="00AF68C2"/>
    <w:rsid w:val="00AF7520"/>
    <w:rsid w:val="00AF7571"/>
    <w:rsid w:val="00AF7766"/>
    <w:rsid w:val="00B00B8D"/>
    <w:rsid w:val="00B00F3E"/>
    <w:rsid w:val="00B015D0"/>
    <w:rsid w:val="00B02290"/>
    <w:rsid w:val="00B025CD"/>
    <w:rsid w:val="00B02925"/>
    <w:rsid w:val="00B02A57"/>
    <w:rsid w:val="00B0347E"/>
    <w:rsid w:val="00B03680"/>
    <w:rsid w:val="00B03812"/>
    <w:rsid w:val="00B039AE"/>
    <w:rsid w:val="00B04B22"/>
    <w:rsid w:val="00B05AC7"/>
    <w:rsid w:val="00B05F90"/>
    <w:rsid w:val="00B06721"/>
    <w:rsid w:val="00B068D5"/>
    <w:rsid w:val="00B06E17"/>
    <w:rsid w:val="00B06E3F"/>
    <w:rsid w:val="00B07775"/>
    <w:rsid w:val="00B07C73"/>
    <w:rsid w:val="00B11398"/>
    <w:rsid w:val="00B1180A"/>
    <w:rsid w:val="00B11992"/>
    <w:rsid w:val="00B11C06"/>
    <w:rsid w:val="00B12467"/>
    <w:rsid w:val="00B1353C"/>
    <w:rsid w:val="00B13605"/>
    <w:rsid w:val="00B1473D"/>
    <w:rsid w:val="00B15069"/>
    <w:rsid w:val="00B15078"/>
    <w:rsid w:val="00B1557D"/>
    <w:rsid w:val="00B15587"/>
    <w:rsid w:val="00B15BC7"/>
    <w:rsid w:val="00B15D14"/>
    <w:rsid w:val="00B1714C"/>
    <w:rsid w:val="00B17FB0"/>
    <w:rsid w:val="00B20AD8"/>
    <w:rsid w:val="00B217DF"/>
    <w:rsid w:val="00B21838"/>
    <w:rsid w:val="00B219C4"/>
    <w:rsid w:val="00B21C39"/>
    <w:rsid w:val="00B21E19"/>
    <w:rsid w:val="00B22272"/>
    <w:rsid w:val="00B22526"/>
    <w:rsid w:val="00B22B61"/>
    <w:rsid w:val="00B22D97"/>
    <w:rsid w:val="00B24118"/>
    <w:rsid w:val="00B249DB"/>
    <w:rsid w:val="00B24D8E"/>
    <w:rsid w:val="00B250CA"/>
    <w:rsid w:val="00B25481"/>
    <w:rsid w:val="00B25D55"/>
    <w:rsid w:val="00B25F52"/>
    <w:rsid w:val="00B266E9"/>
    <w:rsid w:val="00B26A15"/>
    <w:rsid w:val="00B26E45"/>
    <w:rsid w:val="00B26EBD"/>
    <w:rsid w:val="00B27965"/>
    <w:rsid w:val="00B27C0F"/>
    <w:rsid w:val="00B27E04"/>
    <w:rsid w:val="00B302CD"/>
    <w:rsid w:val="00B30A53"/>
    <w:rsid w:val="00B3155E"/>
    <w:rsid w:val="00B315CF"/>
    <w:rsid w:val="00B31BA6"/>
    <w:rsid w:val="00B32421"/>
    <w:rsid w:val="00B32884"/>
    <w:rsid w:val="00B3414E"/>
    <w:rsid w:val="00B343E2"/>
    <w:rsid w:val="00B34446"/>
    <w:rsid w:val="00B34B22"/>
    <w:rsid w:val="00B35630"/>
    <w:rsid w:val="00B35FEF"/>
    <w:rsid w:val="00B37179"/>
    <w:rsid w:val="00B37C58"/>
    <w:rsid w:val="00B37FCB"/>
    <w:rsid w:val="00B4028F"/>
    <w:rsid w:val="00B40D38"/>
    <w:rsid w:val="00B414BC"/>
    <w:rsid w:val="00B43B88"/>
    <w:rsid w:val="00B44019"/>
    <w:rsid w:val="00B4474B"/>
    <w:rsid w:val="00B448BD"/>
    <w:rsid w:val="00B44938"/>
    <w:rsid w:val="00B44B17"/>
    <w:rsid w:val="00B45A7E"/>
    <w:rsid w:val="00B45ABA"/>
    <w:rsid w:val="00B45F6D"/>
    <w:rsid w:val="00B466EC"/>
    <w:rsid w:val="00B46F0C"/>
    <w:rsid w:val="00B47729"/>
    <w:rsid w:val="00B477CF"/>
    <w:rsid w:val="00B47C24"/>
    <w:rsid w:val="00B47EA6"/>
    <w:rsid w:val="00B506D6"/>
    <w:rsid w:val="00B51D67"/>
    <w:rsid w:val="00B51E78"/>
    <w:rsid w:val="00B520FF"/>
    <w:rsid w:val="00B523FE"/>
    <w:rsid w:val="00B5349E"/>
    <w:rsid w:val="00B54C42"/>
    <w:rsid w:val="00B54FDF"/>
    <w:rsid w:val="00B55922"/>
    <w:rsid w:val="00B55A7A"/>
    <w:rsid w:val="00B606CE"/>
    <w:rsid w:val="00B60DA8"/>
    <w:rsid w:val="00B61AFF"/>
    <w:rsid w:val="00B648D3"/>
    <w:rsid w:val="00B649FA"/>
    <w:rsid w:val="00B64F64"/>
    <w:rsid w:val="00B65BC0"/>
    <w:rsid w:val="00B66500"/>
    <w:rsid w:val="00B66C81"/>
    <w:rsid w:val="00B66E41"/>
    <w:rsid w:val="00B66F0E"/>
    <w:rsid w:val="00B67127"/>
    <w:rsid w:val="00B677C3"/>
    <w:rsid w:val="00B677E4"/>
    <w:rsid w:val="00B67AED"/>
    <w:rsid w:val="00B67F19"/>
    <w:rsid w:val="00B70F00"/>
    <w:rsid w:val="00B71999"/>
    <w:rsid w:val="00B7281F"/>
    <w:rsid w:val="00B72BD2"/>
    <w:rsid w:val="00B72C1D"/>
    <w:rsid w:val="00B72D4E"/>
    <w:rsid w:val="00B739F2"/>
    <w:rsid w:val="00B74F00"/>
    <w:rsid w:val="00B75283"/>
    <w:rsid w:val="00B75477"/>
    <w:rsid w:val="00B75F24"/>
    <w:rsid w:val="00B75F66"/>
    <w:rsid w:val="00B77231"/>
    <w:rsid w:val="00B77DDF"/>
    <w:rsid w:val="00B801B5"/>
    <w:rsid w:val="00B80508"/>
    <w:rsid w:val="00B80A15"/>
    <w:rsid w:val="00B81324"/>
    <w:rsid w:val="00B8173B"/>
    <w:rsid w:val="00B817B8"/>
    <w:rsid w:val="00B81971"/>
    <w:rsid w:val="00B81CA2"/>
    <w:rsid w:val="00B81CBD"/>
    <w:rsid w:val="00B81FCD"/>
    <w:rsid w:val="00B822E5"/>
    <w:rsid w:val="00B82424"/>
    <w:rsid w:val="00B836FC"/>
    <w:rsid w:val="00B83F1F"/>
    <w:rsid w:val="00B84F8F"/>
    <w:rsid w:val="00B867C4"/>
    <w:rsid w:val="00B86997"/>
    <w:rsid w:val="00B86A43"/>
    <w:rsid w:val="00B86B1C"/>
    <w:rsid w:val="00B871F9"/>
    <w:rsid w:val="00B87F4E"/>
    <w:rsid w:val="00B902BA"/>
    <w:rsid w:val="00B90671"/>
    <w:rsid w:val="00B90F14"/>
    <w:rsid w:val="00B9115E"/>
    <w:rsid w:val="00B9119F"/>
    <w:rsid w:val="00B91E6A"/>
    <w:rsid w:val="00B91FD6"/>
    <w:rsid w:val="00B92075"/>
    <w:rsid w:val="00B92D43"/>
    <w:rsid w:val="00B930CF"/>
    <w:rsid w:val="00B93467"/>
    <w:rsid w:val="00B93E79"/>
    <w:rsid w:val="00B93E8B"/>
    <w:rsid w:val="00B94E24"/>
    <w:rsid w:val="00B95E21"/>
    <w:rsid w:val="00B96143"/>
    <w:rsid w:val="00B96383"/>
    <w:rsid w:val="00B963F9"/>
    <w:rsid w:val="00B967A7"/>
    <w:rsid w:val="00B96F74"/>
    <w:rsid w:val="00B975C3"/>
    <w:rsid w:val="00B97DA8"/>
    <w:rsid w:val="00BA0AA8"/>
    <w:rsid w:val="00BA1B88"/>
    <w:rsid w:val="00BA1B9C"/>
    <w:rsid w:val="00BA21B5"/>
    <w:rsid w:val="00BA2245"/>
    <w:rsid w:val="00BA2442"/>
    <w:rsid w:val="00BA379C"/>
    <w:rsid w:val="00BA3C53"/>
    <w:rsid w:val="00BA4202"/>
    <w:rsid w:val="00BA4B98"/>
    <w:rsid w:val="00BA53F1"/>
    <w:rsid w:val="00BA5EFF"/>
    <w:rsid w:val="00BA6102"/>
    <w:rsid w:val="00BA620B"/>
    <w:rsid w:val="00BA637E"/>
    <w:rsid w:val="00BA64F0"/>
    <w:rsid w:val="00BA6B7E"/>
    <w:rsid w:val="00BA7381"/>
    <w:rsid w:val="00BA73BB"/>
    <w:rsid w:val="00BA76B4"/>
    <w:rsid w:val="00BA7E86"/>
    <w:rsid w:val="00BB04EA"/>
    <w:rsid w:val="00BB05D1"/>
    <w:rsid w:val="00BB1995"/>
    <w:rsid w:val="00BB1AA2"/>
    <w:rsid w:val="00BB1E2D"/>
    <w:rsid w:val="00BB218A"/>
    <w:rsid w:val="00BB29E5"/>
    <w:rsid w:val="00BB2C20"/>
    <w:rsid w:val="00BB3B48"/>
    <w:rsid w:val="00BB4575"/>
    <w:rsid w:val="00BB4589"/>
    <w:rsid w:val="00BB4DE8"/>
    <w:rsid w:val="00BB595A"/>
    <w:rsid w:val="00BB6830"/>
    <w:rsid w:val="00BB688C"/>
    <w:rsid w:val="00BB6B9E"/>
    <w:rsid w:val="00BB6F2D"/>
    <w:rsid w:val="00BB7B7B"/>
    <w:rsid w:val="00BC09F2"/>
    <w:rsid w:val="00BC14C2"/>
    <w:rsid w:val="00BC1E31"/>
    <w:rsid w:val="00BC1F01"/>
    <w:rsid w:val="00BC202E"/>
    <w:rsid w:val="00BC22CD"/>
    <w:rsid w:val="00BC2384"/>
    <w:rsid w:val="00BC241C"/>
    <w:rsid w:val="00BC26EF"/>
    <w:rsid w:val="00BC2901"/>
    <w:rsid w:val="00BC2A75"/>
    <w:rsid w:val="00BC2CF1"/>
    <w:rsid w:val="00BC3617"/>
    <w:rsid w:val="00BC3B9F"/>
    <w:rsid w:val="00BC4ACA"/>
    <w:rsid w:val="00BC5BAE"/>
    <w:rsid w:val="00BC5F1E"/>
    <w:rsid w:val="00BC62D9"/>
    <w:rsid w:val="00BC644C"/>
    <w:rsid w:val="00BC6BB4"/>
    <w:rsid w:val="00BC7798"/>
    <w:rsid w:val="00BD141A"/>
    <w:rsid w:val="00BD24EC"/>
    <w:rsid w:val="00BD2AB3"/>
    <w:rsid w:val="00BD4446"/>
    <w:rsid w:val="00BD4A4D"/>
    <w:rsid w:val="00BD4C68"/>
    <w:rsid w:val="00BD533F"/>
    <w:rsid w:val="00BD54A3"/>
    <w:rsid w:val="00BD5CDC"/>
    <w:rsid w:val="00BD5F33"/>
    <w:rsid w:val="00BD6A3D"/>
    <w:rsid w:val="00BD6EC3"/>
    <w:rsid w:val="00BD75FD"/>
    <w:rsid w:val="00BD7A6E"/>
    <w:rsid w:val="00BE092D"/>
    <w:rsid w:val="00BE0AD5"/>
    <w:rsid w:val="00BE0DEC"/>
    <w:rsid w:val="00BE0E5F"/>
    <w:rsid w:val="00BE15A0"/>
    <w:rsid w:val="00BE1AD2"/>
    <w:rsid w:val="00BE1BDD"/>
    <w:rsid w:val="00BE1D56"/>
    <w:rsid w:val="00BE21AD"/>
    <w:rsid w:val="00BE2661"/>
    <w:rsid w:val="00BE2C6A"/>
    <w:rsid w:val="00BE2D6F"/>
    <w:rsid w:val="00BE37F8"/>
    <w:rsid w:val="00BE4036"/>
    <w:rsid w:val="00BE44B0"/>
    <w:rsid w:val="00BE4F3F"/>
    <w:rsid w:val="00BE5609"/>
    <w:rsid w:val="00BE5802"/>
    <w:rsid w:val="00BE5913"/>
    <w:rsid w:val="00BE6353"/>
    <w:rsid w:val="00BE651C"/>
    <w:rsid w:val="00BE6B62"/>
    <w:rsid w:val="00BE6C04"/>
    <w:rsid w:val="00BE6EE4"/>
    <w:rsid w:val="00BE7035"/>
    <w:rsid w:val="00BE720C"/>
    <w:rsid w:val="00BE7BF4"/>
    <w:rsid w:val="00BE7BFF"/>
    <w:rsid w:val="00BE7FF1"/>
    <w:rsid w:val="00BF0A7B"/>
    <w:rsid w:val="00BF2E5D"/>
    <w:rsid w:val="00BF30FA"/>
    <w:rsid w:val="00BF3162"/>
    <w:rsid w:val="00BF3C25"/>
    <w:rsid w:val="00BF3D3F"/>
    <w:rsid w:val="00BF6E95"/>
    <w:rsid w:val="00BF7099"/>
    <w:rsid w:val="00BF730C"/>
    <w:rsid w:val="00BF7E19"/>
    <w:rsid w:val="00C0028D"/>
    <w:rsid w:val="00C0046F"/>
    <w:rsid w:val="00C00D7D"/>
    <w:rsid w:val="00C00DB6"/>
    <w:rsid w:val="00C012BB"/>
    <w:rsid w:val="00C014B2"/>
    <w:rsid w:val="00C01E25"/>
    <w:rsid w:val="00C02489"/>
    <w:rsid w:val="00C04FD2"/>
    <w:rsid w:val="00C05471"/>
    <w:rsid w:val="00C05ECB"/>
    <w:rsid w:val="00C06D05"/>
    <w:rsid w:val="00C1017D"/>
    <w:rsid w:val="00C10607"/>
    <w:rsid w:val="00C10CDB"/>
    <w:rsid w:val="00C11228"/>
    <w:rsid w:val="00C1162E"/>
    <w:rsid w:val="00C1168A"/>
    <w:rsid w:val="00C11AF5"/>
    <w:rsid w:val="00C11E47"/>
    <w:rsid w:val="00C11E63"/>
    <w:rsid w:val="00C120B6"/>
    <w:rsid w:val="00C12599"/>
    <w:rsid w:val="00C126BC"/>
    <w:rsid w:val="00C12BD0"/>
    <w:rsid w:val="00C12FF6"/>
    <w:rsid w:val="00C132CE"/>
    <w:rsid w:val="00C1506E"/>
    <w:rsid w:val="00C1713A"/>
    <w:rsid w:val="00C171CA"/>
    <w:rsid w:val="00C17516"/>
    <w:rsid w:val="00C17792"/>
    <w:rsid w:val="00C17BEA"/>
    <w:rsid w:val="00C17C73"/>
    <w:rsid w:val="00C20014"/>
    <w:rsid w:val="00C20563"/>
    <w:rsid w:val="00C20BF2"/>
    <w:rsid w:val="00C20CCE"/>
    <w:rsid w:val="00C21713"/>
    <w:rsid w:val="00C21B0A"/>
    <w:rsid w:val="00C21D1B"/>
    <w:rsid w:val="00C21DE2"/>
    <w:rsid w:val="00C2277E"/>
    <w:rsid w:val="00C230BD"/>
    <w:rsid w:val="00C239C0"/>
    <w:rsid w:val="00C23CB9"/>
    <w:rsid w:val="00C24239"/>
    <w:rsid w:val="00C245B0"/>
    <w:rsid w:val="00C24C24"/>
    <w:rsid w:val="00C24ECC"/>
    <w:rsid w:val="00C25ECC"/>
    <w:rsid w:val="00C261CC"/>
    <w:rsid w:val="00C2649C"/>
    <w:rsid w:val="00C27100"/>
    <w:rsid w:val="00C27F35"/>
    <w:rsid w:val="00C30245"/>
    <w:rsid w:val="00C30DB3"/>
    <w:rsid w:val="00C31C25"/>
    <w:rsid w:val="00C31C7E"/>
    <w:rsid w:val="00C31D3D"/>
    <w:rsid w:val="00C32183"/>
    <w:rsid w:val="00C323C5"/>
    <w:rsid w:val="00C33460"/>
    <w:rsid w:val="00C33660"/>
    <w:rsid w:val="00C339F1"/>
    <w:rsid w:val="00C33C67"/>
    <w:rsid w:val="00C343C9"/>
    <w:rsid w:val="00C34737"/>
    <w:rsid w:val="00C34FED"/>
    <w:rsid w:val="00C351AF"/>
    <w:rsid w:val="00C3533C"/>
    <w:rsid w:val="00C35C39"/>
    <w:rsid w:val="00C36045"/>
    <w:rsid w:val="00C360DA"/>
    <w:rsid w:val="00C36723"/>
    <w:rsid w:val="00C367AD"/>
    <w:rsid w:val="00C36CA5"/>
    <w:rsid w:val="00C36D58"/>
    <w:rsid w:val="00C37012"/>
    <w:rsid w:val="00C372A2"/>
    <w:rsid w:val="00C3768A"/>
    <w:rsid w:val="00C37BD3"/>
    <w:rsid w:val="00C4005A"/>
    <w:rsid w:val="00C40172"/>
    <w:rsid w:val="00C406AD"/>
    <w:rsid w:val="00C40B39"/>
    <w:rsid w:val="00C40CB2"/>
    <w:rsid w:val="00C40D86"/>
    <w:rsid w:val="00C414D0"/>
    <w:rsid w:val="00C41503"/>
    <w:rsid w:val="00C41AAD"/>
    <w:rsid w:val="00C420BA"/>
    <w:rsid w:val="00C433F1"/>
    <w:rsid w:val="00C43893"/>
    <w:rsid w:val="00C43E4C"/>
    <w:rsid w:val="00C4487B"/>
    <w:rsid w:val="00C44A3C"/>
    <w:rsid w:val="00C44FCF"/>
    <w:rsid w:val="00C4509E"/>
    <w:rsid w:val="00C4572B"/>
    <w:rsid w:val="00C468C4"/>
    <w:rsid w:val="00C46984"/>
    <w:rsid w:val="00C46D95"/>
    <w:rsid w:val="00C4779D"/>
    <w:rsid w:val="00C50614"/>
    <w:rsid w:val="00C507EE"/>
    <w:rsid w:val="00C50B29"/>
    <w:rsid w:val="00C51273"/>
    <w:rsid w:val="00C51751"/>
    <w:rsid w:val="00C519F1"/>
    <w:rsid w:val="00C52075"/>
    <w:rsid w:val="00C5228F"/>
    <w:rsid w:val="00C52296"/>
    <w:rsid w:val="00C5255F"/>
    <w:rsid w:val="00C526BA"/>
    <w:rsid w:val="00C52B79"/>
    <w:rsid w:val="00C52BED"/>
    <w:rsid w:val="00C52C82"/>
    <w:rsid w:val="00C52E12"/>
    <w:rsid w:val="00C534DB"/>
    <w:rsid w:val="00C53756"/>
    <w:rsid w:val="00C549E7"/>
    <w:rsid w:val="00C55EC7"/>
    <w:rsid w:val="00C55EF5"/>
    <w:rsid w:val="00C55FD8"/>
    <w:rsid w:val="00C57752"/>
    <w:rsid w:val="00C57C44"/>
    <w:rsid w:val="00C60436"/>
    <w:rsid w:val="00C608DC"/>
    <w:rsid w:val="00C60AB0"/>
    <w:rsid w:val="00C61608"/>
    <w:rsid w:val="00C61645"/>
    <w:rsid w:val="00C6166A"/>
    <w:rsid w:val="00C616E3"/>
    <w:rsid w:val="00C617BE"/>
    <w:rsid w:val="00C63423"/>
    <w:rsid w:val="00C6354A"/>
    <w:rsid w:val="00C63772"/>
    <w:rsid w:val="00C63A3E"/>
    <w:rsid w:val="00C63A7B"/>
    <w:rsid w:val="00C6440B"/>
    <w:rsid w:val="00C64ABC"/>
    <w:rsid w:val="00C655C3"/>
    <w:rsid w:val="00C657E7"/>
    <w:rsid w:val="00C65E00"/>
    <w:rsid w:val="00C65F45"/>
    <w:rsid w:val="00C66273"/>
    <w:rsid w:val="00C67321"/>
    <w:rsid w:val="00C7005D"/>
    <w:rsid w:val="00C70469"/>
    <w:rsid w:val="00C70DBF"/>
    <w:rsid w:val="00C712FF"/>
    <w:rsid w:val="00C7139A"/>
    <w:rsid w:val="00C71853"/>
    <w:rsid w:val="00C73E12"/>
    <w:rsid w:val="00C74186"/>
    <w:rsid w:val="00C7465B"/>
    <w:rsid w:val="00C74788"/>
    <w:rsid w:val="00C74ADB"/>
    <w:rsid w:val="00C74D34"/>
    <w:rsid w:val="00C74D59"/>
    <w:rsid w:val="00C74EC5"/>
    <w:rsid w:val="00C755A2"/>
    <w:rsid w:val="00C7561D"/>
    <w:rsid w:val="00C76E72"/>
    <w:rsid w:val="00C773A6"/>
    <w:rsid w:val="00C7742D"/>
    <w:rsid w:val="00C7788D"/>
    <w:rsid w:val="00C77C79"/>
    <w:rsid w:val="00C77FF5"/>
    <w:rsid w:val="00C80026"/>
    <w:rsid w:val="00C801DF"/>
    <w:rsid w:val="00C80B1E"/>
    <w:rsid w:val="00C81D9C"/>
    <w:rsid w:val="00C8250A"/>
    <w:rsid w:val="00C827E5"/>
    <w:rsid w:val="00C83853"/>
    <w:rsid w:val="00C8426C"/>
    <w:rsid w:val="00C846A3"/>
    <w:rsid w:val="00C85327"/>
    <w:rsid w:val="00C85D60"/>
    <w:rsid w:val="00C87862"/>
    <w:rsid w:val="00C87907"/>
    <w:rsid w:val="00C87E2F"/>
    <w:rsid w:val="00C87EAF"/>
    <w:rsid w:val="00C9000A"/>
    <w:rsid w:val="00C902BF"/>
    <w:rsid w:val="00C909A6"/>
    <w:rsid w:val="00C9101D"/>
    <w:rsid w:val="00C910FE"/>
    <w:rsid w:val="00C9271E"/>
    <w:rsid w:val="00C92C10"/>
    <w:rsid w:val="00C93CA5"/>
    <w:rsid w:val="00C945C9"/>
    <w:rsid w:val="00C9463A"/>
    <w:rsid w:val="00C94702"/>
    <w:rsid w:val="00C9487D"/>
    <w:rsid w:val="00C94EC1"/>
    <w:rsid w:val="00C954AD"/>
    <w:rsid w:val="00C957B1"/>
    <w:rsid w:val="00C95B5C"/>
    <w:rsid w:val="00C96192"/>
    <w:rsid w:val="00C96C6C"/>
    <w:rsid w:val="00C96E93"/>
    <w:rsid w:val="00C97613"/>
    <w:rsid w:val="00C97AB7"/>
    <w:rsid w:val="00C97E14"/>
    <w:rsid w:val="00CA0AA1"/>
    <w:rsid w:val="00CA0ACF"/>
    <w:rsid w:val="00CA0F41"/>
    <w:rsid w:val="00CA2411"/>
    <w:rsid w:val="00CA2B0F"/>
    <w:rsid w:val="00CA4250"/>
    <w:rsid w:val="00CA4315"/>
    <w:rsid w:val="00CA5D18"/>
    <w:rsid w:val="00CA6DAC"/>
    <w:rsid w:val="00CA6E28"/>
    <w:rsid w:val="00CA6ED4"/>
    <w:rsid w:val="00CA6F71"/>
    <w:rsid w:val="00CA702F"/>
    <w:rsid w:val="00CA75AF"/>
    <w:rsid w:val="00CA796A"/>
    <w:rsid w:val="00CA7E0F"/>
    <w:rsid w:val="00CA7F11"/>
    <w:rsid w:val="00CA7F4A"/>
    <w:rsid w:val="00CB034C"/>
    <w:rsid w:val="00CB05D8"/>
    <w:rsid w:val="00CB069D"/>
    <w:rsid w:val="00CB07EE"/>
    <w:rsid w:val="00CB1FD4"/>
    <w:rsid w:val="00CB2279"/>
    <w:rsid w:val="00CB236F"/>
    <w:rsid w:val="00CB2396"/>
    <w:rsid w:val="00CB2CC6"/>
    <w:rsid w:val="00CB310E"/>
    <w:rsid w:val="00CB3A38"/>
    <w:rsid w:val="00CB3CF4"/>
    <w:rsid w:val="00CB4382"/>
    <w:rsid w:val="00CB43EC"/>
    <w:rsid w:val="00CB4542"/>
    <w:rsid w:val="00CB641A"/>
    <w:rsid w:val="00CB6A1A"/>
    <w:rsid w:val="00CB6E71"/>
    <w:rsid w:val="00CB7CE9"/>
    <w:rsid w:val="00CC0142"/>
    <w:rsid w:val="00CC0356"/>
    <w:rsid w:val="00CC0ACB"/>
    <w:rsid w:val="00CC0D62"/>
    <w:rsid w:val="00CC0E4F"/>
    <w:rsid w:val="00CC117A"/>
    <w:rsid w:val="00CC1287"/>
    <w:rsid w:val="00CC17A1"/>
    <w:rsid w:val="00CC19D4"/>
    <w:rsid w:val="00CC31B6"/>
    <w:rsid w:val="00CC4581"/>
    <w:rsid w:val="00CC4792"/>
    <w:rsid w:val="00CC4A0A"/>
    <w:rsid w:val="00CC4BB5"/>
    <w:rsid w:val="00CC50CA"/>
    <w:rsid w:val="00CC575B"/>
    <w:rsid w:val="00CC5F97"/>
    <w:rsid w:val="00CC64F4"/>
    <w:rsid w:val="00CC6CFB"/>
    <w:rsid w:val="00CC6E7F"/>
    <w:rsid w:val="00CC7331"/>
    <w:rsid w:val="00CC795C"/>
    <w:rsid w:val="00CD00E3"/>
    <w:rsid w:val="00CD0A29"/>
    <w:rsid w:val="00CD1092"/>
    <w:rsid w:val="00CD164A"/>
    <w:rsid w:val="00CD1DC0"/>
    <w:rsid w:val="00CD2385"/>
    <w:rsid w:val="00CD2789"/>
    <w:rsid w:val="00CD2E03"/>
    <w:rsid w:val="00CD2F9E"/>
    <w:rsid w:val="00CD3D79"/>
    <w:rsid w:val="00CD5B8A"/>
    <w:rsid w:val="00CD5F8E"/>
    <w:rsid w:val="00CD60CA"/>
    <w:rsid w:val="00CD615D"/>
    <w:rsid w:val="00CD670E"/>
    <w:rsid w:val="00CD6E3B"/>
    <w:rsid w:val="00CD703D"/>
    <w:rsid w:val="00CD73D2"/>
    <w:rsid w:val="00CD7459"/>
    <w:rsid w:val="00CD76C2"/>
    <w:rsid w:val="00CD774A"/>
    <w:rsid w:val="00CD7BE9"/>
    <w:rsid w:val="00CD7F17"/>
    <w:rsid w:val="00CE0085"/>
    <w:rsid w:val="00CE0497"/>
    <w:rsid w:val="00CE0600"/>
    <w:rsid w:val="00CE0839"/>
    <w:rsid w:val="00CE09CE"/>
    <w:rsid w:val="00CE0E44"/>
    <w:rsid w:val="00CE0EE0"/>
    <w:rsid w:val="00CE0F1F"/>
    <w:rsid w:val="00CE0FC0"/>
    <w:rsid w:val="00CE1642"/>
    <w:rsid w:val="00CE2901"/>
    <w:rsid w:val="00CE2C0F"/>
    <w:rsid w:val="00CE2C10"/>
    <w:rsid w:val="00CE36BD"/>
    <w:rsid w:val="00CE3C1A"/>
    <w:rsid w:val="00CE416D"/>
    <w:rsid w:val="00CE4BD0"/>
    <w:rsid w:val="00CE5041"/>
    <w:rsid w:val="00CE6685"/>
    <w:rsid w:val="00CE670D"/>
    <w:rsid w:val="00CE67FF"/>
    <w:rsid w:val="00CE6A5E"/>
    <w:rsid w:val="00CE6AB8"/>
    <w:rsid w:val="00CE73D1"/>
    <w:rsid w:val="00CE7F00"/>
    <w:rsid w:val="00CF06D6"/>
    <w:rsid w:val="00CF08BD"/>
    <w:rsid w:val="00CF0B58"/>
    <w:rsid w:val="00CF0DD6"/>
    <w:rsid w:val="00CF14CB"/>
    <w:rsid w:val="00CF2A00"/>
    <w:rsid w:val="00CF2C0C"/>
    <w:rsid w:val="00CF2C72"/>
    <w:rsid w:val="00CF2F48"/>
    <w:rsid w:val="00CF38DC"/>
    <w:rsid w:val="00CF41B6"/>
    <w:rsid w:val="00CF47C9"/>
    <w:rsid w:val="00CF51EA"/>
    <w:rsid w:val="00CF5C17"/>
    <w:rsid w:val="00CF5FEA"/>
    <w:rsid w:val="00CF63DE"/>
    <w:rsid w:val="00CF643E"/>
    <w:rsid w:val="00CF69F5"/>
    <w:rsid w:val="00CF716C"/>
    <w:rsid w:val="00CF7809"/>
    <w:rsid w:val="00D0127F"/>
    <w:rsid w:val="00D02129"/>
    <w:rsid w:val="00D024BE"/>
    <w:rsid w:val="00D03A28"/>
    <w:rsid w:val="00D03C0F"/>
    <w:rsid w:val="00D04640"/>
    <w:rsid w:val="00D0498F"/>
    <w:rsid w:val="00D04BE5"/>
    <w:rsid w:val="00D05E21"/>
    <w:rsid w:val="00D05E3B"/>
    <w:rsid w:val="00D062BB"/>
    <w:rsid w:val="00D067D6"/>
    <w:rsid w:val="00D06E3B"/>
    <w:rsid w:val="00D075C0"/>
    <w:rsid w:val="00D076CC"/>
    <w:rsid w:val="00D07DFA"/>
    <w:rsid w:val="00D11449"/>
    <w:rsid w:val="00D124F8"/>
    <w:rsid w:val="00D12711"/>
    <w:rsid w:val="00D12C28"/>
    <w:rsid w:val="00D12F2A"/>
    <w:rsid w:val="00D131DC"/>
    <w:rsid w:val="00D13502"/>
    <w:rsid w:val="00D13E52"/>
    <w:rsid w:val="00D14340"/>
    <w:rsid w:val="00D1499C"/>
    <w:rsid w:val="00D14C72"/>
    <w:rsid w:val="00D1525F"/>
    <w:rsid w:val="00D15690"/>
    <w:rsid w:val="00D15974"/>
    <w:rsid w:val="00D15CC4"/>
    <w:rsid w:val="00D1646E"/>
    <w:rsid w:val="00D16D00"/>
    <w:rsid w:val="00D16EF6"/>
    <w:rsid w:val="00D16F70"/>
    <w:rsid w:val="00D1765A"/>
    <w:rsid w:val="00D2084D"/>
    <w:rsid w:val="00D20F0A"/>
    <w:rsid w:val="00D211CE"/>
    <w:rsid w:val="00D21556"/>
    <w:rsid w:val="00D21BA7"/>
    <w:rsid w:val="00D2238E"/>
    <w:rsid w:val="00D227F8"/>
    <w:rsid w:val="00D22E87"/>
    <w:rsid w:val="00D2304E"/>
    <w:rsid w:val="00D2316E"/>
    <w:rsid w:val="00D23F58"/>
    <w:rsid w:val="00D243C1"/>
    <w:rsid w:val="00D24667"/>
    <w:rsid w:val="00D24770"/>
    <w:rsid w:val="00D24C2F"/>
    <w:rsid w:val="00D256E2"/>
    <w:rsid w:val="00D2579B"/>
    <w:rsid w:val="00D26A48"/>
    <w:rsid w:val="00D27500"/>
    <w:rsid w:val="00D27801"/>
    <w:rsid w:val="00D27913"/>
    <w:rsid w:val="00D27C76"/>
    <w:rsid w:val="00D27DEE"/>
    <w:rsid w:val="00D27FA5"/>
    <w:rsid w:val="00D300AB"/>
    <w:rsid w:val="00D30281"/>
    <w:rsid w:val="00D30995"/>
    <w:rsid w:val="00D30E65"/>
    <w:rsid w:val="00D31025"/>
    <w:rsid w:val="00D310AA"/>
    <w:rsid w:val="00D31412"/>
    <w:rsid w:val="00D3148F"/>
    <w:rsid w:val="00D31750"/>
    <w:rsid w:val="00D31C7F"/>
    <w:rsid w:val="00D31D02"/>
    <w:rsid w:val="00D32D55"/>
    <w:rsid w:val="00D3353A"/>
    <w:rsid w:val="00D33A0E"/>
    <w:rsid w:val="00D33DA0"/>
    <w:rsid w:val="00D3447D"/>
    <w:rsid w:val="00D347A6"/>
    <w:rsid w:val="00D35EEC"/>
    <w:rsid w:val="00D35F1A"/>
    <w:rsid w:val="00D362D6"/>
    <w:rsid w:val="00D36317"/>
    <w:rsid w:val="00D369E4"/>
    <w:rsid w:val="00D37721"/>
    <w:rsid w:val="00D377D5"/>
    <w:rsid w:val="00D37E8E"/>
    <w:rsid w:val="00D414B0"/>
    <w:rsid w:val="00D4157F"/>
    <w:rsid w:val="00D41582"/>
    <w:rsid w:val="00D41DD9"/>
    <w:rsid w:val="00D425A9"/>
    <w:rsid w:val="00D42651"/>
    <w:rsid w:val="00D4284C"/>
    <w:rsid w:val="00D42D9C"/>
    <w:rsid w:val="00D43019"/>
    <w:rsid w:val="00D44001"/>
    <w:rsid w:val="00D44479"/>
    <w:rsid w:val="00D446D9"/>
    <w:rsid w:val="00D44783"/>
    <w:rsid w:val="00D44EBD"/>
    <w:rsid w:val="00D45016"/>
    <w:rsid w:val="00D45075"/>
    <w:rsid w:val="00D45E8B"/>
    <w:rsid w:val="00D4710A"/>
    <w:rsid w:val="00D477A9"/>
    <w:rsid w:val="00D502D3"/>
    <w:rsid w:val="00D50394"/>
    <w:rsid w:val="00D5073B"/>
    <w:rsid w:val="00D50CEE"/>
    <w:rsid w:val="00D51455"/>
    <w:rsid w:val="00D5173C"/>
    <w:rsid w:val="00D5206D"/>
    <w:rsid w:val="00D5226B"/>
    <w:rsid w:val="00D523B9"/>
    <w:rsid w:val="00D52880"/>
    <w:rsid w:val="00D536E8"/>
    <w:rsid w:val="00D539EA"/>
    <w:rsid w:val="00D53B4D"/>
    <w:rsid w:val="00D53D31"/>
    <w:rsid w:val="00D54064"/>
    <w:rsid w:val="00D54C39"/>
    <w:rsid w:val="00D54E77"/>
    <w:rsid w:val="00D55875"/>
    <w:rsid w:val="00D55B47"/>
    <w:rsid w:val="00D55C08"/>
    <w:rsid w:val="00D57297"/>
    <w:rsid w:val="00D5793A"/>
    <w:rsid w:val="00D57EFA"/>
    <w:rsid w:val="00D601AC"/>
    <w:rsid w:val="00D601C3"/>
    <w:rsid w:val="00D60C86"/>
    <w:rsid w:val="00D61777"/>
    <w:rsid w:val="00D61C13"/>
    <w:rsid w:val="00D61C8E"/>
    <w:rsid w:val="00D6219E"/>
    <w:rsid w:val="00D6281E"/>
    <w:rsid w:val="00D62D05"/>
    <w:rsid w:val="00D62D7C"/>
    <w:rsid w:val="00D64009"/>
    <w:rsid w:val="00D6457A"/>
    <w:rsid w:val="00D64EE4"/>
    <w:rsid w:val="00D652B9"/>
    <w:rsid w:val="00D65EFD"/>
    <w:rsid w:val="00D66066"/>
    <w:rsid w:val="00D66195"/>
    <w:rsid w:val="00D66702"/>
    <w:rsid w:val="00D675C3"/>
    <w:rsid w:val="00D678D2"/>
    <w:rsid w:val="00D70445"/>
    <w:rsid w:val="00D711D4"/>
    <w:rsid w:val="00D71435"/>
    <w:rsid w:val="00D71F3F"/>
    <w:rsid w:val="00D72094"/>
    <w:rsid w:val="00D72096"/>
    <w:rsid w:val="00D7271A"/>
    <w:rsid w:val="00D729A2"/>
    <w:rsid w:val="00D72A0F"/>
    <w:rsid w:val="00D72C46"/>
    <w:rsid w:val="00D730E4"/>
    <w:rsid w:val="00D73178"/>
    <w:rsid w:val="00D73701"/>
    <w:rsid w:val="00D73711"/>
    <w:rsid w:val="00D739F0"/>
    <w:rsid w:val="00D73A76"/>
    <w:rsid w:val="00D73D5F"/>
    <w:rsid w:val="00D74665"/>
    <w:rsid w:val="00D74698"/>
    <w:rsid w:val="00D74802"/>
    <w:rsid w:val="00D74949"/>
    <w:rsid w:val="00D74DA1"/>
    <w:rsid w:val="00D75069"/>
    <w:rsid w:val="00D755A3"/>
    <w:rsid w:val="00D75A58"/>
    <w:rsid w:val="00D75A75"/>
    <w:rsid w:val="00D75ED7"/>
    <w:rsid w:val="00D76681"/>
    <w:rsid w:val="00D767BC"/>
    <w:rsid w:val="00D76F26"/>
    <w:rsid w:val="00D8026E"/>
    <w:rsid w:val="00D805BE"/>
    <w:rsid w:val="00D80CFC"/>
    <w:rsid w:val="00D80FE2"/>
    <w:rsid w:val="00D810F5"/>
    <w:rsid w:val="00D81209"/>
    <w:rsid w:val="00D81265"/>
    <w:rsid w:val="00D816C2"/>
    <w:rsid w:val="00D81BEA"/>
    <w:rsid w:val="00D82944"/>
    <w:rsid w:val="00D82BEE"/>
    <w:rsid w:val="00D82F17"/>
    <w:rsid w:val="00D82F9D"/>
    <w:rsid w:val="00D83663"/>
    <w:rsid w:val="00D83811"/>
    <w:rsid w:val="00D84DEB"/>
    <w:rsid w:val="00D84FB9"/>
    <w:rsid w:val="00D851F0"/>
    <w:rsid w:val="00D85351"/>
    <w:rsid w:val="00D864EA"/>
    <w:rsid w:val="00D86909"/>
    <w:rsid w:val="00D87207"/>
    <w:rsid w:val="00D9044E"/>
    <w:rsid w:val="00D91887"/>
    <w:rsid w:val="00D919FC"/>
    <w:rsid w:val="00D91A31"/>
    <w:rsid w:val="00D9294B"/>
    <w:rsid w:val="00D92CD7"/>
    <w:rsid w:val="00D9304A"/>
    <w:rsid w:val="00D93F85"/>
    <w:rsid w:val="00D942B2"/>
    <w:rsid w:val="00D94F5C"/>
    <w:rsid w:val="00D94FE4"/>
    <w:rsid w:val="00D95033"/>
    <w:rsid w:val="00D95120"/>
    <w:rsid w:val="00D958B4"/>
    <w:rsid w:val="00D95BD5"/>
    <w:rsid w:val="00D9680F"/>
    <w:rsid w:val="00D96862"/>
    <w:rsid w:val="00D968AE"/>
    <w:rsid w:val="00D969BC"/>
    <w:rsid w:val="00D96C8B"/>
    <w:rsid w:val="00D97C0D"/>
    <w:rsid w:val="00D97CEB"/>
    <w:rsid w:val="00DA0577"/>
    <w:rsid w:val="00DA0901"/>
    <w:rsid w:val="00DA0E2D"/>
    <w:rsid w:val="00DA0E47"/>
    <w:rsid w:val="00DA1854"/>
    <w:rsid w:val="00DA19B0"/>
    <w:rsid w:val="00DA1C50"/>
    <w:rsid w:val="00DA1FCA"/>
    <w:rsid w:val="00DA250A"/>
    <w:rsid w:val="00DA2610"/>
    <w:rsid w:val="00DA34EC"/>
    <w:rsid w:val="00DA3F97"/>
    <w:rsid w:val="00DA41FF"/>
    <w:rsid w:val="00DA4D92"/>
    <w:rsid w:val="00DA503B"/>
    <w:rsid w:val="00DA5093"/>
    <w:rsid w:val="00DA55CF"/>
    <w:rsid w:val="00DA58F3"/>
    <w:rsid w:val="00DA59B9"/>
    <w:rsid w:val="00DA5CE2"/>
    <w:rsid w:val="00DA5DBB"/>
    <w:rsid w:val="00DA6389"/>
    <w:rsid w:val="00DA6778"/>
    <w:rsid w:val="00DA677A"/>
    <w:rsid w:val="00DA6B94"/>
    <w:rsid w:val="00DA70FD"/>
    <w:rsid w:val="00DA7CC1"/>
    <w:rsid w:val="00DB0142"/>
    <w:rsid w:val="00DB0DDA"/>
    <w:rsid w:val="00DB1798"/>
    <w:rsid w:val="00DB23A2"/>
    <w:rsid w:val="00DB2573"/>
    <w:rsid w:val="00DB2925"/>
    <w:rsid w:val="00DB3FD7"/>
    <w:rsid w:val="00DB4000"/>
    <w:rsid w:val="00DB536C"/>
    <w:rsid w:val="00DB5454"/>
    <w:rsid w:val="00DB55F6"/>
    <w:rsid w:val="00DB57B3"/>
    <w:rsid w:val="00DB5905"/>
    <w:rsid w:val="00DB61A4"/>
    <w:rsid w:val="00DB6309"/>
    <w:rsid w:val="00DB6400"/>
    <w:rsid w:val="00DB6A9F"/>
    <w:rsid w:val="00DB7048"/>
    <w:rsid w:val="00DB74B4"/>
    <w:rsid w:val="00DB773B"/>
    <w:rsid w:val="00DC0493"/>
    <w:rsid w:val="00DC050D"/>
    <w:rsid w:val="00DC0E86"/>
    <w:rsid w:val="00DC132F"/>
    <w:rsid w:val="00DC1E0D"/>
    <w:rsid w:val="00DC2EB5"/>
    <w:rsid w:val="00DC42DF"/>
    <w:rsid w:val="00DC44DB"/>
    <w:rsid w:val="00DC4A82"/>
    <w:rsid w:val="00DC632B"/>
    <w:rsid w:val="00DC6528"/>
    <w:rsid w:val="00DC709A"/>
    <w:rsid w:val="00DC733A"/>
    <w:rsid w:val="00DC76E9"/>
    <w:rsid w:val="00DC78F0"/>
    <w:rsid w:val="00DC798E"/>
    <w:rsid w:val="00DC7B2B"/>
    <w:rsid w:val="00DD06FE"/>
    <w:rsid w:val="00DD1287"/>
    <w:rsid w:val="00DD149F"/>
    <w:rsid w:val="00DD2022"/>
    <w:rsid w:val="00DD2A5E"/>
    <w:rsid w:val="00DD3497"/>
    <w:rsid w:val="00DD54E4"/>
    <w:rsid w:val="00DD5777"/>
    <w:rsid w:val="00DD5E2E"/>
    <w:rsid w:val="00DD641D"/>
    <w:rsid w:val="00DE07DF"/>
    <w:rsid w:val="00DE08D9"/>
    <w:rsid w:val="00DE0E0D"/>
    <w:rsid w:val="00DE1209"/>
    <w:rsid w:val="00DE130E"/>
    <w:rsid w:val="00DE1CCC"/>
    <w:rsid w:val="00DE20EE"/>
    <w:rsid w:val="00DE24BB"/>
    <w:rsid w:val="00DE2548"/>
    <w:rsid w:val="00DE33BC"/>
    <w:rsid w:val="00DE3BB5"/>
    <w:rsid w:val="00DE3D42"/>
    <w:rsid w:val="00DE3EB4"/>
    <w:rsid w:val="00DE473C"/>
    <w:rsid w:val="00DE4E5F"/>
    <w:rsid w:val="00DE72D2"/>
    <w:rsid w:val="00DE75A8"/>
    <w:rsid w:val="00DE77EC"/>
    <w:rsid w:val="00DE7FD9"/>
    <w:rsid w:val="00DF0769"/>
    <w:rsid w:val="00DF0826"/>
    <w:rsid w:val="00DF135E"/>
    <w:rsid w:val="00DF1692"/>
    <w:rsid w:val="00DF3255"/>
    <w:rsid w:val="00DF376E"/>
    <w:rsid w:val="00DF3D86"/>
    <w:rsid w:val="00DF3DF8"/>
    <w:rsid w:val="00DF48D7"/>
    <w:rsid w:val="00DF4A1A"/>
    <w:rsid w:val="00DF4A73"/>
    <w:rsid w:val="00DF4BF9"/>
    <w:rsid w:val="00DF4FD5"/>
    <w:rsid w:val="00DF56BE"/>
    <w:rsid w:val="00DF63E3"/>
    <w:rsid w:val="00DF64A2"/>
    <w:rsid w:val="00DF6BB4"/>
    <w:rsid w:val="00DF7208"/>
    <w:rsid w:val="00DF789D"/>
    <w:rsid w:val="00DF7DF2"/>
    <w:rsid w:val="00DF7FE8"/>
    <w:rsid w:val="00E017FD"/>
    <w:rsid w:val="00E01B94"/>
    <w:rsid w:val="00E01F0A"/>
    <w:rsid w:val="00E026B6"/>
    <w:rsid w:val="00E03754"/>
    <w:rsid w:val="00E03F8D"/>
    <w:rsid w:val="00E04657"/>
    <w:rsid w:val="00E04B46"/>
    <w:rsid w:val="00E04DD5"/>
    <w:rsid w:val="00E057DD"/>
    <w:rsid w:val="00E05F9A"/>
    <w:rsid w:val="00E0606E"/>
    <w:rsid w:val="00E0610C"/>
    <w:rsid w:val="00E06126"/>
    <w:rsid w:val="00E065EC"/>
    <w:rsid w:val="00E066E5"/>
    <w:rsid w:val="00E06BEB"/>
    <w:rsid w:val="00E06FE8"/>
    <w:rsid w:val="00E0716C"/>
    <w:rsid w:val="00E07383"/>
    <w:rsid w:val="00E0740E"/>
    <w:rsid w:val="00E0784A"/>
    <w:rsid w:val="00E07AF9"/>
    <w:rsid w:val="00E10487"/>
    <w:rsid w:val="00E10BD6"/>
    <w:rsid w:val="00E114B1"/>
    <w:rsid w:val="00E114C4"/>
    <w:rsid w:val="00E1163A"/>
    <w:rsid w:val="00E117BA"/>
    <w:rsid w:val="00E11BC7"/>
    <w:rsid w:val="00E11C80"/>
    <w:rsid w:val="00E1227C"/>
    <w:rsid w:val="00E1247B"/>
    <w:rsid w:val="00E1277C"/>
    <w:rsid w:val="00E129BD"/>
    <w:rsid w:val="00E13781"/>
    <w:rsid w:val="00E13CB4"/>
    <w:rsid w:val="00E13CCE"/>
    <w:rsid w:val="00E13CE9"/>
    <w:rsid w:val="00E140F8"/>
    <w:rsid w:val="00E14113"/>
    <w:rsid w:val="00E144AD"/>
    <w:rsid w:val="00E14FB8"/>
    <w:rsid w:val="00E15418"/>
    <w:rsid w:val="00E1586F"/>
    <w:rsid w:val="00E15FD4"/>
    <w:rsid w:val="00E16253"/>
    <w:rsid w:val="00E16A9D"/>
    <w:rsid w:val="00E1748E"/>
    <w:rsid w:val="00E17525"/>
    <w:rsid w:val="00E17BB3"/>
    <w:rsid w:val="00E17DB8"/>
    <w:rsid w:val="00E17F7C"/>
    <w:rsid w:val="00E20120"/>
    <w:rsid w:val="00E202A4"/>
    <w:rsid w:val="00E2033B"/>
    <w:rsid w:val="00E204C6"/>
    <w:rsid w:val="00E21312"/>
    <w:rsid w:val="00E213C9"/>
    <w:rsid w:val="00E21523"/>
    <w:rsid w:val="00E2187E"/>
    <w:rsid w:val="00E220C8"/>
    <w:rsid w:val="00E22376"/>
    <w:rsid w:val="00E22BB4"/>
    <w:rsid w:val="00E237A9"/>
    <w:rsid w:val="00E249DA"/>
    <w:rsid w:val="00E24BAC"/>
    <w:rsid w:val="00E251C9"/>
    <w:rsid w:val="00E2579B"/>
    <w:rsid w:val="00E25CBB"/>
    <w:rsid w:val="00E26404"/>
    <w:rsid w:val="00E26973"/>
    <w:rsid w:val="00E274F7"/>
    <w:rsid w:val="00E2783D"/>
    <w:rsid w:val="00E27863"/>
    <w:rsid w:val="00E27ADB"/>
    <w:rsid w:val="00E27D9A"/>
    <w:rsid w:val="00E300C0"/>
    <w:rsid w:val="00E30B66"/>
    <w:rsid w:val="00E30BE2"/>
    <w:rsid w:val="00E31584"/>
    <w:rsid w:val="00E3188B"/>
    <w:rsid w:val="00E31FC2"/>
    <w:rsid w:val="00E327E9"/>
    <w:rsid w:val="00E32C25"/>
    <w:rsid w:val="00E33877"/>
    <w:rsid w:val="00E33B3F"/>
    <w:rsid w:val="00E351B9"/>
    <w:rsid w:val="00E35203"/>
    <w:rsid w:val="00E35253"/>
    <w:rsid w:val="00E3533A"/>
    <w:rsid w:val="00E3556A"/>
    <w:rsid w:val="00E35A99"/>
    <w:rsid w:val="00E36111"/>
    <w:rsid w:val="00E36513"/>
    <w:rsid w:val="00E372F4"/>
    <w:rsid w:val="00E374C0"/>
    <w:rsid w:val="00E37586"/>
    <w:rsid w:val="00E3789D"/>
    <w:rsid w:val="00E40A85"/>
    <w:rsid w:val="00E4115D"/>
    <w:rsid w:val="00E41266"/>
    <w:rsid w:val="00E412BD"/>
    <w:rsid w:val="00E414B5"/>
    <w:rsid w:val="00E41604"/>
    <w:rsid w:val="00E41A6B"/>
    <w:rsid w:val="00E42408"/>
    <w:rsid w:val="00E429F6"/>
    <w:rsid w:val="00E42D99"/>
    <w:rsid w:val="00E4317A"/>
    <w:rsid w:val="00E4343C"/>
    <w:rsid w:val="00E438D8"/>
    <w:rsid w:val="00E4539F"/>
    <w:rsid w:val="00E45563"/>
    <w:rsid w:val="00E4597B"/>
    <w:rsid w:val="00E45A6E"/>
    <w:rsid w:val="00E45FDC"/>
    <w:rsid w:val="00E45FEE"/>
    <w:rsid w:val="00E466F0"/>
    <w:rsid w:val="00E46886"/>
    <w:rsid w:val="00E46A66"/>
    <w:rsid w:val="00E4717E"/>
    <w:rsid w:val="00E471ED"/>
    <w:rsid w:val="00E47986"/>
    <w:rsid w:val="00E519B1"/>
    <w:rsid w:val="00E524D3"/>
    <w:rsid w:val="00E5286F"/>
    <w:rsid w:val="00E52F1C"/>
    <w:rsid w:val="00E53656"/>
    <w:rsid w:val="00E543D8"/>
    <w:rsid w:val="00E5472E"/>
    <w:rsid w:val="00E54D4C"/>
    <w:rsid w:val="00E55D0B"/>
    <w:rsid w:val="00E57AAC"/>
    <w:rsid w:val="00E60528"/>
    <w:rsid w:val="00E60B9F"/>
    <w:rsid w:val="00E61C62"/>
    <w:rsid w:val="00E61D10"/>
    <w:rsid w:val="00E61F45"/>
    <w:rsid w:val="00E61FAB"/>
    <w:rsid w:val="00E62228"/>
    <w:rsid w:val="00E6224C"/>
    <w:rsid w:val="00E6270D"/>
    <w:rsid w:val="00E630AA"/>
    <w:rsid w:val="00E63245"/>
    <w:rsid w:val="00E63271"/>
    <w:rsid w:val="00E63749"/>
    <w:rsid w:val="00E637C6"/>
    <w:rsid w:val="00E63809"/>
    <w:rsid w:val="00E63FEC"/>
    <w:rsid w:val="00E6426D"/>
    <w:rsid w:val="00E65A4A"/>
    <w:rsid w:val="00E65BB8"/>
    <w:rsid w:val="00E673C9"/>
    <w:rsid w:val="00E6762B"/>
    <w:rsid w:val="00E67895"/>
    <w:rsid w:val="00E70547"/>
    <w:rsid w:val="00E70607"/>
    <w:rsid w:val="00E70685"/>
    <w:rsid w:val="00E70BF1"/>
    <w:rsid w:val="00E71069"/>
    <w:rsid w:val="00E71132"/>
    <w:rsid w:val="00E718AD"/>
    <w:rsid w:val="00E72A77"/>
    <w:rsid w:val="00E73301"/>
    <w:rsid w:val="00E73307"/>
    <w:rsid w:val="00E74449"/>
    <w:rsid w:val="00E757AF"/>
    <w:rsid w:val="00E75D66"/>
    <w:rsid w:val="00E762C9"/>
    <w:rsid w:val="00E763EC"/>
    <w:rsid w:val="00E76893"/>
    <w:rsid w:val="00E768D8"/>
    <w:rsid w:val="00E770EE"/>
    <w:rsid w:val="00E776E1"/>
    <w:rsid w:val="00E77AD5"/>
    <w:rsid w:val="00E77BAF"/>
    <w:rsid w:val="00E77E5A"/>
    <w:rsid w:val="00E8033E"/>
    <w:rsid w:val="00E803C0"/>
    <w:rsid w:val="00E81331"/>
    <w:rsid w:val="00E8173B"/>
    <w:rsid w:val="00E81E0F"/>
    <w:rsid w:val="00E82255"/>
    <w:rsid w:val="00E83836"/>
    <w:rsid w:val="00E84562"/>
    <w:rsid w:val="00E84EFB"/>
    <w:rsid w:val="00E8512B"/>
    <w:rsid w:val="00E8549A"/>
    <w:rsid w:val="00E854E7"/>
    <w:rsid w:val="00E86204"/>
    <w:rsid w:val="00E86738"/>
    <w:rsid w:val="00E867CC"/>
    <w:rsid w:val="00E86C7B"/>
    <w:rsid w:val="00E86F39"/>
    <w:rsid w:val="00E87731"/>
    <w:rsid w:val="00E87B54"/>
    <w:rsid w:val="00E903A1"/>
    <w:rsid w:val="00E91157"/>
    <w:rsid w:val="00E91298"/>
    <w:rsid w:val="00E91B43"/>
    <w:rsid w:val="00E923BC"/>
    <w:rsid w:val="00E92CBA"/>
    <w:rsid w:val="00E93819"/>
    <w:rsid w:val="00E9471B"/>
    <w:rsid w:val="00E94B28"/>
    <w:rsid w:val="00E94B36"/>
    <w:rsid w:val="00E94BE2"/>
    <w:rsid w:val="00E95A4C"/>
    <w:rsid w:val="00E95AB1"/>
    <w:rsid w:val="00E961D8"/>
    <w:rsid w:val="00E96E5E"/>
    <w:rsid w:val="00E9726B"/>
    <w:rsid w:val="00E97A85"/>
    <w:rsid w:val="00EA0521"/>
    <w:rsid w:val="00EA0C90"/>
    <w:rsid w:val="00EA0D47"/>
    <w:rsid w:val="00EA11EE"/>
    <w:rsid w:val="00EA15D9"/>
    <w:rsid w:val="00EA1961"/>
    <w:rsid w:val="00EA1AAE"/>
    <w:rsid w:val="00EA1BF8"/>
    <w:rsid w:val="00EA2588"/>
    <w:rsid w:val="00EA2896"/>
    <w:rsid w:val="00EA31D0"/>
    <w:rsid w:val="00EA32FA"/>
    <w:rsid w:val="00EA3416"/>
    <w:rsid w:val="00EA4201"/>
    <w:rsid w:val="00EA43AC"/>
    <w:rsid w:val="00EA5925"/>
    <w:rsid w:val="00EA5E20"/>
    <w:rsid w:val="00EA6071"/>
    <w:rsid w:val="00EA64C6"/>
    <w:rsid w:val="00EA762C"/>
    <w:rsid w:val="00EA7D67"/>
    <w:rsid w:val="00EB00D8"/>
    <w:rsid w:val="00EB0748"/>
    <w:rsid w:val="00EB0EB6"/>
    <w:rsid w:val="00EB1178"/>
    <w:rsid w:val="00EB23E1"/>
    <w:rsid w:val="00EB3278"/>
    <w:rsid w:val="00EB3D31"/>
    <w:rsid w:val="00EB3F9B"/>
    <w:rsid w:val="00EB4723"/>
    <w:rsid w:val="00EB4D46"/>
    <w:rsid w:val="00EB5E62"/>
    <w:rsid w:val="00EB7A0F"/>
    <w:rsid w:val="00EC00F4"/>
    <w:rsid w:val="00EC0298"/>
    <w:rsid w:val="00EC0354"/>
    <w:rsid w:val="00EC1E27"/>
    <w:rsid w:val="00EC22CB"/>
    <w:rsid w:val="00EC3155"/>
    <w:rsid w:val="00EC379E"/>
    <w:rsid w:val="00EC435E"/>
    <w:rsid w:val="00EC44CE"/>
    <w:rsid w:val="00EC4A4A"/>
    <w:rsid w:val="00EC4C48"/>
    <w:rsid w:val="00EC4D9E"/>
    <w:rsid w:val="00EC4DDE"/>
    <w:rsid w:val="00EC56BC"/>
    <w:rsid w:val="00EC5A5E"/>
    <w:rsid w:val="00EC62D4"/>
    <w:rsid w:val="00EC6538"/>
    <w:rsid w:val="00EC67BF"/>
    <w:rsid w:val="00EC6E68"/>
    <w:rsid w:val="00EC720A"/>
    <w:rsid w:val="00EC7694"/>
    <w:rsid w:val="00EC7C73"/>
    <w:rsid w:val="00ED1903"/>
    <w:rsid w:val="00ED211A"/>
    <w:rsid w:val="00ED237F"/>
    <w:rsid w:val="00ED2504"/>
    <w:rsid w:val="00ED2DD3"/>
    <w:rsid w:val="00ED2F00"/>
    <w:rsid w:val="00ED2FB4"/>
    <w:rsid w:val="00ED351B"/>
    <w:rsid w:val="00ED3582"/>
    <w:rsid w:val="00ED3776"/>
    <w:rsid w:val="00ED3777"/>
    <w:rsid w:val="00ED388D"/>
    <w:rsid w:val="00ED3B3D"/>
    <w:rsid w:val="00ED3DC1"/>
    <w:rsid w:val="00ED3FB6"/>
    <w:rsid w:val="00ED4394"/>
    <w:rsid w:val="00ED468B"/>
    <w:rsid w:val="00ED5F91"/>
    <w:rsid w:val="00ED68A1"/>
    <w:rsid w:val="00ED6EB5"/>
    <w:rsid w:val="00ED7842"/>
    <w:rsid w:val="00ED7B62"/>
    <w:rsid w:val="00ED7D22"/>
    <w:rsid w:val="00EE15DA"/>
    <w:rsid w:val="00EE17DD"/>
    <w:rsid w:val="00EE198D"/>
    <w:rsid w:val="00EE27D6"/>
    <w:rsid w:val="00EE285D"/>
    <w:rsid w:val="00EE290A"/>
    <w:rsid w:val="00EE4212"/>
    <w:rsid w:val="00EE5C34"/>
    <w:rsid w:val="00EE5FFC"/>
    <w:rsid w:val="00EE6D72"/>
    <w:rsid w:val="00EE7380"/>
    <w:rsid w:val="00EE76D1"/>
    <w:rsid w:val="00EE77F0"/>
    <w:rsid w:val="00EE7CDF"/>
    <w:rsid w:val="00EF091E"/>
    <w:rsid w:val="00EF094C"/>
    <w:rsid w:val="00EF099E"/>
    <w:rsid w:val="00EF1878"/>
    <w:rsid w:val="00EF1B08"/>
    <w:rsid w:val="00EF2446"/>
    <w:rsid w:val="00EF2774"/>
    <w:rsid w:val="00EF2A1D"/>
    <w:rsid w:val="00EF2C75"/>
    <w:rsid w:val="00EF303B"/>
    <w:rsid w:val="00EF35DF"/>
    <w:rsid w:val="00EF402D"/>
    <w:rsid w:val="00EF40F5"/>
    <w:rsid w:val="00EF432A"/>
    <w:rsid w:val="00EF446E"/>
    <w:rsid w:val="00EF4A87"/>
    <w:rsid w:val="00EF4E25"/>
    <w:rsid w:val="00EF5DC3"/>
    <w:rsid w:val="00EF6650"/>
    <w:rsid w:val="00EF66BF"/>
    <w:rsid w:val="00EF6AE3"/>
    <w:rsid w:val="00EF7389"/>
    <w:rsid w:val="00EF7CA6"/>
    <w:rsid w:val="00EF7F4F"/>
    <w:rsid w:val="00F010EF"/>
    <w:rsid w:val="00F0155F"/>
    <w:rsid w:val="00F01F6F"/>
    <w:rsid w:val="00F02045"/>
    <w:rsid w:val="00F02D89"/>
    <w:rsid w:val="00F04687"/>
    <w:rsid w:val="00F04D68"/>
    <w:rsid w:val="00F05216"/>
    <w:rsid w:val="00F055B5"/>
    <w:rsid w:val="00F05855"/>
    <w:rsid w:val="00F06064"/>
    <w:rsid w:val="00F06517"/>
    <w:rsid w:val="00F06B38"/>
    <w:rsid w:val="00F0711F"/>
    <w:rsid w:val="00F07538"/>
    <w:rsid w:val="00F105A0"/>
    <w:rsid w:val="00F11049"/>
    <w:rsid w:val="00F11244"/>
    <w:rsid w:val="00F1148A"/>
    <w:rsid w:val="00F116DE"/>
    <w:rsid w:val="00F11CCD"/>
    <w:rsid w:val="00F126A2"/>
    <w:rsid w:val="00F139A6"/>
    <w:rsid w:val="00F14E1E"/>
    <w:rsid w:val="00F14F08"/>
    <w:rsid w:val="00F14F71"/>
    <w:rsid w:val="00F155FD"/>
    <w:rsid w:val="00F15A6F"/>
    <w:rsid w:val="00F15D79"/>
    <w:rsid w:val="00F16111"/>
    <w:rsid w:val="00F163B2"/>
    <w:rsid w:val="00F16674"/>
    <w:rsid w:val="00F1709F"/>
    <w:rsid w:val="00F17694"/>
    <w:rsid w:val="00F20096"/>
    <w:rsid w:val="00F202E5"/>
    <w:rsid w:val="00F20C6B"/>
    <w:rsid w:val="00F20D43"/>
    <w:rsid w:val="00F213E3"/>
    <w:rsid w:val="00F21825"/>
    <w:rsid w:val="00F21C18"/>
    <w:rsid w:val="00F2227D"/>
    <w:rsid w:val="00F22AFD"/>
    <w:rsid w:val="00F230C0"/>
    <w:rsid w:val="00F230D6"/>
    <w:rsid w:val="00F232D6"/>
    <w:rsid w:val="00F24370"/>
    <w:rsid w:val="00F24826"/>
    <w:rsid w:val="00F24942"/>
    <w:rsid w:val="00F26251"/>
    <w:rsid w:val="00F26385"/>
    <w:rsid w:val="00F27B90"/>
    <w:rsid w:val="00F27B93"/>
    <w:rsid w:val="00F27CFE"/>
    <w:rsid w:val="00F30069"/>
    <w:rsid w:val="00F30BD7"/>
    <w:rsid w:val="00F30F76"/>
    <w:rsid w:val="00F31377"/>
    <w:rsid w:val="00F31520"/>
    <w:rsid w:val="00F3167A"/>
    <w:rsid w:val="00F31944"/>
    <w:rsid w:val="00F31EE9"/>
    <w:rsid w:val="00F327C9"/>
    <w:rsid w:val="00F331B9"/>
    <w:rsid w:val="00F3378C"/>
    <w:rsid w:val="00F34169"/>
    <w:rsid w:val="00F34270"/>
    <w:rsid w:val="00F34DB6"/>
    <w:rsid w:val="00F35044"/>
    <w:rsid w:val="00F3638B"/>
    <w:rsid w:val="00F363B2"/>
    <w:rsid w:val="00F366CA"/>
    <w:rsid w:val="00F368A3"/>
    <w:rsid w:val="00F369B4"/>
    <w:rsid w:val="00F36BAC"/>
    <w:rsid w:val="00F3760D"/>
    <w:rsid w:val="00F377D5"/>
    <w:rsid w:val="00F37BBC"/>
    <w:rsid w:val="00F37BC3"/>
    <w:rsid w:val="00F4000F"/>
    <w:rsid w:val="00F4002A"/>
    <w:rsid w:val="00F40202"/>
    <w:rsid w:val="00F40694"/>
    <w:rsid w:val="00F410B7"/>
    <w:rsid w:val="00F415F9"/>
    <w:rsid w:val="00F421B5"/>
    <w:rsid w:val="00F42C38"/>
    <w:rsid w:val="00F42E80"/>
    <w:rsid w:val="00F42FA1"/>
    <w:rsid w:val="00F43597"/>
    <w:rsid w:val="00F437DC"/>
    <w:rsid w:val="00F4406B"/>
    <w:rsid w:val="00F444C0"/>
    <w:rsid w:val="00F44A9F"/>
    <w:rsid w:val="00F44C34"/>
    <w:rsid w:val="00F457BC"/>
    <w:rsid w:val="00F45FB8"/>
    <w:rsid w:val="00F4646C"/>
    <w:rsid w:val="00F46921"/>
    <w:rsid w:val="00F46B3B"/>
    <w:rsid w:val="00F47F39"/>
    <w:rsid w:val="00F47F5B"/>
    <w:rsid w:val="00F50EB9"/>
    <w:rsid w:val="00F511CB"/>
    <w:rsid w:val="00F51429"/>
    <w:rsid w:val="00F51BB1"/>
    <w:rsid w:val="00F52B9A"/>
    <w:rsid w:val="00F52CEB"/>
    <w:rsid w:val="00F52E8A"/>
    <w:rsid w:val="00F53234"/>
    <w:rsid w:val="00F53694"/>
    <w:rsid w:val="00F54596"/>
    <w:rsid w:val="00F547CC"/>
    <w:rsid w:val="00F5591E"/>
    <w:rsid w:val="00F55A3D"/>
    <w:rsid w:val="00F55DF4"/>
    <w:rsid w:val="00F55E19"/>
    <w:rsid w:val="00F566D0"/>
    <w:rsid w:val="00F568F6"/>
    <w:rsid w:val="00F5787C"/>
    <w:rsid w:val="00F57C77"/>
    <w:rsid w:val="00F57FB8"/>
    <w:rsid w:val="00F601F8"/>
    <w:rsid w:val="00F6041D"/>
    <w:rsid w:val="00F60CB5"/>
    <w:rsid w:val="00F61D77"/>
    <w:rsid w:val="00F62A60"/>
    <w:rsid w:val="00F646D0"/>
    <w:rsid w:val="00F64A28"/>
    <w:rsid w:val="00F65643"/>
    <w:rsid w:val="00F65740"/>
    <w:rsid w:val="00F6576C"/>
    <w:rsid w:val="00F66070"/>
    <w:rsid w:val="00F66AFB"/>
    <w:rsid w:val="00F6756B"/>
    <w:rsid w:val="00F70446"/>
    <w:rsid w:val="00F70C85"/>
    <w:rsid w:val="00F70CA9"/>
    <w:rsid w:val="00F72505"/>
    <w:rsid w:val="00F727B4"/>
    <w:rsid w:val="00F72D1A"/>
    <w:rsid w:val="00F72FFB"/>
    <w:rsid w:val="00F7392F"/>
    <w:rsid w:val="00F73D12"/>
    <w:rsid w:val="00F74FE4"/>
    <w:rsid w:val="00F7508D"/>
    <w:rsid w:val="00F75319"/>
    <w:rsid w:val="00F75A88"/>
    <w:rsid w:val="00F75FA3"/>
    <w:rsid w:val="00F76850"/>
    <w:rsid w:val="00F76CAD"/>
    <w:rsid w:val="00F771F3"/>
    <w:rsid w:val="00F773F5"/>
    <w:rsid w:val="00F7796B"/>
    <w:rsid w:val="00F77C76"/>
    <w:rsid w:val="00F80EDB"/>
    <w:rsid w:val="00F81972"/>
    <w:rsid w:val="00F81B6D"/>
    <w:rsid w:val="00F82077"/>
    <w:rsid w:val="00F82175"/>
    <w:rsid w:val="00F82DE5"/>
    <w:rsid w:val="00F8381E"/>
    <w:rsid w:val="00F844C5"/>
    <w:rsid w:val="00F84FA7"/>
    <w:rsid w:val="00F8526C"/>
    <w:rsid w:val="00F852FD"/>
    <w:rsid w:val="00F867C0"/>
    <w:rsid w:val="00F86F82"/>
    <w:rsid w:val="00F90069"/>
    <w:rsid w:val="00F90803"/>
    <w:rsid w:val="00F910F6"/>
    <w:rsid w:val="00F9168E"/>
    <w:rsid w:val="00F925FC"/>
    <w:rsid w:val="00F92841"/>
    <w:rsid w:val="00F93348"/>
    <w:rsid w:val="00F93590"/>
    <w:rsid w:val="00F93731"/>
    <w:rsid w:val="00F938E2"/>
    <w:rsid w:val="00F93D33"/>
    <w:rsid w:val="00F95988"/>
    <w:rsid w:val="00F959C0"/>
    <w:rsid w:val="00F9611F"/>
    <w:rsid w:val="00F962AE"/>
    <w:rsid w:val="00F96876"/>
    <w:rsid w:val="00F96BF0"/>
    <w:rsid w:val="00F9771E"/>
    <w:rsid w:val="00F97D6F"/>
    <w:rsid w:val="00FA078C"/>
    <w:rsid w:val="00FA27F0"/>
    <w:rsid w:val="00FA29A3"/>
    <w:rsid w:val="00FA32A1"/>
    <w:rsid w:val="00FA384D"/>
    <w:rsid w:val="00FA3B24"/>
    <w:rsid w:val="00FA4E5A"/>
    <w:rsid w:val="00FA4E5C"/>
    <w:rsid w:val="00FA50A0"/>
    <w:rsid w:val="00FA516E"/>
    <w:rsid w:val="00FA56D6"/>
    <w:rsid w:val="00FA5727"/>
    <w:rsid w:val="00FA6AEF"/>
    <w:rsid w:val="00FA7A3E"/>
    <w:rsid w:val="00FA7D70"/>
    <w:rsid w:val="00FB0291"/>
    <w:rsid w:val="00FB041A"/>
    <w:rsid w:val="00FB0B6C"/>
    <w:rsid w:val="00FB0CF2"/>
    <w:rsid w:val="00FB10C0"/>
    <w:rsid w:val="00FB132A"/>
    <w:rsid w:val="00FB140D"/>
    <w:rsid w:val="00FB1500"/>
    <w:rsid w:val="00FB1BBF"/>
    <w:rsid w:val="00FB1C48"/>
    <w:rsid w:val="00FB1C66"/>
    <w:rsid w:val="00FB20CB"/>
    <w:rsid w:val="00FB2B56"/>
    <w:rsid w:val="00FB321D"/>
    <w:rsid w:val="00FB38CB"/>
    <w:rsid w:val="00FB39AF"/>
    <w:rsid w:val="00FB3DE9"/>
    <w:rsid w:val="00FB45AA"/>
    <w:rsid w:val="00FB57AA"/>
    <w:rsid w:val="00FB5A73"/>
    <w:rsid w:val="00FB5BF3"/>
    <w:rsid w:val="00FB64FF"/>
    <w:rsid w:val="00FB68D4"/>
    <w:rsid w:val="00FB695E"/>
    <w:rsid w:val="00FB6C53"/>
    <w:rsid w:val="00FB6E4C"/>
    <w:rsid w:val="00FB6EEA"/>
    <w:rsid w:val="00FB773A"/>
    <w:rsid w:val="00FB7ABB"/>
    <w:rsid w:val="00FC00FB"/>
    <w:rsid w:val="00FC0140"/>
    <w:rsid w:val="00FC0827"/>
    <w:rsid w:val="00FC0888"/>
    <w:rsid w:val="00FC093F"/>
    <w:rsid w:val="00FC0B95"/>
    <w:rsid w:val="00FC10CB"/>
    <w:rsid w:val="00FC1793"/>
    <w:rsid w:val="00FC3285"/>
    <w:rsid w:val="00FC383D"/>
    <w:rsid w:val="00FC394B"/>
    <w:rsid w:val="00FC3A7C"/>
    <w:rsid w:val="00FC3E73"/>
    <w:rsid w:val="00FC3F40"/>
    <w:rsid w:val="00FC404D"/>
    <w:rsid w:val="00FC40E1"/>
    <w:rsid w:val="00FC47B0"/>
    <w:rsid w:val="00FC47FB"/>
    <w:rsid w:val="00FC4B16"/>
    <w:rsid w:val="00FC520F"/>
    <w:rsid w:val="00FC55F6"/>
    <w:rsid w:val="00FC6986"/>
    <w:rsid w:val="00FC6A6B"/>
    <w:rsid w:val="00FC6C81"/>
    <w:rsid w:val="00FC6ECC"/>
    <w:rsid w:val="00FC71AB"/>
    <w:rsid w:val="00FC755D"/>
    <w:rsid w:val="00FC77E8"/>
    <w:rsid w:val="00FC7A46"/>
    <w:rsid w:val="00FD02E3"/>
    <w:rsid w:val="00FD0D6F"/>
    <w:rsid w:val="00FD1DD3"/>
    <w:rsid w:val="00FD20B2"/>
    <w:rsid w:val="00FD2AC5"/>
    <w:rsid w:val="00FD2AD8"/>
    <w:rsid w:val="00FD2C10"/>
    <w:rsid w:val="00FD36BD"/>
    <w:rsid w:val="00FD39FE"/>
    <w:rsid w:val="00FD3A1A"/>
    <w:rsid w:val="00FD3F7B"/>
    <w:rsid w:val="00FD4E54"/>
    <w:rsid w:val="00FD4FFF"/>
    <w:rsid w:val="00FD59AB"/>
    <w:rsid w:val="00FD6681"/>
    <w:rsid w:val="00FD67FC"/>
    <w:rsid w:val="00FD6F19"/>
    <w:rsid w:val="00FD6F1C"/>
    <w:rsid w:val="00FD70C5"/>
    <w:rsid w:val="00FD7898"/>
    <w:rsid w:val="00FD7CC4"/>
    <w:rsid w:val="00FE120A"/>
    <w:rsid w:val="00FE14A1"/>
    <w:rsid w:val="00FE1614"/>
    <w:rsid w:val="00FE16F5"/>
    <w:rsid w:val="00FE1CDF"/>
    <w:rsid w:val="00FE1DA9"/>
    <w:rsid w:val="00FE1EA6"/>
    <w:rsid w:val="00FE2694"/>
    <w:rsid w:val="00FE29E1"/>
    <w:rsid w:val="00FE2A56"/>
    <w:rsid w:val="00FE2CB5"/>
    <w:rsid w:val="00FE30DA"/>
    <w:rsid w:val="00FE3A49"/>
    <w:rsid w:val="00FE3B18"/>
    <w:rsid w:val="00FE3F01"/>
    <w:rsid w:val="00FE3FE3"/>
    <w:rsid w:val="00FE46A7"/>
    <w:rsid w:val="00FE4929"/>
    <w:rsid w:val="00FE4EC8"/>
    <w:rsid w:val="00FE504A"/>
    <w:rsid w:val="00FE5384"/>
    <w:rsid w:val="00FE5AD9"/>
    <w:rsid w:val="00FE61EB"/>
    <w:rsid w:val="00FE6675"/>
    <w:rsid w:val="00FE6CE1"/>
    <w:rsid w:val="00FE7ABF"/>
    <w:rsid w:val="00FE7B9C"/>
    <w:rsid w:val="00FF00AC"/>
    <w:rsid w:val="00FF1917"/>
    <w:rsid w:val="00FF1E47"/>
    <w:rsid w:val="00FF24FD"/>
    <w:rsid w:val="00FF2630"/>
    <w:rsid w:val="00FF26B1"/>
    <w:rsid w:val="00FF3775"/>
    <w:rsid w:val="00FF4077"/>
    <w:rsid w:val="00FF41BF"/>
    <w:rsid w:val="00FF440F"/>
    <w:rsid w:val="00FF5257"/>
    <w:rsid w:val="00FF6001"/>
    <w:rsid w:val="00FF67FA"/>
    <w:rsid w:val="00FF689A"/>
    <w:rsid w:val="00FF6AB0"/>
    <w:rsid w:val="00FF6F77"/>
    <w:rsid w:val="00FF72AD"/>
    <w:rsid w:val="00FF7430"/>
    <w:rsid w:val="00FF753B"/>
    <w:rsid w:val="00FF7D8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5295F0"/>
  <w15:chartTrackingRefBased/>
  <w15:docId w15:val="{0FD28BBB-8B1A-408C-9385-283C583C9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iPriority="0"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6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03E6"/>
    <w:rPr>
      <w:kern w:val="0"/>
      <w14:ligatures w14:val="none"/>
    </w:rPr>
  </w:style>
  <w:style w:type="paragraph" w:styleId="Heading1">
    <w:name w:val="heading 1"/>
    <w:basedOn w:val="Normal"/>
    <w:next w:val="Normal"/>
    <w:link w:val="Heading1Char"/>
    <w:qFormat/>
    <w:rsid w:val="009E285A"/>
    <w:pPr>
      <w:keepNext/>
      <w:spacing w:after="0" w:line="240" w:lineRule="auto"/>
      <w:ind w:left="709" w:hanging="709"/>
      <w:jc w:val="center"/>
      <w:outlineLvl w:val="0"/>
    </w:pPr>
    <w:rPr>
      <w:rFonts w:ascii="Arial" w:eastAsia="Times New Roman" w:hAnsi="Arial" w:cs="Arial"/>
      <w:b/>
      <w:bCs/>
      <w:smallCaps/>
      <w:sz w:val="32"/>
      <w:szCs w:val="32"/>
      <w:u w:val="single"/>
      <w:lang w:val="en-US" w:eastAsia="el-GR"/>
    </w:rPr>
  </w:style>
  <w:style w:type="paragraph" w:styleId="Heading2">
    <w:name w:val="heading 2"/>
    <w:basedOn w:val="Normal"/>
    <w:next w:val="Normal"/>
    <w:link w:val="Heading2Char"/>
    <w:qFormat/>
    <w:rsid w:val="009E285A"/>
    <w:pPr>
      <w:keepNext/>
      <w:spacing w:after="0" w:line="240" w:lineRule="auto"/>
      <w:outlineLvl w:val="1"/>
    </w:pPr>
    <w:rPr>
      <w:rFonts w:ascii="Times New Roman" w:eastAsia="Times New Roman" w:hAnsi="Times New Roman" w:cs="Times New Roman"/>
      <w:b/>
      <w:bCs/>
      <w:sz w:val="24"/>
      <w:szCs w:val="24"/>
      <w:lang w:val="en-US" w:eastAsia="el-GR"/>
    </w:rPr>
  </w:style>
  <w:style w:type="paragraph" w:styleId="Heading3">
    <w:name w:val="heading 3"/>
    <w:basedOn w:val="Normal"/>
    <w:next w:val="Normal"/>
    <w:link w:val="Heading3Char"/>
    <w:qFormat/>
    <w:rsid w:val="009E285A"/>
    <w:pPr>
      <w:keepNext/>
      <w:spacing w:after="0" w:line="240" w:lineRule="auto"/>
      <w:jc w:val="center"/>
      <w:outlineLvl w:val="2"/>
    </w:pPr>
    <w:rPr>
      <w:rFonts w:ascii="Tahoma" w:eastAsia="Times New Roman" w:hAnsi="Tahoma" w:cs="Tahoma"/>
      <w:b/>
      <w:bCs/>
      <w:color w:val="000000"/>
      <w:sz w:val="18"/>
      <w:szCs w:val="18"/>
      <w:lang w:val="en-US"/>
    </w:rPr>
  </w:style>
  <w:style w:type="paragraph" w:styleId="Heading4">
    <w:name w:val="heading 4"/>
    <w:basedOn w:val="Normal"/>
    <w:next w:val="Normal"/>
    <w:link w:val="Heading4Char"/>
    <w:qFormat/>
    <w:rsid w:val="009E285A"/>
    <w:pPr>
      <w:keepNext/>
      <w:spacing w:after="0" w:line="240" w:lineRule="auto"/>
      <w:ind w:right="112"/>
      <w:jc w:val="center"/>
      <w:outlineLvl w:val="3"/>
    </w:pPr>
    <w:rPr>
      <w:rFonts w:ascii="Tahoma" w:eastAsia="Times New Roman" w:hAnsi="Tahoma" w:cs="Tahoma"/>
      <w:b/>
      <w:bCs/>
      <w:color w:val="000000"/>
      <w:sz w:val="18"/>
      <w:szCs w:val="18"/>
      <w:lang w:val="en-US"/>
    </w:rPr>
  </w:style>
  <w:style w:type="paragraph" w:styleId="Heading5">
    <w:name w:val="heading 5"/>
    <w:basedOn w:val="Normal"/>
    <w:next w:val="Normal"/>
    <w:link w:val="Heading5Char"/>
    <w:qFormat/>
    <w:rsid w:val="009E285A"/>
    <w:pPr>
      <w:keepNext/>
      <w:spacing w:after="0" w:line="240" w:lineRule="auto"/>
      <w:ind w:right="561"/>
      <w:jc w:val="center"/>
      <w:outlineLvl w:val="4"/>
    </w:pPr>
    <w:rPr>
      <w:rFonts w:ascii="Tahoma" w:eastAsia="Times New Roman" w:hAnsi="Tahoma" w:cs="Tahoma"/>
      <w:b/>
      <w:bCs/>
      <w:lang w:val="en-US"/>
    </w:rPr>
  </w:style>
  <w:style w:type="paragraph" w:styleId="Heading6">
    <w:name w:val="heading 6"/>
    <w:basedOn w:val="Normal"/>
    <w:next w:val="Normal"/>
    <w:link w:val="Heading6Char"/>
    <w:qFormat/>
    <w:rsid w:val="009E285A"/>
    <w:pPr>
      <w:keepNext/>
      <w:spacing w:before="240" w:after="0" w:line="240" w:lineRule="auto"/>
      <w:ind w:left="284" w:right="226"/>
      <w:jc w:val="both"/>
      <w:outlineLvl w:val="5"/>
    </w:pPr>
    <w:rPr>
      <w:rFonts w:ascii="Arial" w:eastAsia="Times New Roman" w:hAnsi="Arial" w:cs="Arial"/>
      <w:b/>
      <w:bCs/>
      <w:sz w:val="24"/>
      <w:szCs w:val="24"/>
      <w:lang w:val="en-US" w:eastAsia="el-GR"/>
    </w:rPr>
  </w:style>
  <w:style w:type="paragraph" w:styleId="Heading7">
    <w:name w:val="heading 7"/>
    <w:basedOn w:val="Normal"/>
    <w:next w:val="Normal"/>
    <w:link w:val="Heading7Char"/>
    <w:uiPriority w:val="99"/>
    <w:qFormat/>
    <w:rsid w:val="009E285A"/>
    <w:pPr>
      <w:keepNext/>
      <w:spacing w:after="0" w:line="240" w:lineRule="auto"/>
      <w:ind w:right="561"/>
      <w:jc w:val="center"/>
      <w:outlineLvl w:val="6"/>
    </w:pPr>
    <w:rPr>
      <w:rFonts w:ascii="Times New Roman" w:eastAsia="Times New Roman" w:hAnsi="Times New Roman" w:cs="Times New Roman"/>
      <w:b/>
      <w:bCs/>
      <w:sz w:val="24"/>
      <w:szCs w:val="24"/>
      <w:lang w:val="en-GB" w:eastAsia="el-GR"/>
    </w:rPr>
  </w:style>
  <w:style w:type="paragraph" w:styleId="Heading8">
    <w:name w:val="heading 8"/>
    <w:basedOn w:val="Normal"/>
    <w:next w:val="Normal"/>
    <w:link w:val="Heading8Char"/>
    <w:uiPriority w:val="99"/>
    <w:qFormat/>
    <w:rsid w:val="009E285A"/>
    <w:pPr>
      <w:keepNext/>
      <w:spacing w:after="0" w:line="240" w:lineRule="auto"/>
      <w:ind w:firstLine="284"/>
      <w:outlineLvl w:val="7"/>
    </w:pPr>
    <w:rPr>
      <w:rFonts w:ascii="Times New Roman" w:eastAsia="Times New Roman" w:hAnsi="Times New Roman" w:cs="Times New Roman"/>
      <w:b/>
      <w:bCs/>
      <w:smallCaps/>
      <w:sz w:val="28"/>
      <w:szCs w:val="28"/>
      <w:lang w:val="en-GB" w:eastAsia="el-GR"/>
    </w:rPr>
  </w:style>
  <w:style w:type="paragraph" w:styleId="Heading9">
    <w:name w:val="heading 9"/>
    <w:basedOn w:val="Normal"/>
    <w:next w:val="Normal"/>
    <w:link w:val="Heading9Char"/>
    <w:uiPriority w:val="99"/>
    <w:qFormat/>
    <w:rsid w:val="009E285A"/>
    <w:pPr>
      <w:keepNext/>
      <w:spacing w:before="120" w:after="0" w:line="240" w:lineRule="auto"/>
      <w:ind w:left="288"/>
      <w:outlineLvl w:val="8"/>
    </w:pPr>
    <w:rPr>
      <w:rFonts w:ascii="Times New Roman" w:eastAsia="Times New Roman" w:hAnsi="Times New Roman" w:cs="Times New Roman"/>
      <w:b/>
      <w:bCs/>
      <w:sz w:val="24"/>
      <w:szCs w:val="24"/>
      <w:lang w:val="en-GB"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6B01"/>
    <w:pPr>
      <w:tabs>
        <w:tab w:val="center" w:pos="4153"/>
        <w:tab w:val="right" w:pos="8306"/>
      </w:tabs>
      <w:spacing w:after="0" w:line="240" w:lineRule="auto"/>
    </w:pPr>
    <w:rPr>
      <w:kern w:val="2"/>
      <w14:ligatures w14:val="standardContextual"/>
    </w:rPr>
  </w:style>
  <w:style w:type="character" w:customStyle="1" w:styleId="HeaderChar">
    <w:name w:val="Header Char"/>
    <w:basedOn w:val="DefaultParagraphFont"/>
    <w:link w:val="Header"/>
    <w:uiPriority w:val="99"/>
    <w:rsid w:val="00566B01"/>
  </w:style>
  <w:style w:type="paragraph" w:styleId="Footer">
    <w:name w:val="footer"/>
    <w:basedOn w:val="Normal"/>
    <w:link w:val="FooterChar"/>
    <w:uiPriority w:val="99"/>
    <w:unhideWhenUsed/>
    <w:rsid w:val="00566B01"/>
    <w:pPr>
      <w:tabs>
        <w:tab w:val="center" w:pos="4153"/>
        <w:tab w:val="right" w:pos="8306"/>
      </w:tabs>
      <w:spacing w:after="0" w:line="240" w:lineRule="auto"/>
    </w:pPr>
    <w:rPr>
      <w:kern w:val="2"/>
      <w14:ligatures w14:val="standardContextual"/>
    </w:rPr>
  </w:style>
  <w:style w:type="character" w:customStyle="1" w:styleId="FooterChar">
    <w:name w:val="Footer Char"/>
    <w:basedOn w:val="DefaultParagraphFont"/>
    <w:link w:val="Footer"/>
    <w:uiPriority w:val="99"/>
    <w:rsid w:val="00566B01"/>
  </w:style>
  <w:style w:type="character" w:styleId="Hyperlink">
    <w:name w:val="Hyperlink"/>
    <w:qFormat/>
    <w:rsid w:val="00705484"/>
    <w:rPr>
      <w:color w:val="0000FF"/>
      <w:u w:val="single"/>
    </w:rPr>
  </w:style>
  <w:style w:type="paragraph" w:styleId="NormalWeb">
    <w:name w:val="Normal (Web)"/>
    <w:basedOn w:val="Normal"/>
    <w:uiPriority w:val="99"/>
    <w:rsid w:val="00705484"/>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PRContact">
    <w:name w:val="PR Contact"/>
    <w:basedOn w:val="Normal"/>
    <w:uiPriority w:val="99"/>
    <w:rsid w:val="00705484"/>
    <w:pPr>
      <w:tabs>
        <w:tab w:val="left" w:pos="3600"/>
        <w:tab w:val="left" w:pos="5040"/>
      </w:tabs>
      <w:suppressAutoHyphens/>
      <w:spacing w:after="0" w:line="240" w:lineRule="auto"/>
    </w:pPr>
    <w:rPr>
      <w:rFonts w:ascii="Times New Roman" w:eastAsia="Times New Roman" w:hAnsi="Times New Roman" w:cs="Times New Roman"/>
      <w:sz w:val="24"/>
      <w:szCs w:val="20"/>
      <w:lang w:val="en-US"/>
    </w:rPr>
  </w:style>
  <w:style w:type="character" w:customStyle="1" w:styleId="Heading1Char">
    <w:name w:val="Heading 1 Char"/>
    <w:basedOn w:val="DefaultParagraphFont"/>
    <w:link w:val="Heading1"/>
    <w:rsid w:val="009E285A"/>
    <w:rPr>
      <w:rFonts w:ascii="Arial" w:eastAsia="Times New Roman" w:hAnsi="Arial" w:cs="Arial"/>
      <w:b/>
      <w:bCs/>
      <w:smallCaps/>
      <w:kern w:val="0"/>
      <w:sz w:val="32"/>
      <w:szCs w:val="32"/>
      <w:u w:val="single"/>
      <w:lang w:val="en-US" w:eastAsia="el-GR"/>
      <w14:ligatures w14:val="none"/>
    </w:rPr>
  </w:style>
  <w:style w:type="character" w:customStyle="1" w:styleId="Heading2Char">
    <w:name w:val="Heading 2 Char"/>
    <w:basedOn w:val="DefaultParagraphFont"/>
    <w:link w:val="Heading2"/>
    <w:rsid w:val="009E285A"/>
    <w:rPr>
      <w:rFonts w:ascii="Times New Roman" w:eastAsia="Times New Roman" w:hAnsi="Times New Roman" w:cs="Times New Roman"/>
      <w:b/>
      <w:bCs/>
      <w:kern w:val="0"/>
      <w:sz w:val="24"/>
      <w:szCs w:val="24"/>
      <w:lang w:val="en-US" w:eastAsia="el-GR"/>
      <w14:ligatures w14:val="none"/>
    </w:rPr>
  </w:style>
  <w:style w:type="character" w:customStyle="1" w:styleId="Heading3Char">
    <w:name w:val="Heading 3 Char"/>
    <w:basedOn w:val="DefaultParagraphFont"/>
    <w:link w:val="Heading3"/>
    <w:rsid w:val="009E285A"/>
    <w:rPr>
      <w:rFonts w:ascii="Tahoma" w:eastAsia="Times New Roman" w:hAnsi="Tahoma" w:cs="Tahoma"/>
      <w:b/>
      <w:bCs/>
      <w:color w:val="000000"/>
      <w:kern w:val="0"/>
      <w:sz w:val="18"/>
      <w:szCs w:val="18"/>
      <w:lang w:val="en-US"/>
      <w14:ligatures w14:val="none"/>
    </w:rPr>
  </w:style>
  <w:style w:type="character" w:customStyle="1" w:styleId="Heading4Char">
    <w:name w:val="Heading 4 Char"/>
    <w:basedOn w:val="DefaultParagraphFont"/>
    <w:link w:val="Heading4"/>
    <w:rsid w:val="009E285A"/>
    <w:rPr>
      <w:rFonts w:ascii="Tahoma" w:eastAsia="Times New Roman" w:hAnsi="Tahoma" w:cs="Tahoma"/>
      <w:b/>
      <w:bCs/>
      <w:color w:val="000000"/>
      <w:kern w:val="0"/>
      <w:sz w:val="18"/>
      <w:szCs w:val="18"/>
      <w:lang w:val="en-US"/>
      <w14:ligatures w14:val="none"/>
    </w:rPr>
  </w:style>
  <w:style w:type="character" w:customStyle="1" w:styleId="Heading5Char">
    <w:name w:val="Heading 5 Char"/>
    <w:basedOn w:val="DefaultParagraphFont"/>
    <w:link w:val="Heading5"/>
    <w:rsid w:val="009E285A"/>
    <w:rPr>
      <w:rFonts w:ascii="Tahoma" w:eastAsia="Times New Roman" w:hAnsi="Tahoma" w:cs="Tahoma"/>
      <w:b/>
      <w:bCs/>
      <w:kern w:val="0"/>
      <w:lang w:val="en-US"/>
      <w14:ligatures w14:val="none"/>
    </w:rPr>
  </w:style>
  <w:style w:type="character" w:customStyle="1" w:styleId="Heading6Char">
    <w:name w:val="Heading 6 Char"/>
    <w:basedOn w:val="DefaultParagraphFont"/>
    <w:link w:val="Heading6"/>
    <w:rsid w:val="009E285A"/>
    <w:rPr>
      <w:rFonts w:ascii="Arial" w:eastAsia="Times New Roman" w:hAnsi="Arial" w:cs="Arial"/>
      <w:b/>
      <w:bCs/>
      <w:kern w:val="0"/>
      <w:sz w:val="24"/>
      <w:szCs w:val="24"/>
      <w:lang w:val="en-US" w:eastAsia="el-GR"/>
      <w14:ligatures w14:val="none"/>
    </w:rPr>
  </w:style>
  <w:style w:type="character" w:customStyle="1" w:styleId="Heading7Char">
    <w:name w:val="Heading 7 Char"/>
    <w:basedOn w:val="DefaultParagraphFont"/>
    <w:link w:val="Heading7"/>
    <w:uiPriority w:val="99"/>
    <w:rsid w:val="009E285A"/>
    <w:rPr>
      <w:rFonts w:ascii="Times New Roman" w:eastAsia="Times New Roman" w:hAnsi="Times New Roman" w:cs="Times New Roman"/>
      <w:b/>
      <w:bCs/>
      <w:kern w:val="0"/>
      <w:sz w:val="24"/>
      <w:szCs w:val="24"/>
      <w:lang w:val="en-GB" w:eastAsia="el-GR"/>
      <w14:ligatures w14:val="none"/>
    </w:rPr>
  </w:style>
  <w:style w:type="character" w:customStyle="1" w:styleId="Heading8Char">
    <w:name w:val="Heading 8 Char"/>
    <w:basedOn w:val="DefaultParagraphFont"/>
    <w:link w:val="Heading8"/>
    <w:uiPriority w:val="99"/>
    <w:rsid w:val="009E285A"/>
    <w:rPr>
      <w:rFonts w:ascii="Times New Roman" w:eastAsia="Times New Roman" w:hAnsi="Times New Roman" w:cs="Times New Roman"/>
      <w:b/>
      <w:bCs/>
      <w:smallCaps/>
      <w:kern w:val="0"/>
      <w:sz w:val="28"/>
      <w:szCs w:val="28"/>
      <w:lang w:val="en-GB" w:eastAsia="el-GR"/>
      <w14:ligatures w14:val="none"/>
    </w:rPr>
  </w:style>
  <w:style w:type="character" w:customStyle="1" w:styleId="Heading9Char">
    <w:name w:val="Heading 9 Char"/>
    <w:basedOn w:val="DefaultParagraphFont"/>
    <w:link w:val="Heading9"/>
    <w:uiPriority w:val="99"/>
    <w:rsid w:val="009E285A"/>
    <w:rPr>
      <w:rFonts w:ascii="Times New Roman" w:eastAsia="Times New Roman" w:hAnsi="Times New Roman" w:cs="Times New Roman"/>
      <w:b/>
      <w:bCs/>
      <w:kern w:val="0"/>
      <w:sz w:val="24"/>
      <w:szCs w:val="24"/>
      <w:lang w:val="en-GB" w:eastAsia="el-GR"/>
      <w14:ligatures w14:val="none"/>
    </w:rPr>
  </w:style>
  <w:style w:type="paragraph" w:customStyle="1" w:styleId="CharChar1CharCharCharCharCharCharCharCharCharCharCharCharCharChar">
    <w:name w:val="Char Char1 Char Char Char Char Char Char Char Char Char Char Char Char Char Char"/>
    <w:basedOn w:val="Normal"/>
    <w:uiPriority w:val="99"/>
    <w:rsid w:val="009E285A"/>
    <w:pPr>
      <w:spacing w:line="240" w:lineRule="exact"/>
    </w:pPr>
    <w:rPr>
      <w:rFonts w:ascii="Tahoma" w:eastAsia="Times New Roman" w:hAnsi="Tahoma" w:cs="Times New Roman"/>
      <w:sz w:val="20"/>
      <w:szCs w:val="20"/>
      <w:lang w:val="en-US"/>
    </w:rPr>
  </w:style>
  <w:style w:type="character" w:customStyle="1" w:styleId="DellNewPc">
    <w:name w:val="DellNewPc"/>
    <w:semiHidden/>
    <w:rsid w:val="009E285A"/>
    <w:rPr>
      <w:rFonts w:ascii="Arial" w:hAnsi="Arial"/>
      <w:color w:val="auto"/>
      <w:sz w:val="20"/>
    </w:rPr>
  </w:style>
  <w:style w:type="paragraph" w:customStyle="1" w:styleId="PRFirstline">
    <w:name w:val="PR First line"/>
    <w:basedOn w:val="Normal"/>
    <w:next w:val="Normal"/>
    <w:uiPriority w:val="99"/>
    <w:rsid w:val="009E285A"/>
    <w:pPr>
      <w:suppressAutoHyphens/>
      <w:spacing w:after="0" w:line="240" w:lineRule="auto"/>
    </w:pPr>
    <w:rPr>
      <w:rFonts w:ascii="Times New Roman" w:eastAsia="Times New Roman" w:hAnsi="Times New Roman" w:cs="Times New Roman"/>
      <w:b/>
      <w:bCs/>
      <w:sz w:val="24"/>
      <w:szCs w:val="24"/>
      <w:u w:val="single"/>
      <w:lang w:val="en-US"/>
    </w:rPr>
  </w:style>
  <w:style w:type="character" w:styleId="FollowedHyperlink">
    <w:name w:val="FollowedHyperlink"/>
    <w:rsid w:val="009E285A"/>
    <w:rPr>
      <w:color w:val="800080"/>
      <w:u w:val="single"/>
    </w:rPr>
  </w:style>
  <w:style w:type="paragraph" w:customStyle="1" w:styleId="BodyText3-Contempora">
    <w:name w:val="Body Text 3 - Contempora"/>
    <w:basedOn w:val="Normal"/>
    <w:uiPriority w:val="99"/>
    <w:rsid w:val="009E285A"/>
    <w:pPr>
      <w:spacing w:after="0" w:line="200" w:lineRule="exact"/>
    </w:pPr>
    <w:rPr>
      <w:rFonts w:ascii="Times New Roman" w:eastAsia="Times New Roman" w:hAnsi="Times New Roman" w:cs="Times New Roman"/>
      <w:sz w:val="24"/>
      <w:szCs w:val="24"/>
      <w:lang w:val="en-GB" w:eastAsia="el-GR"/>
    </w:rPr>
  </w:style>
  <w:style w:type="paragraph" w:styleId="BodyText">
    <w:name w:val="Body Text"/>
    <w:basedOn w:val="Normal"/>
    <w:link w:val="BodyTextChar"/>
    <w:uiPriority w:val="99"/>
    <w:rsid w:val="009E285A"/>
    <w:pPr>
      <w:spacing w:after="0" w:line="240" w:lineRule="auto"/>
      <w:jc w:val="both"/>
    </w:pPr>
    <w:rPr>
      <w:rFonts w:ascii="Tahoma" w:eastAsia="Times New Roman" w:hAnsi="Tahoma" w:cs="Times New Roman"/>
      <w:sz w:val="20"/>
      <w:szCs w:val="20"/>
      <w:lang w:val="en-US"/>
    </w:rPr>
  </w:style>
  <w:style w:type="character" w:customStyle="1" w:styleId="BodyTextChar">
    <w:name w:val="Body Text Char"/>
    <w:basedOn w:val="DefaultParagraphFont"/>
    <w:link w:val="BodyText"/>
    <w:uiPriority w:val="99"/>
    <w:rsid w:val="009E285A"/>
    <w:rPr>
      <w:rFonts w:ascii="Tahoma" w:eastAsia="Times New Roman" w:hAnsi="Tahoma" w:cs="Times New Roman"/>
      <w:kern w:val="0"/>
      <w:sz w:val="20"/>
      <w:szCs w:val="20"/>
      <w:lang w:val="en-US"/>
      <w14:ligatures w14:val="none"/>
    </w:rPr>
  </w:style>
  <w:style w:type="character" w:styleId="PageNumber">
    <w:name w:val="page number"/>
    <w:rsid w:val="009E285A"/>
    <w:rPr>
      <w:rFonts w:cs="Times New Roman"/>
    </w:rPr>
  </w:style>
  <w:style w:type="paragraph" w:styleId="BodyText2">
    <w:name w:val="Body Text 2"/>
    <w:basedOn w:val="Normal"/>
    <w:link w:val="BodyText2Char"/>
    <w:uiPriority w:val="99"/>
    <w:rsid w:val="009E285A"/>
    <w:pPr>
      <w:spacing w:before="240" w:after="0" w:line="240" w:lineRule="auto"/>
      <w:ind w:left="567"/>
      <w:jc w:val="both"/>
    </w:pPr>
    <w:rPr>
      <w:rFonts w:ascii="Tahoma" w:eastAsia="Times New Roman" w:hAnsi="Tahoma" w:cs="Times New Roman"/>
      <w:szCs w:val="20"/>
      <w:lang w:val="en-US"/>
    </w:rPr>
  </w:style>
  <w:style w:type="character" w:customStyle="1" w:styleId="BodyText2Char">
    <w:name w:val="Body Text 2 Char"/>
    <w:basedOn w:val="DefaultParagraphFont"/>
    <w:link w:val="BodyText2"/>
    <w:uiPriority w:val="99"/>
    <w:rsid w:val="009E285A"/>
    <w:rPr>
      <w:rFonts w:ascii="Tahoma" w:eastAsia="Times New Roman" w:hAnsi="Tahoma" w:cs="Times New Roman"/>
      <w:kern w:val="0"/>
      <w:szCs w:val="20"/>
      <w:lang w:val="en-US"/>
      <w14:ligatures w14:val="none"/>
    </w:rPr>
  </w:style>
  <w:style w:type="paragraph" w:customStyle="1" w:styleId="xl41">
    <w:name w:val="xl41"/>
    <w:basedOn w:val="Normal"/>
    <w:uiPriority w:val="99"/>
    <w:rsid w:val="009E285A"/>
    <w:pPr>
      <w:pBdr>
        <w:bottom w:val="single" w:sz="8" w:space="0" w:color="auto"/>
      </w:pBdr>
      <w:spacing w:before="100" w:after="100" w:line="240" w:lineRule="auto"/>
      <w:jc w:val="center"/>
    </w:pPr>
    <w:rPr>
      <w:rFonts w:ascii="Times New Roman" w:eastAsia="Arial Unicode MS" w:hAnsi="Times New Roman" w:cs="Times New Roman"/>
      <w:b/>
      <w:bCs/>
      <w:sz w:val="24"/>
      <w:szCs w:val="24"/>
      <w:lang w:eastAsia="el-GR"/>
    </w:rPr>
  </w:style>
  <w:style w:type="paragraph" w:customStyle="1" w:styleId="xl27">
    <w:name w:val="xl27"/>
    <w:basedOn w:val="Normal"/>
    <w:uiPriority w:val="99"/>
    <w:rsid w:val="009E285A"/>
    <w:pPr>
      <w:pBdr>
        <w:left w:val="single" w:sz="8" w:space="0" w:color="auto"/>
      </w:pBdr>
      <w:spacing w:before="100" w:beforeAutospacing="1" w:after="100" w:afterAutospacing="1" w:line="240" w:lineRule="auto"/>
    </w:pPr>
    <w:rPr>
      <w:rFonts w:ascii="PA-SansSerif" w:eastAsia="Arial Unicode MS" w:hAnsi="PA-SansSerif" w:cs="PA-SansSerif"/>
      <w:b/>
      <w:bCs/>
      <w:sz w:val="12"/>
      <w:szCs w:val="12"/>
      <w:lang w:eastAsia="el-GR"/>
    </w:rPr>
  </w:style>
  <w:style w:type="paragraph" w:styleId="BodyTextIndent3">
    <w:name w:val="Body Text Indent 3"/>
    <w:basedOn w:val="Normal"/>
    <w:link w:val="BodyTextIndent3Char"/>
    <w:uiPriority w:val="99"/>
    <w:rsid w:val="009E285A"/>
    <w:pPr>
      <w:spacing w:after="0" w:line="240" w:lineRule="auto"/>
      <w:ind w:left="990" w:hanging="706"/>
    </w:pPr>
    <w:rPr>
      <w:rFonts w:ascii="Times New Roman" w:eastAsia="Times New Roman" w:hAnsi="Times New Roman" w:cs="Times New Roman"/>
      <w:sz w:val="24"/>
      <w:szCs w:val="24"/>
      <w:lang w:val="en-US" w:eastAsia="el-GR"/>
    </w:rPr>
  </w:style>
  <w:style w:type="character" w:customStyle="1" w:styleId="BodyTextIndent3Char">
    <w:name w:val="Body Text Indent 3 Char"/>
    <w:basedOn w:val="DefaultParagraphFont"/>
    <w:link w:val="BodyTextIndent3"/>
    <w:uiPriority w:val="99"/>
    <w:rsid w:val="009E285A"/>
    <w:rPr>
      <w:rFonts w:ascii="Times New Roman" w:eastAsia="Times New Roman" w:hAnsi="Times New Roman" w:cs="Times New Roman"/>
      <w:kern w:val="0"/>
      <w:sz w:val="24"/>
      <w:szCs w:val="24"/>
      <w:lang w:val="en-US" w:eastAsia="el-GR"/>
      <w14:ligatures w14:val="none"/>
    </w:rPr>
  </w:style>
  <w:style w:type="paragraph" w:styleId="BlockText">
    <w:name w:val="Block Text"/>
    <w:basedOn w:val="Normal"/>
    <w:uiPriority w:val="99"/>
    <w:rsid w:val="009E285A"/>
    <w:pPr>
      <w:spacing w:after="0" w:line="240" w:lineRule="auto"/>
      <w:ind w:left="284" w:right="561"/>
      <w:jc w:val="both"/>
    </w:pPr>
    <w:rPr>
      <w:rFonts w:ascii="Times New Roman" w:eastAsia="Times New Roman" w:hAnsi="Times New Roman" w:cs="Times New Roman"/>
      <w:sz w:val="24"/>
      <w:szCs w:val="24"/>
      <w:lang w:val="en-GB" w:eastAsia="el-GR"/>
    </w:rPr>
  </w:style>
  <w:style w:type="paragraph" w:customStyle="1" w:styleId="xl30">
    <w:name w:val="xl30"/>
    <w:basedOn w:val="Normal"/>
    <w:uiPriority w:val="99"/>
    <w:rsid w:val="009E285A"/>
    <w:pPr>
      <w:pBdr>
        <w:left w:val="single" w:sz="8" w:space="0" w:color="auto"/>
      </w:pBdr>
      <w:spacing w:before="100" w:beforeAutospacing="1" w:after="100" w:afterAutospacing="1" w:line="240" w:lineRule="auto"/>
    </w:pPr>
    <w:rPr>
      <w:rFonts w:ascii="PA-SansSerif" w:eastAsia="Arial Unicode MS" w:hAnsi="PA-SansSerif" w:cs="PA-SansSerif"/>
      <w:sz w:val="12"/>
      <w:szCs w:val="12"/>
      <w:lang w:eastAsia="el-GR"/>
    </w:rPr>
  </w:style>
  <w:style w:type="paragraph" w:customStyle="1" w:styleId="xl26">
    <w:name w:val="xl26"/>
    <w:basedOn w:val="Normal"/>
    <w:uiPriority w:val="99"/>
    <w:rsid w:val="009E285A"/>
    <w:pPr>
      <w:pBdr>
        <w:top w:val="single" w:sz="8" w:space="0" w:color="auto"/>
        <w:bottom w:val="single" w:sz="8" w:space="0" w:color="auto"/>
        <w:right w:val="single" w:sz="8" w:space="0" w:color="auto"/>
      </w:pBdr>
      <w:spacing w:before="100" w:beforeAutospacing="1" w:after="100" w:afterAutospacing="1" w:line="240" w:lineRule="auto"/>
    </w:pPr>
    <w:rPr>
      <w:rFonts w:ascii="PA-SansSerif" w:eastAsia="Arial Unicode MS" w:hAnsi="PA-SansSerif" w:cs="PA-SansSerif"/>
      <w:b/>
      <w:bCs/>
      <w:sz w:val="12"/>
      <w:szCs w:val="12"/>
      <w:lang w:eastAsia="el-GR"/>
    </w:rPr>
  </w:style>
  <w:style w:type="paragraph" w:styleId="BodyText3">
    <w:name w:val="Body Text 3"/>
    <w:basedOn w:val="Normal"/>
    <w:link w:val="BodyText3Char"/>
    <w:uiPriority w:val="99"/>
    <w:rsid w:val="009E285A"/>
    <w:pPr>
      <w:spacing w:after="0" w:line="240" w:lineRule="auto"/>
      <w:jc w:val="both"/>
    </w:pPr>
    <w:rPr>
      <w:rFonts w:ascii="Tahoma" w:eastAsia="Times New Roman" w:hAnsi="Tahoma" w:cs="Tahoma"/>
      <w:sz w:val="18"/>
      <w:szCs w:val="18"/>
      <w:lang w:val="en-US"/>
    </w:rPr>
  </w:style>
  <w:style w:type="character" w:customStyle="1" w:styleId="BodyText3Char">
    <w:name w:val="Body Text 3 Char"/>
    <w:basedOn w:val="DefaultParagraphFont"/>
    <w:link w:val="BodyText3"/>
    <w:uiPriority w:val="99"/>
    <w:rsid w:val="009E285A"/>
    <w:rPr>
      <w:rFonts w:ascii="Tahoma" w:eastAsia="Times New Roman" w:hAnsi="Tahoma" w:cs="Tahoma"/>
      <w:kern w:val="0"/>
      <w:sz w:val="18"/>
      <w:szCs w:val="18"/>
      <w:lang w:val="en-US"/>
      <w14:ligatures w14:val="none"/>
    </w:rPr>
  </w:style>
  <w:style w:type="paragraph" w:customStyle="1" w:styleId="02bullet">
    <w:name w:val="02 bullet"/>
    <w:basedOn w:val="Normal"/>
    <w:uiPriority w:val="99"/>
    <w:rsid w:val="009E285A"/>
    <w:pPr>
      <w:numPr>
        <w:numId w:val="1"/>
      </w:numPr>
      <w:spacing w:after="0" w:line="240" w:lineRule="auto"/>
    </w:pPr>
    <w:rPr>
      <w:rFonts w:ascii="Times New Roman" w:eastAsia="Times New Roman" w:hAnsi="Times New Roman" w:cs="Times New Roman"/>
      <w:sz w:val="20"/>
      <w:szCs w:val="20"/>
      <w:lang w:val="en-US"/>
    </w:rPr>
  </w:style>
  <w:style w:type="paragraph" w:styleId="FootnoteText">
    <w:name w:val="footnote text"/>
    <w:basedOn w:val="Normal"/>
    <w:link w:val="FootnoteTextChar"/>
    <w:uiPriority w:val="99"/>
    <w:rsid w:val="009E285A"/>
    <w:pPr>
      <w:spacing w:after="0" w:line="240" w:lineRule="auto"/>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uiPriority w:val="99"/>
    <w:rsid w:val="009E285A"/>
    <w:rPr>
      <w:rFonts w:ascii="Times New Roman" w:eastAsia="Times New Roman" w:hAnsi="Times New Roman" w:cs="Times New Roman"/>
      <w:kern w:val="0"/>
      <w:sz w:val="20"/>
      <w:szCs w:val="20"/>
      <w:lang w:val="en-US"/>
      <w14:ligatures w14:val="none"/>
    </w:rPr>
  </w:style>
  <w:style w:type="character" w:styleId="FootnoteReference">
    <w:name w:val="footnote reference"/>
    <w:uiPriority w:val="99"/>
    <w:rsid w:val="009E285A"/>
    <w:rPr>
      <w:vertAlign w:val="superscript"/>
    </w:rPr>
  </w:style>
  <w:style w:type="paragraph" w:customStyle="1" w:styleId="xl37">
    <w:name w:val="xl37"/>
    <w:basedOn w:val="Normal"/>
    <w:uiPriority w:val="99"/>
    <w:rsid w:val="009E285A"/>
    <w:pPr>
      <w:spacing w:before="100" w:beforeAutospacing="1" w:after="100" w:afterAutospacing="1" w:line="240" w:lineRule="auto"/>
      <w:jc w:val="center"/>
    </w:pPr>
    <w:rPr>
      <w:rFonts w:ascii="Tahoma" w:eastAsia="Arial Unicode MS" w:hAnsi="Tahoma" w:cs="Tahoma"/>
      <w:b/>
      <w:bCs/>
      <w:lang w:val="en-GB"/>
    </w:rPr>
  </w:style>
  <w:style w:type="paragraph" w:customStyle="1" w:styleId="xl24">
    <w:name w:val="xl24"/>
    <w:basedOn w:val="Normal"/>
    <w:uiPriority w:val="99"/>
    <w:rsid w:val="009E285A"/>
    <w:pPr>
      <w:spacing w:before="100" w:beforeAutospacing="1" w:after="100" w:afterAutospacing="1" w:line="240" w:lineRule="auto"/>
      <w:textAlignment w:val="top"/>
    </w:pPr>
    <w:rPr>
      <w:rFonts w:ascii="Times New Roman" w:eastAsia="Arial Unicode MS" w:hAnsi="Times New Roman" w:cs="Times New Roman"/>
      <w:sz w:val="24"/>
      <w:szCs w:val="24"/>
      <w:lang w:val="en-GB"/>
    </w:rPr>
  </w:style>
  <w:style w:type="paragraph" w:customStyle="1" w:styleId="xl25">
    <w:name w:val="xl25"/>
    <w:basedOn w:val="Normal"/>
    <w:uiPriority w:val="99"/>
    <w:rsid w:val="009E285A"/>
    <w:pPr>
      <w:spacing w:before="100" w:beforeAutospacing="1" w:after="100" w:afterAutospacing="1" w:line="240" w:lineRule="auto"/>
      <w:textAlignment w:val="top"/>
    </w:pPr>
    <w:rPr>
      <w:rFonts w:ascii="Tahoma" w:eastAsia="Arial Unicode MS" w:hAnsi="Tahoma" w:cs="Tahoma"/>
      <w:sz w:val="18"/>
      <w:szCs w:val="18"/>
      <w:lang w:val="en-GB"/>
    </w:rPr>
  </w:style>
  <w:style w:type="paragraph" w:customStyle="1" w:styleId="xl28">
    <w:name w:val="xl28"/>
    <w:basedOn w:val="Normal"/>
    <w:uiPriority w:val="99"/>
    <w:rsid w:val="009E285A"/>
    <w:pPr>
      <w:spacing w:before="100" w:beforeAutospacing="1" w:after="100" w:afterAutospacing="1" w:line="240" w:lineRule="auto"/>
      <w:jc w:val="center"/>
      <w:textAlignment w:val="top"/>
    </w:pPr>
    <w:rPr>
      <w:rFonts w:ascii="Tahoma" w:eastAsia="Arial Unicode MS" w:hAnsi="Tahoma" w:cs="Tahoma"/>
      <w:b/>
      <w:bCs/>
      <w:sz w:val="24"/>
      <w:szCs w:val="24"/>
      <w:lang w:val="en-GB"/>
    </w:rPr>
  </w:style>
  <w:style w:type="paragraph" w:customStyle="1" w:styleId="xl29">
    <w:name w:val="xl29"/>
    <w:basedOn w:val="Normal"/>
    <w:uiPriority w:val="99"/>
    <w:rsid w:val="009E285A"/>
    <w:pPr>
      <w:spacing w:before="100" w:beforeAutospacing="1" w:after="100" w:afterAutospacing="1" w:line="240" w:lineRule="auto"/>
      <w:textAlignment w:val="top"/>
    </w:pPr>
    <w:rPr>
      <w:rFonts w:ascii="Tahoma" w:eastAsia="Arial Unicode MS" w:hAnsi="Tahoma" w:cs="Tahoma"/>
      <w:sz w:val="24"/>
      <w:szCs w:val="24"/>
      <w:lang w:val="en-GB"/>
    </w:rPr>
  </w:style>
  <w:style w:type="paragraph" w:customStyle="1" w:styleId="xl31">
    <w:name w:val="xl31"/>
    <w:basedOn w:val="Normal"/>
    <w:uiPriority w:val="99"/>
    <w:rsid w:val="009E285A"/>
    <w:pPr>
      <w:spacing w:before="100" w:beforeAutospacing="1" w:after="100" w:afterAutospacing="1" w:line="240" w:lineRule="auto"/>
      <w:jc w:val="right"/>
      <w:textAlignment w:val="top"/>
    </w:pPr>
    <w:rPr>
      <w:rFonts w:ascii="Tahoma" w:eastAsia="Arial Unicode MS" w:hAnsi="Tahoma" w:cs="Tahoma"/>
      <w:sz w:val="24"/>
      <w:szCs w:val="24"/>
      <w:lang w:val="en-GB"/>
    </w:rPr>
  </w:style>
  <w:style w:type="paragraph" w:customStyle="1" w:styleId="xl32">
    <w:name w:val="xl32"/>
    <w:basedOn w:val="Normal"/>
    <w:uiPriority w:val="99"/>
    <w:rsid w:val="009E285A"/>
    <w:pPr>
      <w:pBdr>
        <w:bottom w:val="double" w:sz="6" w:space="0" w:color="auto"/>
      </w:pBdr>
      <w:spacing w:before="100" w:beforeAutospacing="1" w:after="100" w:afterAutospacing="1" w:line="240" w:lineRule="auto"/>
      <w:jc w:val="right"/>
      <w:textAlignment w:val="top"/>
    </w:pPr>
    <w:rPr>
      <w:rFonts w:ascii="Tahoma" w:eastAsia="Arial Unicode MS" w:hAnsi="Tahoma" w:cs="Tahoma"/>
      <w:sz w:val="24"/>
      <w:szCs w:val="24"/>
      <w:lang w:val="en-GB"/>
    </w:rPr>
  </w:style>
  <w:style w:type="paragraph" w:customStyle="1" w:styleId="xl33">
    <w:name w:val="xl33"/>
    <w:basedOn w:val="Normal"/>
    <w:uiPriority w:val="99"/>
    <w:rsid w:val="009E285A"/>
    <w:pPr>
      <w:pBdr>
        <w:bottom w:val="dotted" w:sz="4" w:space="0" w:color="auto"/>
      </w:pBdr>
      <w:spacing w:before="100" w:beforeAutospacing="1" w:after="100" w:afterAutospacing="1" w:line="240" w:lineRule="auto"/>
      <w:jc w:val="right"/>
      <w:textAlignment w:val="top"/>
    </w:pPr>
    <w:rPr>
      <w:rFonts w:ascii="Tahoma" w:eastAsia="Arial Unicode MS" w:hAnsi="Tahoma" w:cs="Tahoma"/>
      <w:sz w:val="24"/>
      <w:szCs w:val="24"/>
      <w:lang w:val="en-GB"/>
    </w:rPr>
  </w:style>
  <w:style w:type="paragraph" w:customStyle="1" w:styleId="xl34">
    <w:name w:val="xl34"/>
    <w:basedOn w:val="Normal"/>
    <w:uiPriority w:val="99"/>
    <w:rsid w:val="009E285A"/>
    <w:pPr>
      <w:spacing w:before="100" w:beforeAutospacing="1" w:after="100" w:afterAutospacing="1" w:line="240" w:lineRule="auto"/>
      <w:textAlignment w:val="top"/>
    </w:pPr>
    <w:rPr>
      <w:rFonts w:ascii="Tahoma" w:eastAsia="Arial Unicode MS" w:hAnsi="Tahoma" w:cs="Tahoma"/>
      <w:sz w:val="24"/>
      <w:szCs w:val="24"/>
      <w:lang w:val="en-GB"/>
    </w:rPr>
  </w:style>
  <w:style w:type="paragraph" w:customStyle="1" w:styleId="xl35">
    <w:name w:val="xl35"/>
    <w:basedOn w:val="Normal"/>
    <w:uiPriority w:val="99"/>
    <w:rsid w:val="009E285A"/>
    <w:pPr>
      <w:pBdr>
        <w:bottom w:val="single" w:sz="4" w:space="0" w:color="auto"/>
      </w:pBdr>
      <w:spacing w:before="100" w:beforeAutospacing="1" w:after="100" w:afterAutospacing="1" w:line="240" w:lineRule="auto"/>
      <w:jc w:val="right"/>
      <w:textAlignment w:val="top"/>
    </w:pPr>
    <w:rPr>
      <w:rFonts w:ascii="Tahoma" w:eastAsia="Arial Unicode MS" w:hAnsi="Tahoma" w:cs="Tahoma"/>
      <w:sz w:val="24"/>
      <w:szCs w:val="24"/>
      <w:lang w:val="en-GB"/>
    </w:rPr>
  </w:style>
  <w:style w:type="paragraph" w:customStyle="1" w:styleId="xl36">
    <w:name w:val="xl36"/>
    <w:basedOn w:val="Normal"/>
    <w:uiPriority w:val="99"/>
    <w:rsid w:val="009E285A"/>
    <w:pPr>
      <w:pBdr>
        <w:bottom w:val="single" w:sz="4" w:space="0" w:color="auto"/>
      </w:pBdr>
      <w:spacing w:before="100" w:beforeAutospacing="1" w:after="100" w:afterAutospacing="1" w:line="240" w:lineRule="auto"/>
      <w:jc w:val="center"/>
    </w:pPr>
    <w:rPr>
      <w:rFonts w:ascii="Times New Roman" w:eastAsia="Arial Unicode MS" w:hAnsi="Times New Roman" w:cs="Times New Roman"/>
      <w:sz w:val="24"/>
      <w:szCs w:val="24"/>
      <w:lang w:val="en-GB"/>
    </w:rPr>
  </w:style>
  <w:style w:type="paragraph" w:customStyle="1" w:styleId="xl38">
    <w:name w:val="xl38"/>
    <w:basedOn w:val="Normal"/>
    <w:uiPriority w:val="99"/>
    <w:rsid w:val="009E285A"/>
    <w:pPr>
      <w:spacing w:before="100" w:beforeAutospacing="1" w:after="100" w:afterAutospacing="1" w:line="240" w:lineRule="auto"/>
      <w:textAlignment w:val="top"/>
    </w:pPr>
    <w:rPr>
      <w:rFonts w:ascii="Times New Roman" w:eastAsia="Arial Unicode MS" w:hAnsi="Times New Roman" w:cs="Times New Roman"/>
      <w:i/>
      <w:iCs/>
      <w:sz w:val="24"/>
      <w:szCs w:val="24"/>
      <w:lang w:val="en-GB"/>
    </w:rPr>
  </w:style>
  <w:style w:type="paragraph" w:customStyle="1" w:styleId="xl39">
    <w:name w:val="xl39"/>
    <w:basedOn w:val="Normal"/>
    <w:uiPriority w:val="99"/>
    <w:rsid w:val="009E285A"/>
    <w:pPr>
      <w:spacing w:before="100" w:beforeAutospacing="1" w:after="100" w:afterAutospacing="1" w:line="240" w:lineRule="auto"/>
      <w:jc w:val="center"/>
    </w:pPr>
    <w:rPr>
      <w:rFonts w:ascii="Tahoma" w:eastAsia="Arial Unicode MS" w:hAnsi="Tahoma" w:cs="Tahoma"/>
      <w:i/>
      <w:iCs/>
      <w:sz w:val="24"/>
      <w:szCs w:val="24"/>
      <w:lang w:val="en-GB"/>
    </w:rPr>
  </w:style>
  <w:style w:type="paragraph" w:customStyle="1" w:styleId="xl40">
    <w:name w:val="xl40"/>
    <w:basedOn w:val="Normal"/>
    <w:uiPriority w:val="99"/>
    <w:rsid w:val="009E285A"/>
    <w:pPr>
      <w:pBdr>
        <w:bottom w:val="double" w:sz="6" w:space="0" w:color="auto"/>
      </w:pBdr>
      <w:spacing w:before="100" w:beforeAutospacing="1" w:after="100" w:afterAutospacing="1" w:line="240" w:lineRule="auto"/>
      <w:jc w:val="center"/>
    </w:pPr>
    <w:rPr>
      <w:rFonts w:ascii="Times New Roman" w:eastAsia="Arial Unicode MS" w:hAnsi="Times New Roman" w:cs="Times New Roman"/>
      <w:i/>
      <w:iCs/>
      <w:sz w:val="24"/>
      <w:szCs w:val="24"/>
      <w:lang w:val="en-GB"/>
    </w:rPr>
  </w:style>
  <w:style w:type="paragraph" w:customStyle="1" w:styleId="xl42">
    <w:name w:val="xl42"/>
    <w:basedOn w:val="Normal"/>
    <w:uiPriority w:val="99"/>
    <w:rsid w:val="009E285A"/>
    <w:pPr>
      <w:spacing w:before="100" w:beforeAutospacing="1" w:after="100" w:afterAutospacing="1" w:line="240" w:lineRule="auto"/>
      <w:jc w:val="center"/>
    </w:pPr>
    <w:rPr>
      <w:rFonts w:ascii="Times New Roman" w:eastAsia="Arial Unicode MS" w:hAnsi="Times New Roman" w:cs="Times New Roman"/>
      <w:i/>
      <w:iCs/>
      <w:sz w:val="24"/>
      <w:szCs w:val="24"/>
      <w:lang w:val="en-GB"/>
    </w:rPr>
  </w:style>
  <w:style w:type="paragraph" w:customStyle="1" w:styleId="xl43">
    <w:name w:val="xl43"/>
    <w:basedOn w:val="Normal"/>
    <w:uiPriority w:val="99"/>
    <w:rsid w:val="009E285A"/>
    <w:pPr>
      <w:spacing w:before="100" w:beforeAutospacing="1" w:after="100" w:afterAutospacing="1" w:line="240" w:lineRule="auto"/>
      <w:jc w:val="center"/>
    </w:pPr>
    <w:rPr>
      <w:rFonts w:ascii="Tahoma" w:eastAsia="Arial Unicode MS" w:hAnsi="Tahoma" w:cs="Tahoma"/>
      <w:i/>
      <w:iCs/>
      <w:color w:val="000000"/>
      <w:sz w:val="24"/>
      <w:szCs w:val="24"/>
      <w:lang w:val="en-GB"/>
    </w:rPr>
  </w:style>
  <w:style w:type="paragraph" w:customStyle="1" w:styleId="xl44">
    <w:name w:val="xl44"/>
    <w:basedOn w:val="Normal"/>
    <w:uiPriority w:val="99"/>
    <w:rsid w:val="009E285A"/>
    <w:pPr>
      <w:pBdr>
        <w:bottom w:val="single" w:sz="4" w:space="0" w:color="auto"/>
      </w:pBdr>
      <w:spacing w:before="100" w:beforeAutospacing="1" w:after="100" w:afterAutospacing="1" w:line="240" w:lineRule="auto"/>
      <w:jc w:val="center"/>
    </w:pPr>
    <w:rPr>
      <w:rFonts w:ascii="Times New Roman" w:eastAsia="Arial Unicode MS" w:hAnsi="Times New Roman" w:cs="Times New Roman"/>
      <w:i/>
      <w:iCs/>
      <w:sz w:val="24"/>
      <w:szCs w:val="24"/>
      <w:lang w:val="en-GB"/>
    </w:rPr>
  </w:style>
  <w:style w:type="paragraph" w:customStyle="1" w:styleId="xl45">
    <w:name w:val="xl45"/>
    <w:basedOn w:val="Normal"/>
    <w:uiPriority w:val="99"/>
    <w:rsid w:val="009E285A"/>
    <w:pPr>
      <w:pBdr>
        <w:bottom w:val="double" w:sz="6" w:space="0" w:color="auto"/>
      </w:pBdr>
      <w:spacing w:before="100" w:beforeAutospacing="1" w:after="100" w:afterAutospacing="1" w:line="240" w:lineRule="auto"/>
      <w:jc w:val="center"/>
    </w:pPr>
    <w:rPr>
      <w:rFonts w:ascii="Tahoma" w:eastAsia="Arial Unicode MS" w:hAnsi="Tahoma" w:cs="Tahoma"/>
      <w:i/>
      <w:iCs/>
      <w:sz w:val="24"/>
      <w:szCs w:val="24"/>
      <w:lang w:val="en-GB"/>
    </w:rPr>
  </w:style>
  <w:style w:type="paragraph" w:customStyle="1" w:styleId="xl46">
    <w:name w:val="xl46"/>
    <w:basedOn w:val="Normal"/>
    <w:uiPriority w:val="99"/>
    <w:rsid w:val="009E285A"/>
    <w:pPr>
      <w:spacing w:before="100" w:beforeAutospacing="1" w:after="100" w:afterAutospacing="1" w:line="240" w:lineRule="auto"/>
      <w:textAlignment w:val="top"/>
    </w:pPr>
    <w:rPr>
      <w:rFonts w:ascii="Tahoma" w:eastAsia="Arial Unicode MS" w:hAnsi="Tahoma" w:cs="Tahoma"/>
      <w:b/>
      <w:bCs/>
      <w:sz w:val="24"/>
      <w:szCs w:val="24"/>
      <w:lang w:val="en-GB"/>
    </w:rPr>
  </w:style>
  <w:style w:type="paragraph" w:customStyle="1" w:styleId="xl47">
    <w:name w:val="xl47"/>
    <w:basedOn w:val="Normal"/>
    <w:uiPriority w:val="99"/>
    <w:rsid w:val="009E285A"/>
    <w:pPr>
      <w:spacing w:before="100" w:beforeAutospacing="1" w:after="100" w:afterAutospacing="1" w:line="240" w:lineRule="auto"/>
      <w:textAlignment w:val="top"/>
    </w:pPr>
    <w:rPr>
      <w:rFonts w:ascii="Tahoma" w:eastAsia="Arial Unicode MS" w:hAnsi="Tahoma" w:cs="Tahoma"/>
      <w:b/>
      <w:bCs/>
      <w:i/>
      <w:iCs/>
      <w:sz w:val="24"/>
      <w:szCs w:val="24"/>
      <w:lang w:val="en-GB"/>
    </w:rPr>
  </w:style>
  <w:style w:type="paragraph" w:customStyle="1" w:styleId="font5">
    <w:name w:val="font5"/>
    <w:basedOn w:val="Normal"/>
    <w:uiPriority w:val="99"/>
    <w:rsid w:val="009E285A"/>
    <w:pPr>
      <w:spacing w:before="100" w:beforeAutospacing="1" w:after="100" w:afterAutospacing="1" w:line="240" w:lineRule="auto"/>
    </w:pPr>
    <w:rPr>
      <w:rFonts w:ascii="Tahoma" w:eastAsia="Arial Unicode MS" w:hAnsi="Tahoma" w:cs="Tahoma"/>
      <w:b/>
      <w:bCs/>
      <w:sz w:val="20"/>
      <w:szCs w:val="20"/>
      <w:lang w:val="en-GB"/>
    </w:rPr>
  </w:style>
  <w:style w:type="paragraph" w:customStyle="1" w:styleId="font6">
    <w:name w:val="font6"/>
    <w:basedOn w:val="Normal"/>
    <w:uiPriority w:val="99"/>
    <w:rsid w:val="009E285A"/>
    <w:pPr>
      <w:spacing w:before="100" w:beforeAutospacing="1" w:after="100" w:afterAutospacing="1" w:line="240" w:lineRule="auto"/>
    </w:pPr>
    <w:rPr>
      <w:rFonts w:ascii="Tahoma" w:eastAsia="Arial Unicode MS" w:hAnsi="Tahoma" w:cs="Tahoma"/>
      <w:color w:val="000000"/>
      <w:sz w:val="16"/>
      <w:szCs w:val="16"/>
      <w:lang w:val="en-GB"/>
    </w:rPr>
  </w:style>
  <w:style w:type="paragraph" w:customStyle="1" w:styleId="xl48">
    <w:name w:val="xl48"/>
    <w:basedOn w:val="Normal"/>
    <w:uiPriority w:val="99"/>
    <w:rsid w:val="009E285A"/>
    <w:pPr>
      <w:pBdr>
        <w:bottom w:val="single" w:sz="4" w:space="0" w:color="808080"/>
        <w:right w:val="single" w:sz="4" w:space="0" w:color="808080"/>
      </w:pBdr>
      <w:spacing w:before="100" w:beforeAutospacing="1" w:after="100" w:afterAutospacing="1" w:line="240" w:lineRule="auto"/>
      <w:jc w:val="center"/>
      <w:textAlignment w:val="center"/>
    </w:pPr>
    <w:rPr>
      <w:rFonts w:ascii="Tahoma" w:eastAsia="Arial Unicode MS" w:hAnsi="Tahoma" w:cs="Tahoma"/>
      <w:lang w:val="en-GB"/>
    </w:rPr>
  </w:style>
  <w:style w:type="paragraph" w:customStyle="1" w:styleId="xl49">
    <w:name w:val="xl49"/>
    <w:basedOn w:val="Normal"/>
    <w:uiPriority w:val="99"/>
    <w:rsid w:val="009E285A"/>
    <w:pPr>
      <w:pBdr>
        <w:bottom w:val="single" w:sz="4" w:space="0" w:color="auto"/>
        <w:right w:val="single" w:sz="4" w:space="0" w:color="808080"/>
      </w:pBdr>
      <w:spacing w:before="100" w:beforeAutospacing="1" w:after="100" w:afterAutospacing="1" w:line="240" w:lineRule="auto"/>
      <w:jc w:val="center"/>
      <w:textAlignment w:val="center"/>
    </w:pPr>
    <w:rPr>
      <w:rFonts w:ascii="Tahoma" w:eastAsia="Arial Unicode MS" w:hAnsi="Tahoma" w:cs="Tahoma"/>
      <w:lang w:val="en-GB"/>
    </w:rPr>
  </w:style>
  <w:style w:type="paragraph" w:customStyle="1" w:styleId="xl50">
    <w:name w:val="xl50"/>
    <w:basedOn w:val="Normal"/>
    <w:uiPriority w:val="99"/>
    <w:rsid w:val="009E285A"/>
    <w:pPr>
      <w:pBdr>
        <w:top w:val="single" w:sz="4" w:space="0" w:color="auto"/>
        <w:bottom w:val="single" w:sz="4" w:space="0" w:color="808080"/>
        <w:right w:val="single" w:sz="4" w:space="0" w:color="808080"/>
      </w:pBdr>
      <w:spacing w:before="100" w:beforeAutospacing="1" w:after="100" w:afterAutospacing="1" w:line="240" w:lineRule="auto"/>
      <w:jc w:val="center"/>
      <w:textAlignment w:val="center"/>
    </w:pPr>
    <w:rPr>
      <w:rFonts w:ascii="Tahoma" w:eastAsia="Arial Unicode MS" w:hAnsi="Tahoma" w:cs="Tahoma"/>
      <w:b/>
      <w:bCs/>
      <w:i/>
      <w:iCs/>
      <w:lang w:val="en-GB"/>
    </w:rPr>
  </w:style>
  <w:style w:type="paragraph" w:customStyle="1" w:styleId="xl51">
    <w:name w:val="xl51"/>
    <w:basedOn w:val="Normal"/>
    <w:uiPriority w:val="99"/>
    <w:rsid w:val="009E285A"/>
    <w:pPr>
      <w:pBdr>
        <w:bottom w:val="single" w:sz="4" w:space="0" w:color="808080"/>
        <w:right w:val="single" w:sz="4" w:space="0" w:color="808080"/>
      </w:pBdr>
      <w:spacing w:before="100" w:beforeAutospacing="1" w:after="100" w:afterAutospacing="1" w:line="240" w:lineRule="auto"/>
      <w:jc w:val="center"/>
      <w:textAlignment w:val="center"/>
    </w:pPr>
    <w:rPr>
      <w:rFonts w:ascii="Tahoma" w:eastAsia="Arial Unicode MS" w:hAnsi="Tahoma" w:cs="Tahoma"/>
      <w:i/>
      <w:iCs/>
      <w:lang w:val="en-GB"/>
    </w:rPr>
  </w:style>
  <w:style w:type="paragraph" w:customStyle="1" w:styleId="xl52">
    <w:name w:val="xl52"/>
    <w:basedOn w:val="Normal"/>
    <w:uiPriority w:val="99"/>
    <w:rsid w:val="009E285A"/>
    <w:pPr>
      <w:pBdr>
        <w:bottom w:val="single" w:sz="4" w:space="0" w:color="808080"/>
        <w:right w:val="single" w:sz="4" w:space="0" w:color="808080"/>
      </w:pBdr>
      <w:spacing w:before="100" w:beforeAutospacing="1" w:after="100" w:afterAutospacing="1" w:line="240" w:lineRule="auto"/>
      <w:jc w:val="center"/>
      <w:textAlignment w:val="center"/>
    </w:pPr>
    <w:rPr>
      <w:rFonts w:ascii="Tahoma" w:eastAsia="Arial Unicode MS" w:hAnsi="Tahoma" w:cs="Tahoma"/>
      <w:b/>
      <w:bCs/>
      <w:i/>
      <w:iCs/>
      <w:lang w:val="en-GB"/>
    </w:rPr>
  </w:style>
  <w:style w:type="paragraph" w:customStyle="1" w:styleId="xl53">
    <w:name w:val="xl53"/>
    <w:basedOn w:val="Normal"/>
    <w:uiPriority w:val="99"/>
    <w:rsid w:val="009E285A"/>
    <w:pPr>
      <w:pBdr>
        <w:bottom w:val="single" w:sz="4" w:space="0" w:color="auto"/>
        <w:right w:val="single" w:sz="4" w:space="0" w:color="808080"/>
      </w:pBdr>
      <w:spacing w:before="100" w:beforeAutospacing="1" w:after="100" w:afterAutospacing="1" w:line="240" w:lineRule="auto"/>
      <w:jc w:val="center"/>
      <w:textAlignment w:val="center"/>
    </w:pPr>
    <w:rPr>
      <w:rFonts w:ascii="Tahoma" w:eastAsia="Arial Unicode MS" w:hAnsi="Tahoma" w:cs="Tahoma"/>
      <w:i/>
      <w:iCs/>
      <w:lang w:val="en-GB"/>
    </w:rPr>
  </w:style>
  <w:style w:type="paragraph" w:customStyle="1" w:styleId="xl54">
    <w:name w:val="xl54"/>
    <w:basedOn w:val="Normal"/>
    <w:uiPriority w:val="99"/>
    <w:rsid w:val="009E285A"/>
    <w:pPr>
      <w:pBdr>
        <w:right w:val="single" w:sz="4" w:space="0" w:color="808080"/>
      </w:pBdr>
      <w:spacing w:before="100" w:beforeAutospacing="1" w:after="100" w:afterAutospacing="1" w:line="240" w:lineRule="auto"/>
      <w:jc w:val="center"/>
      <w:textAlignment w:val="center"/>
    </w:pPr>
    <w:rPr>
      <w:rFonts w:ascii="Tahoma" w:eastAsia="Arial Unicode MS" w:hAnsi="Tahoma" w:cs="Tahoma"/>
      <w:i/>
      <w:iCs/>
      <w:lang w:val="en-GB"/>
    </w:rPr>
  </w:style>
  <w:style w:type="paragraph" w:customStyle="1" w:styleId="xl55">
    <w:name w:val="xl55"/>
    <w:basedOn w:val="Normal"/>
    <w:uiPriority w:val="99"/>
    <w:rsid w:val="009E285A"/>
    <w:pPr>
      <w:pBdr>
        <w:top w:val="single" w:sz="4" w:space="0" w:color="auto"/>
        <w:bottom w:val="single" w:sz="4" w:space="0" w:color="808080"/>
        <w:right w:val="single" w:sz="4" w:space="0" w:color="808080"/>
      </w:pBdr>
      <w:spacing w:before="100" w:beforeAutospacing="1" w:after="100" w:afterAutospacing="1" w:line="240" w:lineRule="auto"/>
      <w:jc w:val="center"/>
      <w:textAlignment w:val="center"/>
    </w:pPr>
    <w:rPr>
      <w:rFonts w:ascii="Tahoma" w:eastAsia="Arial Unicode MS" w:hAnsi="Tahoma" w:cs="Tahoma"/>
      <w:i/>
      <w:iCs/>
      <w:lang w:val="en-GB"/>
    </w:rPr>
  </w:style>
  <w:style w:type="paragraph" w:customStyle="1" w:styleId="xl56">
    <w:name w:val="xl56"/>
    <w:basedOn w:val="Normal"/>
    <w:uiPriority w:val="99"/>
    <w:rsid w:val="009E285A"/>
    <w:pPr>
      <w:pBdr>
        <w:bottom w:val="single" w:sz="4" w:space="0" w:color="808080"/>
        <w:right w:val="single" w:sz="4" w:space="0" w:color="808080"/>
      </w:pBdr>
      <w:spacing w:before="100" w:beforeAutospacing="1" w:after="100" w:afterAutospacing="1" w:line="240" w:lineRule="auto"/>
      <w:jc w:val="center"/>
      <w:textAlignment w:val="center"/>
    </w:pPr>
    <w:rPr>
      <w:rFonts w:ascii="Tahoma" w:eastAsia="Arial Unicode MS" w:hAnsi="Tahoma" w:cs="Tahoma"/>
      <w:i/>
      <w:iCs/>
      <w:lang w:val="en-GB"/>
    </w:rPr>
  </w:style>
  <w:style w:type="paragraph" w:customStyle="1" w:styleId="xl57">
    <w:name w:val="xl57"/>
    <w:basedOn w:val="Normal"/>
    <w:uiPriority w:val="99"/>
    <w:rsid w:val="009E285A"/>
    <w:pPr>
      <w:pBdr>
        <w:bottom w:val="single" w:sz="4" w:space="0" w:color="auto"/>
        <w:right w:val="single" w:sz="4" w:space="0" w:color="808080"/>
      </w:pBdr>
      <w:spacing w:before="100" w:beforeAutospacing="1" w:after="100" w:afterAutospacing="1" w:line="240" w:lineRule="auto"/>
      <w:jc w:val="center"/>
      <w:textAlignment w:val="center"/>
    </w:pPr>
    <w:rPr>
      <w:rFonts w:ascii="Tahoma" w:eastAsia="Arial Unicode MS" w:hAnsi="Tahoma" w:cs="Tahoma"/>
      <w:i/>
      <w:iCs/>
      <w:lang w:val="en-GB"/>
    </w:rPr>
  </w:style>
  <w:style w:type="paragraph" w:customStyle="1" w:styleId="xl58">
    <w:name w:val="xl58"/>
    <w:basedOn w:val="Normal"/>
    <w:uiPriority w:val="99"/>
    <w:rsid w:val="009E285A"/>
    <w:pPr>
      <w:pBdr>
        <w:top w:val="single" w:sz="4" w:space="0" w:color="808080"/>
        <w:left w:val="single" w:sz="4" w:space="0" w:color="808080"/>
        <w:bottom w:val="single" w:sz="4" w:space="0" w:color="auto"/>
        <w:right w:val="single" w:sz="4" w:space="0" w:color="808080"/>
      </w:pBdr>
      <w:spacing w:before="100" w:beforeAutospacing="1" w:after="100" w:afterAutospacing="1" w:line="240" w:lineRule="auto"/>
      <w:jc w:val="center"/>
      <w:textAlignment w:val="center"/>
    </w:pPr>
    <w:rPr>
      <w:rFonts w:ascii="Tahoma" w:eastAsia="Arial Unicode MS" w:hAnsi="Tahoma" w:cs="Tahoma"/>
      <w:i/>
      <w:iCs/>
      <w:lang w:val="en-GB"/>
    </w:rPr>
  </w:style>
  <w:style w:type="paragraph" w:customStyle="1" w:styleId="xl59">
    <w:name w:val="xl59"/>
    <w:basedOn w:val="Normal"/>
    <w:uiPriority w:val="99"/>
    <w:rsid w:val="009E285A"/>
    <w:pPr>
      <w:pBdr>
        <w:top w:val="single" w:sz="4" w:space="0" w:color="auto"/>
        <w:bottom w:val="single" w:sz="4" w:space="0" w:color="808080"/>
        <w:right w:val="single" w:sz="4" w:space="0" w:color="808080"/>
      </w:pBdr>
      <w:spacing w:before="100" w:beforeAutospacing="1" w:after="100" w:afterAutospacing="1" w:line="240" w:lineRule="auto"/>
      <w:jc w:val="center"/>
      <w:textAlignment w:val="center"/>
    </w:pPr>
    <w:rPr>
      <w:rFonts w:ascii="Tahoma" w:eastAsia="Arial Unicode MS" w:hAnsi="Tahoma" w:cs="Tahoma"/>
      <w:i/>
      <w:iCs/>
      <w:lang w:val="en-GB"/>
    </w:rPr>
  </w:style>
  <w:style w:type="paragraph" w:customStyle="1" w:styleId="xl60">
    <w:name w:val="xl60"/>
    <w:basedOn w:val="Normal"/>
    <w:uiPriority w:val="99"/>
    <w:rsid w:val="009E285A"/>
    <w:pPr>
      <w:pBdr>
        <w:bottom w:val="single" w:sz="4" w:space="0" w:color="808080"/>
        <w:right w:val="single" w:sz="4" w:space="0" w:color="808080"/>
      </w:pBdr>
      <w:spacing w:before="100" w:beforeAutospacing="1" w:after="100" w:afterAutospacing="1" w:line="240" w:lineRule="auto"/>
      <w:jc w:val="center"/>
      <w:textAlignment w:val="center"/>
    </w:pPr>
    <w:rPr>
      <w:rFonts w:ascii="Tahoma" w:eastAsia="Arial Unicode MS" w:hAnsi="Tahoma" w:cs="Tahoma"/>
      <w:b/>
      <w:bCs/>
      <w:i/>
      <w:iCs/>
      <w:lang w:val="en-GB"/>
    </w:rPr>
  </w:style>
  <w:style w:type="paragraph" w:styleId="BodyTextIndent2">
    <w:name w:val="Body Text Indent 2"/>
    <w:basedOn w:val="Normal"/>
    <w:link w:val="BodyTextIndent2Char"/>
    <w:uiPriority w:val="99"/>
    <w:rsid w:val="009E285A"/>
    <w:pPr>
      <w:spacing w:after="0" w:line="240" w:lineRule="auto"/>
      <w:ind w:firstLine="720"/>
      <w:jc w:val="both"/>
    </w:pPr>
    <w:rPr>
      <w:rFonts w:ascii="Tahoma" w:eastAsia="Times New Roman" w:hAnsi="Tahoma" w:cs="Tahoma"/>
      <w:lang w:val="en-US" w:eastAsia="el-GR"/>
    </w:rPr>
  </w:style>
  <w:style w:type="character" w:customStyle="1" w:styleId="BodyTextIndent2Char">
    <w:name w:val="Body Text Indent 2 Char"/>
    <w:basedOn w:val="DefaultParagraphFont"/>
    <w:link w:val="BodyTextIndent2"/>
    <w:uiPriority w:val="99"/>
    <w:rsid w:val="009E285A"/>
    <w:rPr>
      <w:rFonts w:ascii="Tahoma" w:eastAsia="Times New Roman" w:hAnsi="Tahoma" w:cs="Tahoma"/>
      <w:kern w:val="0"/>
      <w:lang w:val="en-US" w:eastAsia="el-GR"/>
      <w14:ligatures w14:val="none"/>
    </w:rPr>
  </w:style>
  <w:style w:type="paragraph" w:styleId="ListBullet">
    <w:name w:val="List Bullet"/>
    <w:basedOn w:val="Normal"/>
    <w:autoRedefine/>
    <w:uiPriority w:val="99"/>
    <w:rsid w:val="009E285A"/>
    <w:pPr>
      <w:widowControl w:val="0"/>
      <w:numPr>
        <w:numId w:val="2"/>
      </w:numPr>
      <w:autoSpaceDE w:val="0"/>
      <w:autoSpaceDN w:val="0"/>
      <w:adjustRightInd w:val="0"/>
      <w:spacing w:after="0" w:line="240" w:lineRule="auto"/>
    </w:pPr>
    <w:rPr>
      <w:rFonts w:ascii="Times New Roman" w:eastAsia="Times New Roman" w:hAnsi="Times New Roman" w:cs="Times New Roman"/>
      <w:sz w:val="20"/>
      <w:szCs w:val="20"/>
      <w:lang w:val="en-US"/>
    </w:rPr>
  </w:style>
  <w:style w:type="paragraph" w:customStyle="1" w:styleId="CharCharCharChar">
    <w:name w:val="Char Char Char Char"/>
    <w:basedOn w:val="Normal"/>
    <w:uiPriority w:val="99"/>
    <w:rsid w:val="009E285A"/>
    <w:pPr>
      <w:spacing w:line="240" w:lineRule="exact"/>
    </w:pPr>
    <w:rPr>
      <w:rFonts w:ascii="Tahoma" w:eastAsia="Times New Roman" w:hAnsi="Tahoma" w:cs="Times New Roman"/>
      <w:sz w:val="20"/>
      <w:szCs w:val="20"/>
      <w:lang w:val="en-US"/>
    </w:rPr>
  </w:style>
  <w:style w:type="paragraph" w:customStyle="1" w:styleId="bodytext3-contempora0">
    <w:name w:val="bodytext3-contempora0"/>
    <w:basedOn w:val="Normal"/>
    <w:uiPriority w:val="99"/>
    <w:rsid w:val="009E285A"/>
    <w:pPr>
      <w:spacing w:after="0" w:line="240" w:lineRule="auto"/>
    </w:pPr>
    <w:rPr>
      <w:rFonts w:ascii="Times New Roman" w:eastAsia="Times New Roman" w:hAnsi="Times New Roman" w:cs="Times New Roman"/>
      <w:sz w:val="24"/>
      <w:szCs w:val="24"/>
      <w:lang w:eastAsia="el-GR"/>
    </w:rPr>
  </w:style>
  <w:style w:type="paragraph" w:customStyle="1" w:styleId="xl61">
    <w:name w:val="xl61"/>
    <w:basedOn w:val="Normal"/>
    <w:uiPriority w:val="99"/>
    <w:rsid w:val="009E285A"/>
    <w:pPr>
      <w:spacing w:before="100" w:beforeAutospacing="1" w:after="100" w:afterAutospacing="1" w:line="240" w:lineRule="auto"/>
      <w:jc w:val="center"/>
    </w:pPr>
    <w:rPr>
      <w:rFonts w:ascii="Tahoma" w:eastAsia="Arial Unicode MS" w:hAnsi="Tahoma" w:cs="Tahoma"/>
      <w:b/>
      <w:bCs/>
      <w:i/>
      <w:iCs/>
      <w:sz w:val="24"/>
      <w:szCs w:val="24"/>
      <w:lang w:eastAsia="el-GR"/>
    </w:rPr>
  </w:style>
  <w:style w:type="paragraph" w:customStyle="1" w:styleId="xl62">
    <w:name w:val="xl62"/>
    <w:basedOn w:val="Normal"/>
    <w:uiPriority w:val="99"/>
    <w:rsid w:val="009E285A"/>
    <w:pPr>
      <w:spacing w:before="100" w:beforeAutospacing="1" w:after="100" w:afterAutospacing="1" w:line="240" w:lineRule="auto"/>
      <w:jc w:val="right"/>
      <w:textAlignment w:val="center"/>
    </w:pPr>
    <w:rPr>
      <w:rFonts w:ascii="Tahoma" w:eastAsia="Arial Unicode MS" w:hAnsi="Tahoma" w:cs="Tahoma"/>
      <w:color w:val="000000"/>
      <w:sz w:val="18"/>
      <w:szCs w:val="18"/>
      <w:lang w:eastAsia="el-GR"/>
    </w:rPr>
  </w:style>
  <w:style w:type="paragraph" w:customStyle="1" w:styleId="xl63">
    <w:name w:val="xl63"/>
    <w:basedOn w:val="Normal"/>
    <w:uiPriority w:val="99"/>
    <w:rsid w:val="009E285A"/>
    <w:pPr>
      <w:spacing w:before="100" w:beforeAutospacing="1" w:after="100" w:afterAutospacing="1" w:line="240" w:lineRule="auto"/>
      <w:jc w:val="center"/>
      <w:textAlignment w:val="center"/>
    </w:pPr>
    <w:rPr>
      <w:rFonts w:ascii="Tahoma" w:eastAsia="Arial Unicode MS" w:hAnsi="Tahoma" w:cs="Tahoma"/>
      <w:i/>
      <w:iCs/>
      <w:sz w:val="24"/>
      <w:szCs w:val="24"/>
      <w:lang w:eastAsia="el-GR"/>
    </w:rPr>
  </w:style>
  <w:style w:type="paragraph" w:customStyle="1" w:styleId="xl64">
    <w:name w:val="xl64"/>
    <w:basedOn w:val="Normal"/>
    <w:uiPriority w:val="99"/>
    <w:rsid w:val="009E285A"/>
    <w:pPr>
      <w:spacing w:before="100" w:beforeAutospacing="1" w:after="100" w:afterAutospacing="1" w:line="240" w:lineRule="auto"/>
      <w:jc w:val="center"/>
    </w:pPr>
    <w:rPr>
      <w:rFonts w:ascii="Tahoma" w:eastAsia="Arial Unicode MS" w:hAnsi="Tahoma" w:cs="Tahoma"/>
      <w:i/>
      <w:iCs/>
      <w:color w:val="000000"/>
      <w:sz w:val="24"/>
      <w:szCs w:val="24"/>
      <w:lang w:eastAsia="el-GR"/>
    </w:rPr>
  </w:style>
  <w:style w:type="paragraph" w:customStyle="1" w:styleId="xl65">
    <w:name w:val="xl65"/>
    <w:basedOn w:val="Normal"/>
    <w:uiPriority w:val="99"/>
    <w:rsid w:val="009E285A"/>
    <w:pPr>
      <w:spacing w:before="100" w:beforeAutospacing="1" w:after="100" w:afterAutospacing="1" w:line="240" w:lineRule="auto"/>
      <w:ind w:firstLineChars="100" w:firstLine="100"/>
      <w:textAlignment w:val="top"/>
    </w:pPr>
    <w:rPr>
      <w:rFonts w:ascii="Tahoma" w:eastAsia="Arial Unicode MS" w:hAnsi="Tahoma" w:cs="Tahoma"/>
      <w:sz w:val="18"/>
      <w:szCs w:val="18"/>
      <w:lang w:eastAsia="el-GR"/>
    </w:rPr>
  </w:style>
  <w:style w:type="paragraph" w:customStyle="1" w:styleId="xl66">
    <w:name w:val="xl66"/>
    <w:basedOn w:val="Normal"/>
    <w:uiPriority w:val="99"/>
    <w:rsid w:val="009E285A"/>
    <w:pPr>
      <w:spacing w:before="100" w:beforeAutospacing="1" w:after="100" w:afterAutospacing="1" w:line="240" w:lineRule="auto"/>
      <w:textAlignment w:val="top"/>
    </w:pPr>
    <w:rPr>
      <w:rFonts w:ascii="Tahoma" w:eastAsia="Arial Unicode MS" w:hAnsi="Tahoma" w:cs="Tahoma"/>
      <w:sz w:val="24"/>
      <w:szCs w:val="24"/>
      <w:lang w:eastAsia="el-GR"/>
    </w:rPr>
  </w:style>
  <w:style w:type="paragraph" w:customStyle="1" w:styleId="xl67">
    <w:name w:val="xl67"/>
    <w:basedOn w:val="Normal"/>
    <w:uiPriority w:val="99"/>
    <w:rsid w:val="009E285A"/>
    <w:pPr>
      <w:spacing w:before="100" w:beforeAutospacing="1" w:after="100" w:afterAutospacing="1" w:line="240" w:lineRule="auto"/>
      <w:ind w:firstLineChars="100" w:firstLine="100"/>
    </w:pPr>
    <w:rPr>
      <w:rFonts w:ascii="Tahoma" w:eastAsia="Arial Unicode MS" w:hAnsi="Tahoma" w:cs="Tahoma"/>
      <w:b/>
      <w:bCs/>
      <w:sz w:val="24"/>
      <w:szCs w:val="24"/>
      <w:lang w:eastAsia="el-GR"/>
    </w:rPr>
  </w:style>
  <w:style w:type="character" w:customStyle="1" w:styleId="text">
    <w:name w:val="text"/>
    <w:rsid w:val="009E285A"/>
    <w:rPr>
      <w:rFonts w:cs="Times New Roman"/>
    </w:rPr>
  </w:style>
  <w:style w:type="paragraph" w:customStyle="1" w:styleId="Default">
    <w:name w:val="Default"/>
    <w:rsid w:val="009E285A"/>
    <w:pPr>
      <w:autoSpaceDE w:val="0"/>
      <w:autoSpaceDN w:val="0"/>
      <w:adjustRightInd w:val="0"/>
      <w:spacing w:after="0" w:line="240" w:lineRule="auto"/>
    </w:pPr>
    <w:rPr>
      <w:rFonts w:ascii="Tahoma" w:eastAsia="Times New Roman" w:hAnsi="Tahoma" w:cs="Times New Roman"/>
      <w:color w:val="000000"/>
      <w:kern w:val="0"/>
      <w:sz w:val="24"/>
      <w:szCs w:val="24"/>
      <w:lang w:eastAsia="el-GR"/>
      <w14:ligatures w14:val="none"/>
    </w:rPr>
  </w:style>
  <w:style w:type="paragraph" w:customStyle="1" w:styleId="as">
    <w:name w:val=".as..."/>
    <w:basedOn w:val="Default"/>
    <w:next w:val="Default"/>
    <w:uiPriority w:val="99"/>
    <w:rsid w:val="009E285A"/>
    <w:rPr>
      <w:color w:val="auto"/>
    </w:rPr>
  </w:style>
  <w:style w:type="table" w:styleId="TableGrid">
    <w:name w:val="Table Grid"/>
    <w:basedOn w:val="TableNormal"/>
    <w:uiPriority w:val="39"/>
    <w:rsid w:val="009E285A"/>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1CharCharCharCharCharCharCharCharCharCharCharCharCharCharCharChar">
    <w:name w:val="Char Char Char Char1 Char Char Char Char Char Char Char Char Char Char Char Char Char Char Char Char"/>
    <w:basedOn w:val="Normal"/>
    <w:uiPriority w:val="99"/>
    <w:rsid w:val="009E285A"/>
    <w:pPr>
      <w:spacing w:line="240" w:lineRule="exact"/>
    </w:pPr>
    <w:rPr>
      <w:rFonts w:ascii="Tahoma" w:eastAsia="Times New Roman" w:hAnsi="Tahoma" w:cs="Times New Roman"/>
      <w:sz w:val="20"/>
      <w:szCs w:val="20"/>
      <w:lang w:val="en-US"/>
    </w:rPr>
  </w:style>
  <w:style w:type="paragraph" w:customStyle="1" w:styleId="Char">
    <w:name w:val="Char"/>
    <w:basedOn w:val="Normal"/>
    <w:uiPriority w:val="99"/>
    <w:rsid w:val="009E285A"/>
    <w:pPr>
      <w:spacing w:line="240" w:lineRule="exact"/>
    </w:pPr>
    <w:rPr>
      <w:rFonts w:ascii="Tahoma" w:eastAsia="Times New Roman" w:hAnsi="Tahoma" w:cs="Times New Roman"/>
      <w:sz w:val="20"/>
      <w:szCs w:val="20"/>
      <w:lang w:val="en-US"/>
    </w:rPr>
  </w:style>
  <w:style w:type="paragraph" w:styleId="BalloonText">
    <w:name w:val="Balloon Text"/>
    <w:basedOn w:val="Normal"/>
    <w:link w:val="BalloonTextChar"/>
    <w:uiPriority w:val="99"/>
    <w:semiHidden/>
    <w:rsid w:val="009E285A"/>
    <w:pPr>
      <w:spacing w:after="0" w:line="240" w:lineRule="auto"/>
    </w:pPr>
    <w:rPr>
      <w:rFonts w:ascii="Tahoma" w:eastAsia="Times New Roman" w:hAnsi="Tahoma" w:cs="Tahoma"/>
      <w:sz w:val="16"/>
      <w:szCs w:val="16"/>
      <w:lang w:val="en-US"/>
    </w:rPr>
  </w:style>
  <w:style w:type="character" w:customStyle="1" w:styleId="BalloonTextChar">
    <w:name w:val="Balloon Text Char"/>
    <w:basedOn w:val="DefaultParagraphFont"/>
    <w:link w:val="BalloonText"/>
    <w:uiPriority w:val="99"/>
    <w:semiHidden/>
    <w:rsid w:val="009E285A"/>
    <w:rPr>
      <w:rFonts w:ascii="Tahoma" w:eastAsia="Times New Roman" w:hAnsi="Tahoma" w:cs="Tahoma"/>
      <w:kern w:val="0"/>
      <w:sz w:val="16"/>
      <w:szCs w:val="16"/>
      <w:lang w:val="en-US"/>
      <w14:ligatures w14:val="none"/>
    </w:rPr>
  </w:style>
  <w:style w:type="paragraph" w:customStyle="1" w:styleId="CharCharCharChar1CharCharCharCharCharCharCharCharCharChar">
    <w:name w:val="Char Char Char Char1 Char Char Char Char Char Char Char Char Char Char"/>
    <w:basedOn w:val="Normal"/>
    <w:uiPriority w:val="99"/>
    <w:rsid w:val="009E285A"/>
    <w:pPr>
      <w:spacing w:line="240" w:lineRule="exact"/>
    </w:pPr>
    <w:rPr>
      <w:rFonts w:ascii="Tahoma" w:eastAsia="Times New Roman" w:hAnsi="Tahoma" w:cs="Times New Roman"/>
      <w:sz w:val="20"/>
      <w:szCs w:val="20"/>
      <w:lang w:val="en-US"/>
    </w:rPr>
  </w:style>
  <w:style w:type="paragraph" w:customStyle="1" w:styleId="CharCharCharChar1CharCharCharCharCharChar">
    <w:name w:val="Char Char Char Char1 Char Char Char Char Char Char"/>
    <w:basedOn w:val="Normal"/>
    <w:uiPriority w:val="99"/>
    <w:rsid w:val="009E285A"/>
    <w:pPr>
      <w:spacing w:line="240" w:lineRule="exact"/>
    </w:pPr>
    <w:rPr>
      <w:rFonts w:ascii="Tahoma" w:eastAsia="Times New Roman" w:hAnsi="Tahoma" w:cs="Times New Roman"/>
      <w:sz w:val="20"/>
      <w:szCs w:val="20"/>
      <w:lang w:val="en-US"/>
    </w:rPr>
  </w:style>
  <w:style w:type="paragraph" w:customStyle="1" w:styleId="CharCharCharChar1CharCharCharCharCharCharCharCharCharCharCharCharCharCharCharChar1CharCharCharCharCharCharCharCharCharCharCharChar">
    <w:name w:val="Char Char Char Char1 Char Char Char Char Char Char Char Char Char Char Char Char Char Char Char Char1 Char Char Char Char Char Char Char Char Char Char Char Char"/>
    <w:basedOn w:val="Normal"/>
    <w:uiPriority w:val="99"/>
    <w:rsid w:val="009E285A"/>
    <w:pPr>
      <w:spacing w:line="240" w:lineRule="exact"/>
    </w:pPr>
    <w:rPr>
      <w:rFonts w:ascii="Tahoma" w:eastAsia="Times New Roman" w:hAnsi="Tahoma" w:cs="Times New Roman"/>
      <w:sz w:val="20"/>
      <w:szCs w:val="20"/>
      <w:lang w:val="en-US"/>
    </w:rPr>
  </w:style>
  <w:style w:type="character" w:customStyle="1" w:styleId="title21">
    <w:name w:val="title21"/>
    <w:rsid w:val="009E285A"/>
    <w:rPr>
      <w:rFonts w:ascii="Tahoma" w:hAnsi="Tahoma"/>
      <w:b/>
      <w:color w:val="1789C3"/>
      <w:u w:val="none"/>
      <w:effect w:val="none"/>
    </w:rPr>
  </w:style>
  <w:style w:type="paragraph" w:customStyle="1" w:styleId="CharCharCharChar1CharCharCharCharCharCharCharCharCharCharCharCharCharCharCharChar1CharCharCharCharCharCharCharCharCharCharCharCharCharCharCharCharCharCharCharChar">
    <w:name w:val="Char Char Char Char1 Char Char Char Char Char Char Char Char Char Char Char Char Char Char Char Char1 Char Char Char Char Char Char Char Char Char Char Char Char Char Char Char Char Char Char Char Char"/>
    <w:basedOn w:val="Normal"/>
    <w:uiPriority w:val="99"/>
    <w:rsid w:val="009E285A"/>
    <w:pPr>
      <w:spacing w:line="240" w:lineRule="exact"/>
    </w:pPr>
    <w:rPr>
      <w:rFonts w:ascii="Tahoma" w:eastAsia="Times New Roman" w:hAnsi="Tahoma" w:cs="Times New Roman"/>
      <w:sz w:val="20"/>
      <w:szCs w:val="20"/>
      <w:lang w:val="en-US"/>
    </w:rPr>
  </w:style>
  <w:style w:type="paragraph" w:customStyle="1" w:styleId="CharCharCharChar1CharCharCharCharCharCharCharCharCharCharCharCharCharCharCharChar1CharCharCharCharCharCharCharCharCharCharCharCharCharCharCharCharCharCharCharChar1">
    <w:name w:val="Char Char Char Char1 Char Char Char Char Char Char Char Char Char Char Char Char Char Char Char Char1 Char Char Char Char Char Char Char Char Char Char Char Char Char Char Char Char Char Char Char Char1"/>
    <w:basedOn w:val="Normal"/>
    <w:uiPriority w:val="99"/>
    <w:rsid w:val="009E285A"/>
    <w:pPr>
      <w:spacing w:line="240" w:lineRule="exact"/>
    </w:pPr>
    <w:rPr>
      <w:rFonts w:ascii="Tahoma" w:eastAsia="Times New Roman" w:hAnsi="Tahoma" w:cs="Times New Roman"/>
      <w:sz w:val="20"/>
      <w:szCs w:val="20"/>
      <w:lang w:val="en-US"/>
    </w:rPr>
  </w:style>
  <w:style w:type="paragraph" w:customStyle="1" w:styleId="CharCharCharChar1CharCharCharCharCharChar1CharCharCharCharCharCharCharCharCharCharCharCharCharCharCharCharCharCharCharCharCharCharCharCharCharCharCharChar1">
    <w:name w:val="Char Char Char Char1 Char Char Char Char Char Char1 Char Char Char Char Char Char Char Char Char Char Char Char Char Char Char Char Char Char Char Char Char Char Char Char Char Char Char Char1"/>
    <w:basedOn w:val="Normal"/>
    <w:uiPriority w:val="99"/>
    <w:rsid w:val="009E285A"/>
    <w:pPr>
      <w:spacing w:line="240" w:lineRule="exact"/>
    </w:pPr>
    <w:rPr>
      <w:rFonts w:ascii="Tahoma" w:eastAsia="Times New Roman" w:hAnsi="Tahoma" w:cs="Times New Roman"/>
      <w:sz w:val="20"/>
      <w:szCs w:val="20"/>
      <w:lang w:val="en-US"/>
    </w:rPr>
  </w:style>
  <w:style w:type="paragraph" w:customStyle="1" w:styleId="CharCharCharChar1CharCharCharCharCharChar1CharCharCharCharCharCharCharCharCharCharCharCharCharCharCharCharCharCharCharCharCharCharCharCharCharChar">
    <w:name w:val="Char Char Char Char1 Char Char Char Char Char Char1 Char Char Char Char Char Char Char Char Char Char Char Char Char Char Char Char Char Char Char Char Char Char Char Char Char Char"/>
    <w:basedOn w:val="Normal"/>
    <w:uiPriority w:val="99"/>
    <w:rsid w:val="009E285A"/>
    <w:pPr>
      <w:spacing w:line="240" w:lineRule="exact"/>
    </w:pPr>
    <w:rPr>
      <w:rFonts w:ascii="Tahoma" w:eastAsia="Times New Roman" w:hAnsi="Tahoma" w:cs="Times New Roman"/>
      <w:sz w:val="20"/>
      <w:szCs w:val="20"/>
      <w:lang w:val="en-US"/>
    </w:rPr>
  </w:style>
  <w:style w:type="paragraph" w:customStyle="1" w:styleId="CharCharCharChar1CharCharCharCharCharChar1CharCharCharCharCharChar">
    <w:name w:val="Char Char Char Char1 Char Char Char Char Char Char1 Char Char Char Char Char Char"/>
    <w:basedOn w:val="Normal"/>
    <w:uiPriority w:val="99"/>
    <w:rsid w:val="009E285A"/>
    <w:pPr>
      <w:spacing w:line="240" w:lineRule="exact"/>
    </w:pPr>
    <w:rPr>
      <w:rFonts w:ascii="Tahoma" w:eastAsia="Times New Roman" w:hAnsi="Tahoma" w:cs="Times New Roman"/>
      <w:sz w:val="20"/>
      <w:szCs w:val="20"/>
      <w:lang w:val="en-US"/>
    </w:rPr>
  </w:style>
  <w:style w:type="paragraph" w:customStyle="1" w:styleId="CharCharCharChar1CharCharCharCharCharChar1CharCharCharCharCharCharCharCharCharCharCharCharCharCharCharCharCharCharCharCharCharCharCharCharCharCharCharChar">
    <w:name w:val="Char Char Char Char1 Char Char Char Char Char Char1 Char Char Char Char Char Char Char Char Char Char Char Char Char Char Char Char Char Char Char Char Char Char Char Char Char Char Char Char"/>
    <w:basedOn w:val="Normal"/>
    <w:uiPriority w:val="99"/>
    <w:rsid w:val="009E285A"/>
    <w:pPr>
      <w:spacing w:line="240" w:lineRule="exact"/>
    </w:pPr>
    <w:rPr>
      <w:rFonts w:ascii="Tahoma" w:eastAsia="Times New Roman" w:hAnsi="Tahoma" w:cs="Times New Roman"/>
      <w:sz w:val="20"/>
      <w:szCs w:val="20"/>
      <w:lang w:val="en-US"/>
    </w:rPr>
  </w:style>
  <w:style w:type="paragraph" w:customStyle="1" w:styleId="CharCharCharChar1CharCharCharCharCharChar1CharCharCharCharChar">
    <w:name w:val="Char Char Char Char1 Char Char Char Char Char Char1 Char Char Char Char Char"/>
    <w:basedOn w:val="Normal"/>
    <w:uiPriority w:val="99"/>
    <w:rsid w:val="009E285A"/>
    <w:pPr>
      <w:spacing w:line="240" w:lineRule="exact"/>
    </w:pPr>
    <w:rPr>
      <w:rFonts w:ascii="Tahoma" w:eastAsia="Times New Roman" w:hAnsi="Tahoma" w:cs="Times New Roman"/>
      <w:sz w:val="20"/>
      <w:szCs w:val="20"/>
      <w:lang w:val="en-US"/>
    </w:rPr>
  </w:style>
  <w:style w:type="character" w:styleId="HTMLTypewriter">
    <w:name w:val="HTML Typewriter"/>
    <w:rsid w:val="009E285A"/>
    <w:rPr>
      <w:rFonts w:ascii="Courier New" w:hAnsi="Courier New"/>
      <w:sz w:val="20"/>
    </w:rPr>
  </w:style>
  <w:style w:type="paragraph" w:customStyle="1" w:styleId="CharCharCharChar1CharCharCharCharCharChar1CharCharCharCharCharChar1CharCharCharCharCharCharCharCharCharCharCharCharCharCharCharCharCharCharCharChar">
    <w:name w:val="Char Char Char Char1 Char Char Char Char Char Char1 Char Char Char Char Char Char1 Char Char Char Char Char Char Char Char Char Char Char Char Char Char Char Char Char Char Char Char"/>
    <w:basedOn w:val="Normal"/>
    <w:uiPriority w:val="99"/>
    <w:rsid w:val="009E285A"/>
    <w:pPr>
      <w:spacing w:line="240" w:lineRule="exact"/>
    </w:pPr>
    <w:rPr>
      <w:rFonts w:ascii="Tahoma" w:eastAsia="Times New Roman" w:hAnsi="Tahoma" w:cs="Times New Roman"/>
      <w:sz w:val="20"/>
      <w:szCs w:val="20"/>
      <w:lang w:val="en-US"/>
    </w:rPr>
  </w:style>
  <w:style w:type="paragraph" w:customStyle="1" w:styleId="CharCharCharChar1CharCharCharCharCharChar1CharCharCharChar">
    <w:name w:val="Char Char Char Char1 Char Char Char Char Char Char1 Char Char Char Char"/>
    <w:basedOn w:val="Normal"/>
    <w:uiPriority w:val="99"/>
    <w:rsid w:val="009E285A"/>
    <w:pPr>
      <w:spacing w:line="240" w:lineRule="exact"/>
    </w:pPr>
    <w:rPr>
      <w:rFonts w:ascii="Tahoma" w:eastAsia="Times New Roman" w:hAnsi="Tahoma" w:cs="Times New Roman"/>
      <w:sz w:val="20"/>
      <w:szCs w:val="20"/>
      <w:lang w:val="en-US"/>
    </w:rPr>
  </w:style>
  <w:style w:type="paragraph" w:customStyle="1" w:styleId="a">
    <w:name w:val="κειμενο οτε"/>
    <w:basedOn w:val="Normal"/>
    <w:link w:val="Char0"/>
    <w:rsid w:val="009E285A"/>
    <w:pPr>
      <w:tabs>
        <w:tab w:val="left" w:pos="0"/>
      </w:tabs>
      <w:spacing w:after="0" w:line="240" w:lineRule="auto"/>
      <w:jc w:val="both"/>
    </w:pPr>
    <w:rPr>
      <w:rFonts w:ascii="Franklin Gothic Book" w:eastAsia="Times New Roman" w:hAnsi="Franklin Gothic Book" w:cs="Times New Roman"/>
      <w:sz w:val="24"/>
      <w:szCs w:val="20"/>
      <w:lang w:eastAsia="el-GR"/>
    </w:rPr>
  </w:style>
  <w:style w:type="character" w:customStyle="1" w:styleId="Char0">
    <w:name w:val="κειμενο οτε Char"/>
    <w:link w:val="a"/>
    <w:locked/>
    <w:rsid w:val="009E285A"/>
    <w:rPr>
      <w:rFonts w:ascii="Franklin Gothic Book" w:eastAsia="Times New Roman" w:hAnsi="Franklin Gothic Book" w:cs="Times New Roman"/>
      <w:kern w:val="0"/>
      <w:sz w:val="24"/>
      <w:szCs w:val="20"/>
      <w:lang w:eastAsia="el-GR"/>
      <w14:ligatures w14:val="none"/>
    </w:rPr>
  </w:style>
  <w:style w:type="paragraph" w:customStyle="1" w:styleId="CharCharCharChar1CharCharCharCharCharChar1CharCharCharCharCharChar1CharCharCharChar">
    <w:name w:val="Char Char Char Char1 Char Char Char Char Char Char1 Char Char Char Char Char Char1 Char Char Char Char"/>
    <w:basedOn w:val="Normal"/>
    <w:uiPriority w:val="99"/>
    <w:rsid w:val="009E285A"/>
    <w:pPr>
      <w:spacing w:line="240" w:lineRule="exact"/>
    </w:pPr>
    <w:rPr>
      <w:rFonts w:ascii="Tahoma" w:eastAsia="Times New Roman" w:hAnsi="Tahoma" w:cs="Times New Roman"/>
      <w:sz w:val="20"/>
      <w:szCs w:val="20"/>
      <w:lang w:val="en-US"/>
    </w:rPr>
  </w:style>
  <w:style w:type="paragraph" w:customStyle="1" w:styleId="CharCharCharChar1CharCharCharCharCharChar1CharCharCharCharCharChar1CharCharCharCharCharCharChar">
    <w:name w:val="Char Char Char Char1 Char Char Char Char Char Char1 Char Char Char Char Char Char1 Char Char Char Char Char Char Char"/>
    <w:basedOn w:val="Normal"/>
    <w:uiPriority w:val="99"/>
    <w:rsid w:val="009E285A"/>
    <w:pPr>
      <w:spacing w:line="240" w:lineRule="exact"/>
    </w:pPr>
    <w:rPr>
      <w:rFonts w:ascii="Tahoma" w:eastAsia="Times New Roman" w:hAnsi="Tahoma" w:cs="Times New Roman"/>
      <w:sz w:val="20"/>
      <w:szCs w:val="20"/>
      <w:lang w:val="en-US"/>
    </w:rPr>
  </w:style>
  <w:style w:type="paragraph" w:customStyle="1" w:styleId="CharCharCharChar1CharCharCharCharCharChar1CharCharCharCharCharChar1CharCharCharCharCharCharCharCharCharCharCharCharCharCharCharCharCharCharCharChar1CharCharCharCharCharCharChar">
    <w:name w:val="Char Char Char Char1 Char Char Char Char Char Char1 Char Char Char Char Char Char1 Char Char Char Char Char Char Char Char Char Char Char Char Char Char Char Char Char Char Char Char1 Char Char Char Char Char Char Char"/>
    <w:basedOn w:val="Normal"/>
    <w:uiPriority w:val="99"/>
    <w:rsid w:val="009E285A"/>
    <w:pPr>
      <w:spacing w:line="240" w:lineRule="exact"/>
    </w:pPr>
    <w:rPr>
      <w:rFonts w:ascii="Tahoma" w:eastAsia="Times New Roman" w:hAnsi="Tahoma" w:cs="Times New Roman"/>
      <w:sz w:val="20"/>
      <w:szCs w:val="20"/>
      <w:lang w:val="en-US"/>
    </w:rPr>
  </w:style>
  <w:style w:type="paragraph" w:customStyle="1" w:styleId="CharCharCharChar1CharCharCharCharCharChar1CharCharCharCharCharChar1CharCharCharCharCharCharCharCharCharCharCharCharCharCharCharCharCharCharCharChar1CharCharCharCharCharCharChar1">
    <w:name w:val="Char Char Char Char1 Char Char Char Char Char Char1 Char Char Char Char Char Char1 Char Char Char Char Char Char Char Char Char Char Char Char Char Char Char Char Char Char Char Char1 Char Char Char Char Char Char Char1"/>
    <w:basedOn w:val="Normal"/>
    <w:uiPriority w:val="99"/>
    <w:rsid w:val="009E285A"/>
    <w:pPr>
      <w:spacing w:line="240" w:lineRule="exact"/>
    </w:pPr>
    <w:rPr>
      <w:rFonts w:ascii="Tahoma" w:eastAsia="Times New Roman" w:hAnsi="Tahoma" w:cs="Times New Roman"/>
      <w:sz w:val="20"/>
      <w:szCs w:val="20"/>
      <w:lang w:val="en-US"/>
    </w:rPr>
  </w:style>
  <w:style w:type="paragraph" w:customStyle="1" w:styleId="CharChar1CharCharCharCharCharCharCharCharCharCharCharChar">
    <w:name w:val="Char Char1 Char Char Char Char Char Char Char Char Char Char Char Char"/>
    <w:basedOn w:val="Normal"/>
    <w:uiPriority w:val="99"/>
    <w:rsid w:val="009E285A"/>
    <w:pPr>
      <w:spacing w:line="240" w:lineRule="exact"/>
    </w:pPr>
    <w:rPr>
      <w:rFonts w:ascii="Tahoma" w:eastAsia="Times New Roman" w:hAnsi="Tahoma" w:cs="Times New Roman"/>
      <w:sz w:val="20"/>
      <w:szCs w:val="20"/>
      <w:lang w:val="en-US"/>
    </w:rPr>
  </w:style>
  <w:style w:type="character" w:styleId="Strong">
    <w:name w:val="Strong"/>
    <w:uiPriority w:val="22"/>
    <w:qFormat/>
    <w:rsid w:val="009E285A"/>
    <w:rPr>
      <w:b/>
    </w:rPr>
  </w:style>
  <w:style w:type="paragraph" w:customStyle="1" w:styleId="Tahoma">
    <w:name w:val="Βασικό + Tahoma"/>
    <w:aliases w:val="11 pt,Κόκκινο"/>
    <w:basedOn w:val="Normal"/>
    <w:uiPriority w:val="99"/>
    <w:rsid w:val="009E285A"/>
    <w:pPr>
      <w:spacing w:after="0" w:line="240" w:lineRule="auto"/>
    </w:pPr>
    <w:rPr>
      <w:rFonts w:ascii="Tahoma" w:eastAsia="Times New Roman" w:hAnsi="Tahoma" w:cs="Tahoma"/>
      <w:color w:val="FF0000"/>
      <w:lang w:val="en-US"/>
    </w:rPr>
  </w:style>
  <w:style w:type="paragraph" w:customStyle="1" w:styleId="CharChar3CharCharCharCharCharCharCharCharCharCharCharCharCharCharCharCharCharCharCharCharCharCharCharCharCharCharCharChar">
    <w:name w:val="Char Char3 Char Char Char Char Char Char Char Char Char Char Char Char Char Char Char Char Char Char Char Char Char Char Char Char Char Char Char Char"/>
    <w:basedOn w:val="Normal"/>
    <w:uiPriority w:val="99"/>
    <w:rsid w:val="009E285A"/>
    <w:pPr>
      <w:spacing w:line="240" w:lineRule="exact"/>
    </w:pPr>
    <w:rPr>
      <w:rFonts w:ascii="Tahoma" w:eastAsia="Times New Roman" w:hAnsi="Tahoma" w:cs="Times New Roman"/>
      <w:sz w:val="20"/>
      <w:szCs w:val="20"/>
      <w:lang w:val="en-US"/>
    </w:rPr>
  </w:style>
  <w:style w:type="character" w:customStyle="1" w:styleId="CharChar2">
    <w:name w:val="Char Char2"/>
    <w:rsid w:val="009E285A"/>
    <w:rPr>
      <w:rFonts w:ascii="Tahoma" w:hAnsi="Tahoma"/>
      <w:lang w:val="en-US" w:eastAsia="en-US"/>
    </w:rPr>
  </w:style>
  <w:style w:type="paragraph" w:customStyle="1" w:styleId="CharChar1CharCharCharCharCharCharCharCharCharCharCharCharCharCharCharCharCharChar">
    <w:name w:val="Char Char1 Char Char Char Char Char Char Char Char Char Char Char Char Char Char Char Char Char Char"/>
    <w:basedOn w:val="Normal"/>
    <w:uiPriority w:val="99"/>
    <w:rsid w:val="009E285A"/>
    <w:pPr>
      <w:spacing w:line="240" w:lineRule="exact"/>
    </w:pPr>
    <w:rPr>
      <w:rFonts w:ascii="Tahoma" w:eastAsia="Times New Roman" w:hAnsi="Tahoma" w:cs="Times New Roman"/>
      <w:sz w:val="20"/>
      <w:szCs w:val="20"/>
      <w:lang w:val="en-US"/>
    </w:rPr>
  </w:style>
  <w:style w:type="paragraph" w:customStyle="1" w:styleId="CharChar2CharCharCharChar">
    <w:name w:val="Char Char2 Char Char Char Char"/>
    <w:basedOn w:val="Normal"/>
    <w:uiPriority w:val="99"/>
    <w:rsid w:val="009E285A"/>
    <w:pPr>
      <w:spacing w:line="240" w:lineRule="exact"/>
    </w:pPr>
    <w:rPr>
      <w:rFonts w:ascii="Tahoma" w:eastAsia="Times New Roman" w:hAnsi="Tahoma" w:cs="Times New Roman"/>
      <w:sz w:val="20"/>
      <w:szCs w:val="20"/>
      <w:lang w:val="en-US"/>
    </w:rPr>
  </w:style>
  <w:style w:type="character" w:customStyle="1" w:styleId="CharChar6">
    <w:name w:val="Char Char6"/>
    <w:rsid w:val="009E285A"/>
    <w:rPr>
      <w:rFonts w:ascii="Tahoma" w:hAnsi="Tahoma"/>
      <w:lang w:val="en-US" w:eastAsia="en-US"/>
    </w:rPr>
  </w:style>
  <w:style w:type="paragraph" w:customStyle="1" w:styleId="CharCharCharCharCharChar">
    <w:name w:val="Char Char Char Char Char Char"/>
    <w:basedOn w:val="Normal"/>
    <w:uiPriority w:val="99"/>
    <w:rsid w:val="009E285A"/>
    <w:pPr>
      <w:spacing w:line="240" w:lineRule="exact"/>
    </w:pPr>
    <w:rPr>
      <w:rFonts w:ascii="Tahoma" w:eastAsia="Times New Roman" w:hAnsi="Tahoma" w:cs="Times New Roman"/>
      <w:sz w:val="20"/>
      <w:szCs w:val="20"/>
      <w:lang w:val="en-US"/>
    </w:rPr>
  </w:style>
  <w:style w:type="paragraph" w:customStyle="1" w:styleId="CharCharCharCharCharChar1CharCharCharCharCharCharCharChar">
    <w:name w:val="Char Char Char Char Char Char1 Char Char Char Char Char Char Char Char"/>
    <w:basedOn w:val="Normal"/>
    <w:uiPriority w:val="99"/>
    <w:rsid w:val="009E285A"/>
    <w:pPr>
      <w:spacing w:line="240" w:lineRule="exact"/>
    </w:pPr>
    <w:rPr>
      <w:rFonts w:ascii="Tahoma" w:eastAsia="Times New Roman" w:hAnsi="Tahoma" w:cs="Times New Roman"/>
      <w:sz w:val="20"/>
      <w:szCs w:val="20"/>
      <w:lang w:val="en-US"/>
    </w:rPr>
  </w:style>
  <w:style w:type="character" w:customStyle="1" w:styleId="textbook">
    <w:name w:val="text book"/>
    <w:rsid w:val="009E285A"/>
    <w:rPr>
      <w:rFonts w:ascii="TheFutura-Book" w:eastAsia="TheFutura-Book"/>
      <w:color w:val="000000"/>
      <w:sz w:val="18"/>
      <w:vertAlign w:val="baseline"/>
    </w:rPr>
  </w:style>
  <w:style w:type="paragraph" w:customStyle="1" w:styleId="CharCharCharCharCharCharCharCharCharCharCharChar">
    <w:name w:val="Char Char Char Char Char Char Char Char Char Char Char Char"/>
    <w:basedOn w:val="Normal"/>
    <w:uiPriority w:val="99"/>
    <w:rsid w:val="009E285A"/>
    <w:pPr>
      <w:spacing w:line="240" w:lineRule="exact"/>
    </w:pPr>
    <w:rPr>
      <w:rFonts w:ascii="Tahoma" w:eastAsia="Times New Roman" w:hAnsi="Tahoma" w:cs="Times New Roman"/>
      <w:sz w:val="20"/>
      <w:szCs w:val="20"/>
      <w:lang w:val="en-US"/>
    </w:rPr>
  </w:style>
  <w:style w:type="paragraph" w:customStyle="1" w:styleId="a0">
    <w:name w:val="ΚΕΙΜΕΝΟ ΟΤΕ"/>
    <w:basedOn w:val="Normal"/>
    <w:link w:val="Char1"/>
    <w:autoRedefine/>
    <w:rsid w:val="009E285A"/>
    <w:pPr>
      <w:tabs>
        <w:tab w:val="left" w:pos="0"/>
      </w:tabs>
      <w:spacing w:after="0" w:line="240" w:lineRule="auto"/>
      <w:jc w:val="both"/>
    </w:pPr>
    <w:rPr>
      <w:rFonts w:ascii="Tahoma" w:eastAsia="Times New Roman" w:hAnsi="Tahoma" w:cs="Tahoma"/>
      <w:lang w:val="en-US" w:eastAsia="el-GR"/>
    </w:rPr>
  </w:style>
  <w:style w:type="character" w:customStyle="1" w:styleId="Char1">
    <w:name w:val="ΚΕΙΜΕΝΟ ΟΤΕ Char"/>
    <w:link w:val="a0"/>
    <w:locked/>
    <w:rsid w:val="009E285A"/>
    <w:rPr>
      <w:rFonts w:ascii="Tahoma" w:eastAsia="Times New Roman" w:hAnsi="Tahoma" w:cs="Tahoma"/>
      <w:kern w:val="0"/>
      <w:lang w:val="en-US" w:eastAsia="el-GR"/>
      <w14:ligatures w14:val="none"/>
    </w:rPr>
  </w:style>
  <w:style w:type="paragraph" w:customStyle="1" w:styleId="CharChar1CharCharCharCharCharCharCharCharCharCharCharChar1CharCharCharChar">
    <w:name w:val="Char Char1 Char Char Char Char Char Char Char Char Char Char Char Char1 Char Char Char Char"/>
    <w:basedOn w:val="Normal"/>
    <w:uiPriority w:val="99"/>
    <w:rsid w:val="009E285A"/>
    <w:pPr>
      <w:spacing w:line="240" w:lineRule="exact"/>
    </w:pPr>
    <w:rPr>
      <w:rFonts w:ascii="Tahoma" w:eastAsia="Times New Roman" w:hAnsi="Tahoma" w:cs="Times New Roman"/>
      <w:sz w:val="20"/>
      <w:szCs w:val="20"/>
      <w:lang w:val="en-US"/>
    </w:rPr>
  </w:style>
  <w:style w:type="paragraph" w:customStyle="1" w:styleId="ColorfulList-Accent11">
    <w:name w:val="Colorful List - Accent 11"/>
    <w:basedOn w:val="Normal"/>
    <w:uiPriority w:val="99"/>
    <w:qFormat/>
    <w:rsid w:val="009E285A"/>
    <w:pPr>
      <w:spacing w:after="0" w:line="240" w:lineRule="auto"/>
      <w:ind w:left="720"/>
      <w:contextualSpacing/>
    </w:pPr>
    <w:rPr>
      <w:rFonts w:ascii="Times New Roman" w:eastAsia="Times New Roman" w:hAnsi="Times New Roman" w:cs="Times New Roman"/>
      <w:sz w:val="20"/>
      <w:szCs w:val="20"/>
      <w:lang w:val="en-US"/>
    </w:rPr>
  </w:style>
  <w:style w:type="character" w:styleId="CommentReference">
    <w:name w:val="annotation reference"/>
    <w:uiPriority w:val="99"/>
    <w:rsid w:val="009E285A"/>
    <w:rPr>
      <w:sz w:val="16"/>
      <w:szCs w:val="16"/>
    </w:rPr>
  </w:style>
  <w:style w:type="paragraph" w:styleId="CommentText">
    <w:name w:val="annotation text"/>
    <w:basedOn w:val="Normal"/>
    <w:link w:val="CommentTextChar"/>
    <w:uiPriority w:val="99"/>
    <w:rsid w:val="009E285A"/>
    <w:pPr>
      <w:spacing w:after="0" w:line="240" w:lineRule="auto"/>
    </w:pPr>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uiPriority w:val="99"/>
    <w:rsid w:val="009E285A"/>
    <w:rPr>
      <w:rFonts w:ascii="Times New Roman" w:eastAsia="Times New Roman" w:hAnsi="Times New Roman" w:cs="Times New Roman"/>
      <w:kern w:val="0"/>
      <w:sz w:val="20"/>
      <w:szCs w:val="20"/>
      <w:lang w:val="en-US"/>
      <w14:ligatures w14:val="none"/>
    </w:rPr>
  </w:style>
  <w:style w:type="paragraph" w:styleId="CommentSubject">
    <w:name w:val="annotation subject"/>
    <w:basedOn w:val="CommentText"/>
    <w:next w:val="CommentText"/>
    <w:link w:val="CommentSubjectChar"/>
    <w:uiPriority w:val="99"/>
    <w:rsid w:val="009E285A"/>
    <w:rPr>
      <w:b/>
      <w:bCs/>
    </w:rPr>
  </w:style>
  <w:style w:type="character" w:customStyle="1" w:styleId="CommentSubjectChar">
    <w:name w:val="Comment Subject Char"/>
    <w:basedOn w:val="CommentTextChar"/>
    <w:link w:val="CommentSubject"/>
    <w:uiPriority w:val="99"/>
    <w:rsid w:val="009E285A"/>
    <w:rPr>
      <w:rFonts w:ascii="Times New Roman" w:eastAsia="Times New Roman" w:hAnsi="Times New Roman" w:cs="Times New Roman"/>
      <w:b/>
      <w:bCs/>
      <w:kern w:val="0"/>
      <w:sz w:val="20"/>
      <w:szCs w:val="20"/>
      <w:lang w:val="en-US"/>
      <w14:ligatures w14:val="none"/>
    </w:rPr>
  </w:style>
  <w:style w:type="paragraph" w:styleId="ListParagraph">
    <w:name w:val="List Paragraph"/>
    <w:aliases w:val="List Paragraph1,Resume Title,Citation List,heading 4,Bullet List,FooterText,numbered,Paragraphe de liste1,Bulletr List Paragraph,列出段落,列出段落1,List Paragraph2,List Paragraph21,Párrafo de lista1,Parágrafo da Lista1,リスト段落1,Listeafsnit1,Foot,lp"/>
    <w:basedOn w:val="Normal"/>
    <w:link w:val="ListParagraphChar"/>
    <w:uiPriority w:val="34"/>
    <w:qFormat/>
    <w:rsid w:val="009E285A"/>
    <w:pPr>
      <w:spacing w:after="0" w:line="240" w:lineRule="auto"/>
      <w:ind w:left="720"/>
      <w:contextualSpacing/>
    </w:pPr>
    <w:rPr>
      <w:rFonts w:ascii="Times New Roman" w:eastAsia="Times New Roman" w:hAnsi="Times New Roman" w:cs="Times New Roman"/>
      <w:sz w:val="20"/>
      <w:szCs w:val="20"/>
      <w:lang w:val="en-US"/>
    </w:rPr>
  </w:style>
  <w:style w:type="paragraph" w:styleId="Title">
    <w:name w:val="Title"/>
    <w:basedOn w:val="Normal"/>
    <w:next w:val="Normal"/>
    <w:link w:val="TitleChar"/>
    <w:uiPriority w:val="99"/>
    <w:qFormat/>
    <w:rsid w:val="009E285A"/>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lang w:val="en-US"/>
    </w:rPr>
  </w:style>
  <w:style w:type="character" w:customStyle="1" w:styleId="TitleChar">
    <w:name w:val="Title Char"/>
    <w:basedOn w:val="DefaultParagraphFont"/>
    <w:link w:val="Title"/>
    <w:uiPriority w:val="99"/>
    <w:rsid w:val="009E285A"/>
    <w:rPr>
      <w:rFonts w:ascii="Cambria" w:eastAsia="Times New Roman" w:hAnsi="Cambria" w:cs="Times New Roman"/>
      <w:color w:val="17365D"/>
      <w:spacing w:val="5"/>
      <w:kern w:val="28"/>
      <w:sz w:val="52"/>
      <w:szCs w:val="52"/>
      <w:lang w:val="en-US"/>
      <w14:ligatures w14:val="none"/>
    </w:rPr>
  </w:style>
  <w:style w:type="paragraph" w:styleId="IntenseQuote">
    <w:name w:val="Intense Quote"/>
    <w:basedOn w:val="Normal"/>
    <w:next w:val="Normal"/>
    <w:link w:val="IntenseQuoteChar"/>
    <w:uiPriority w:val="60"/>
    <w:qFormat/>
    <w:rsid w:val="009E285A"/>
    <w:pPr>
      <w:pBdr>
        <w:bottom w:val="single" w:sz="4" w:space="4" w:color="4F81BD"/>
      </w:pBdr>
      <w:spacing w:before="200" w:after="280" w:line="240" w:lineRule="auto"/>
      <w:ind w:left="936" w:right="936"/>
    </w:pPr>
    <w:rPr>
      <w:rFonts w:ascii="Times New Roman" w:eastAsia="Times New Roman" w:hAnsi="Times New Roman" w:cs="Times New Roman"/>
      <w:b/>
      <w:bCs/>
      <w:i/>
      <w:iCs/>
      <w:color w:val="4F81BD"/>
      <w:sz w:val="20"/>
      <w:szCs w:val="20"/>
      <w:lang w:val="en-US"/>
    </w:rPr>
  </w:style>
  <w:style w:type="character" w:customStyle="1" w:styleId="IntenseQuoteChar">
    <w:name w:val="Intense Quote Char"/>
    <w:basedOn w:val="DefaultParagraphFont"/>
    <w:link w:val="IntenseQuote"/>
    <w:uiPriority w:val="60"/>
    <w:rsid w:val="009E285A"/>
    <w:rPr>
      <w:rFonts w:ascii="Times New Roman" w:eastAsia="Times New Roman" w:hAnsi="Times New Roman" w:cs="Times New Roman"/>
      <w:b/>
      <w:bCs/>
      <w:i/>
      <w:iCs/>
      <w:color w:val="4F81BD"/>
      <w:kern w:val="0"/>
      <w:sz w:val="20"/>
      <w:szCs w:val="20"/>
      <w:lang w:val="en-US"/>
      <w14:ligatures w14:val="none"/>
    </w:rPr>
  </w:style>
  <w:style w:type="paragraph" w:styleId="Revision">
    <w:name w:val="Revision"/>
    <w:hidden/>
    <w:uiPriority w:val="71"/>
    <w:semiHidden/>
    <w:rsid w:val="009E285A"/>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prcontactc">
    <w:name w:val="prcontactc"/>
    <w:basedOn w:val="Normal"/>
    <w:uiPriority w:val="99"/>
    <w:rsid w:val="009E285A"/>
    <w:pPr>
      <w:spacing w:after="0" w:line="240" w:lineRule="auto"/>
    </w:pPr>
    <w:rPr>
      <w:rFonts w:ascii="Times New Roman" w:hAnsi="Times New Roman" w:cs="Times New Roman"/>
      <w:sz w:val="24"/>
      <w:szCs w:val="24"/>
      <w:lang w:val="en-US"/>
    </w:rPr>
  </w:style>
  <w:style w:type="character" w:styleId="PlaceholderText">
    <w:name w:val="Placeholder Text"/>
    <w:basedOn w:val="DefaultParagraphFont"/>
    <w:uiPriority w:val="99"/>
    <w:semiHidden/>
    <w:rsid w:val="009E285A"/>
    <w:rPr>
      <w:color w:val="808080"/>
    </w:rPr>
  </w:style>
  <w:style w:type="paragraph" w:customStyle="1" w:styleId="1">
    <w:name w:val="ΕΠΙΚΕΦΑΛΙΔΕΣ 1"/>
    <w:basedOn w:val="Normal"/>
    <w:autoRedefine/>
    <w:uiPriority w:val="99"/>
    <w:rsid w:val="009E285A"/>
    <w:pPr>
      <w:spacing w:after="0" w:line="240" w:lineRule="auto"/>
      <w:ind w:left="-1202" w:firstLine="1202"/>
    </w:pPr>
    <w:rPr>
      <w:rFonts w:ascii="Franklin Gothic Book" w:eastAsia="Times New Roman" w:hAnsi="Franklin Gothic Book" w:cs="Times New Roman"/>
      <w:b/>
      <w:bCs/>
      <w:color w:val="0051A2"/>
      <w:spacing w:val="30"/>
      <w:lang w:val="en-GB" w:eastAsia="el-GR"/>
    </w:rPr>
  </w:style>
  <w:style w:type="character" w:customStyle="1" w:styleId="textbook0">
    <w:name w:val="textbook"/>
    <w:basedOn w:val="DefaultParagraphFont"/>
    <w:rsid w:val="009E285A"/>
  </w:style>
  <w:style w:type="paragraph" w:styleId="EndnoteText">
    <w:name w:val="endnote text"/>
    <w:basedOn w:val="Normal"/>
    <w:link w:val="EndnoteTextChar"/>
    <w:uiPriority w:val="99"/>
    <w:semiHidden/>
    <w:unhideWhenUsed/>
    <w:rsid w:val="009E285A"/>
    <w:pPr>
      <w:spacing w:after="0" w:line="240" w:lineRule="auto"/>
    </w:pPr>
    <w:rPr>
      <w:rFonts w:ascii="Times New Roman" w:eastAsia="Times New Roman" w:hAnsi="Times New Roman" w:cs="Times New Roman"/>
      <w:sz w:val="20"/>
      <w:szCs w:val="20"/>
      <w:lang w:val="en-US"/>
    </w:rPr>
  </w:style>
  <w:style w:type="character" w:customStyle="1" w:styleId="EndnoteTextChar">
    <w:name w:val="Endnote Text Char"/>
    <w:basedOn w:val="DefaultParagraphFont"/>
    <w:link w:val="EndnoteText"/>
    <w:uiPriority w:val="99"/>
    <w:semiHidden/>
    <w:rsid w:val="009E285A"/>
    <w:rPr>
      <w:rFonts w:ascii="Times New Roman" w:eastAsia="Times New Roman" w:hAnsi="Times New Roman" w:cs="Times New Roman"/>
      <w:kern w:val="0"/>
      <w:sz w:val="20"/>
      <w:szCs w:val="20"/>
      <w:lang w:val="en-US"/>
      <w14:ligatures w14:val="none"/>
    </w:rPr>
  </w:style>
  <w:style w:type="character" w:styleId="EndnoteReference">
    <w:name w:val="endnote reference"/>
    <w:basedOn w:val="DefaultParagraphFont"/>
    <w:semiHidden/>
    <w:unhideWhenUsed/>
    <w:rsid w:val="009E285A"/>
    <w:rPr>
      <w:vertAlign w:val="superscript"/>
    </w:rPr>
  </w:style>
  <w:style w:type="table" w:styleId="TableList5">
    <w:name w:val="Table List 5"/>
    <w:basedOn w:val="TableNormal"/>
    <w:rsid w:val="009E285A"/>
    <w:pPr>
      <w:spacing w:after="0" w:line="240" w:lineRule="auto"/>
    </w:pPr>
    <w:rPr>
      <w:rFonts w:ascii="Times New Roman" w:eastAsia="Times New Roman" w:hAnsi="Times New Roman" w:cs="Times New Roman"/>
      <w:kern w:val="0"/>
      <w:sz w:val="20"/>
      <w:szCs w:val="20"/>
      <w:lang w:val="en-US"/>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character" w:customStyle="1" w:styleId="UnresolvedMention1">
    <w:name w:val="Unresolved Mention1"/>
    <w:basedOn w:val="DefaultParagraphFont"/>
    <w:uiPriority w:val="99"/>
    <w:semiHidden/>
    <w:unhideWhenUsed/>
    <w:rsid w:val="009E285A"/>
    <w:rPr>
      <w:color w:val="605E5C"/>
      <w:shd w:val="clear" w:color="auto" w:fill="E1DFDD"/>
    </w:rPr>
  </w:style>
  <w:style w:type="character" w:customStyle="1" w:styleId="ListParagraphChar">
    <w:name w:val="List Paragraph Char"/>
    <w:aliases w:val="List Paragraph1 Char,Resume Title Char,Citation List Char,heading 4 Char,Bullet List Char,FooterText Char,numbered Char,Paragraphe de liste1 Char,Bulletr List Paragraph Char,列出段落 Char,列出段落1 Char,List Paragraph2 Char,リスト段落1 Char"/>
    <w:link w:val="ListParagraph"/>
    <w:uiPriority w:val="34"/>
    <w:qFormat/>
    <w:locked/>
    <w:rsid w:val="009E285A"/>
    <w:rPr>
      <w:rFonts w:ascii="Times New Roman" w:eastAsia="Times New Roman" w:hAnsi="Times New Roman" w:cs="Times New Roman"/>
      <w:kern w:val="0"/>
      <w:sz w:val="20"/>
      <w:szCs w:val="20"/>
      <w:lang w:val="en-US"/>
      <w14:ligatures w14:val="none"/>
    </w:rPr>
  </w:style>
  <w:style w:type="character" w:styleId="Emphasis">
    <w:name w:val="Emphasis"/>
    <w:basedOn w:val="DefaultParagraphFont"/>
    <w:uiPriority w:val="20"/>
    <w:qFormat/>
    <w:rsid w:val="009E285A"/>
    <w:rPr>
      <w:i/>
      <w:iCs/>
    </w:rPr>
  </w:style>
  <w:style w:type="paragraph" w:customStyle="1" w:styleId="a1">
    <w:name w:val="κείμενο οτε κουκίδα"/>
    <w:basedOn w:val="Normal"/>
    <w:link w:val="Char2"/>
    <w:rsid w:val="009E285A"/>
    <w:pPr>
      <w:tabs>
        <w:tab w:val="num" w:pos="360"/>
      </w:tabs>
      <w:spacing w:after="0" w:line="240" w:lineRule="auto"/>
      <w:ind w:left="360" w:hanging="360"/>
      <w:jc w:val="both"/>
    </w:pPr>
    <w:rPr>
      <w:rFonts w:ascii="Franklin Gothic Book" w:eastAsia="Times New Roman" w:hAnsi="Franklin Gothic Book" w:cs="Times New Roman"/>
      <w:sz w:val="20"/>
      <w:szCs w:val="20"/>
      <w:lang w:eastAsia="el-GR"/>
    </w:rPr>
  </w:style>
  <w:style w:type="character" w:customStyle="1" w:styleId="Char2">
    <w:name w:val="κείμενο οτε κουκίδα Char"/>
    <w:link w:val="a1"/>
    <w:rsid w:val="009E285A"/>
    <w:rPr>
      <w:rFonts w:ascii="Franklin Gothic Book" w:eastAsia="Times New Roman" w:hAnsi="Franklin Gothic Book" w:cs="Times New Roman"/>
      <w:kern w:val="0"/>
      <w:sz w:val="20"/>
      <w:szCs w:val="20"/>
      <w:lang w:eastAsia="el-GR"/>
      <w14:ligatures w14:val="none"/>
    </w:rPr>
  </w:style>
  <w:style w:type="paragraph" w:styleId="HTMLPreformatted">
    <w:name w:val="HTML Preformatted"/>
    <w:basedOn w:val="Normal"/>
    <w:link w:val="HTMLPreformattedChar"/>
    <w:uiPriority w:val="99"/>
    <w:semiHidden/>
    <w:unhideWhenUsed/>
    <w:rsid w:val="009E28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l-GR"/>
    </w:rPr>
  </w:style>
  <w:style w:type="character" w:customStyle="1" w:styleId="HTMLPreformattedChar">
    <w:name w:val="HTML Preformatted Char"/>
    <w:basedOn w:val="DefaultParagraphFont"/>
    <w:link w:val="HTMLPreformatted"/>
    <w:uiPriority w:val="99"/>
    <w:semiHidden/>
    <w:rsid w:val="009E285A"/>
    <w:rPr>
      <w:rFonts w:ascii="Courier New" w:eastAsia="Times New Roman" w:hAnsi="Courier New" w:cs="Courier New"/>
      <w:kern w:val="0"/>
      <w:sz w:val="20"/>
      <w:szCs w:val="20"/>
      <w:lang w:eastAsia="el-GR"/>
      <w14:ligatures w14:val="none"/>
    </w:rPr>
  </w:style>
  <w:style w:type="paragraph" w:customStyle="1" w:styleId="Flietextneo">
    <w:name w:val="Fließtext (neo)"/>
    <w:rsid w:val="009E285A"/>
    <w:pPr>
      <w:spacing w:after="0" w:line="240" w:lineRule="auto"/>
      <w:jc w:val="both"/>
    </w:pPr>
    <w:rPr>
      <w:rFonts w:ascii="TeleNeo Office" w:eastAsia="Times New Roman" w:hAnsi="TeleNeo Office" w:cs="Arial"/>
      <w:kern w:val="0"/>
      <w:sz w:val="18"/>
      <w:szCs w:val="24"/>
      <w:lang w:val="de-DE"/>
      <w14:ligatures w14:val="none"/>
    </w:rPr>
  </w:style>
  <w:style w:type="character" w:customStyle="1" w:styleId="y2iqfc">
    <w:name w:val="y2iqfc"/>
    <w:basedOn w:val="DefaultParagraphFont"/>
    <w:rsid w:val="009E285A"/>
  </w:style>
  <w:style w:type="character" w:styleId="UnresolvedMention">
    <w:name w:val="Unresolved Mention"/>
    <w:basedOn w:val="DefaultParagraphFont"/>
    <w:uiPriority w:val="99"/>
    <w:semiHidden/>
    <w:unhideWhenUsed/>
    <w:rsid w:val="009E285A"/>
    <w:rPr>
      <w:color w:val="605E5C"/>
      <w:shd w:val="clear" w:color="auto" w:fill="E1DFDD"/>
    </w:rPr>
  </w:style>
  <w:style w:type="paragraph" w:customStyle="1" w:styleId="OTENormal">
    <w:name w:val="OTE Normal"/>
    <w:basedOn w:val="Normal"/>
    <w:autoRedefine/>
    <w:qFormat/>
    <w:rsid w:val="00AA195C"/>
    <w:pPr>
      <w:tabs>
        <w:tab w:val="left" w:pos="6946"/>
      </w:tabs>
      <w:suppressAutoHyphens/>
      <w:spacing w:after="0" w:line="240" w:lineRule="auto"/>
      <w:jc w:val="both"/>
    </w:pPr>
    <w:rPr>
      <w:rFonts w:ascii="Franklin Gothic Book" w:eastAsia="Times New Roman" w:hAnsi="Franklin Gothic Book" w:cs="Times New Roman"/>
      <w:spacing w:val="-2"/>
      <w:sz w:val="20"/>
      <w:szCs w:val="20"/>
    </w:rPr>
  </w:style>
  <w:style w:type="character" w:customStyle="1" w:styleId="cf01">
    <w:name w:val="cf01"/>
    <w:basedOn w:val="DefaultParagraphFont"/>
    <w:rsid w:val="007F3216"/>
    <w:rPr>
      <w:rFonts w:ascii="Segoe UI" w:hAnsi="Segoe UI" w:cs="Segoe UI" w:hint="default"/>
      <w:sz w:val="18"/>
      <w:szCs w:val="18"/>
    </w:rPr>
  </w:style>
  <w:style w:type="character" w:customStyle="1" w:styleId="rynqvb">
    <w:name w:val="rynqvb"/>
    <w:basedOn w:val="DefaultParagraphFont"/>
    <w:rsid w:val="00661310"/>
  </w:style>
  <w:style w:type="character" w:customStyle="1" w:styleId="sr-only">
    <w:name w:val="sr-only"/>
    <w:basedOn w:val="DefaultParagraphFont"/>
    <w:rsid w:val="000B412C"/>
  </w:style>
  <w:style w:type="paragraph" w:styleId="Caption">
    <w:name w:val="caption"/>
    <w:basedOn w:val="Normal"/>
    <w:next w:val="Normal"/>
    <w:uiPriority w:val="35"/>
    <w:unhideWhenUsed/>
    <w:qFormat/>
    <w:rsid w:val="0016208B"/>
    <w:pPr>
      <w:spacing w:after="200" w:line="240" w:lineRule="auto"/>
    </w:pPr>
    <w:rPr>
      <w:rFonts w:ascii="Arial" w:eastAsia="Times New Roman" w:hAnsi="Arial" w:cs="Times New Roman"/>
      <w:b/>
      <w:iCs/>
      <w:szCs w:val="18"/>
      <w:lang w:val="en-US"/>
    </w:rPr>
  </w:style>
  <w:style w:type="paragraph" w:customStyle="1" w:styleId="Tittle2">
    <w:name w:val="Tittle 2"/>
    <w:basedOn w:val="Title"/>
    <w:link w:val="Tittle2Char"/>
    <w:qFormat/>
    <w:rsid w:val="00557880"/>
    <w:pPr>
      <w:pBdr>
        <w:bottom w:val="single" w:sz="4" w:space="1" w:color="0070C0"/>
      </w:pBdr>
    </w:pPr>
    <w:rPr>
      <w:rFonts w:ascii="Arial" w:hAnsi="Arial"/>
      <w:b/>
      <w:color w:val="004E9A"/>
      <w:sz w:val="24"/>
    </w:rPr>
  </w:style>
  <w:style w:type="character" w:customStyle="1" w:styleId="Tittle2Char">
    <w:name w:val="Tittle 2 Char"/>
    <w:basedOn w:val="TitleChar"/>
    <w:link w:val="Tittle2"/>
    <w:rsid w:val="00557880"/>
    <w:rPr>
      <w:rFonts w:ascii="Arial" w:eastAsia="Times New Roman" w:hAnsi="Arial" w:cs="Times New Roman"/>
      <w:b/>
      <w:color w:val="004E9A"/>
      <w:spacing w:val="5"/>
      <w:kern w:val="28"/>
      <w:sz w:val="24"/>
      <w:szCs w:val="52"/>
      <w:lang w:val="en-US"/>
      <w14:ligatures w14:val="none"/>
    </w:rPr>
  </w:style>
  <w:style w:type="paragraph" w:customStyle="1" w:styleId="TITTLE3">
    <w:name w:val="TITTLE 3"/>
    <w:basedOn w:val="Title"/>
    <w:link w:val="TITTLE3Char"/>
    <w:qFormat/>
    <w:rsid w:val="00557880"/>
    <w:pPr>
      <w:pBdr>
        <w:bottom w:val="none" w:sz="0" w:space="0" w:color="auto"/>
      </w:pBdr>
      <w:jc w:val="center"/>
    </w:pPr>
    <w:rPr>
      <w:rFonts w:ascii="Arial" w:hAnsi="Arial"/>
      <w:b/>
      <w:color w:val="004E9A"/>
      <w:sz w:val="28"/>
      <w:szCs w:val="28"/>
    </w:rPr>
  </w:style>
  <w:style w:type="character" w:customStyle="1" w:styleId="TITTLE3Char">
    <w:name w:val="TITTLE 3 Char"/>
    <w:basedOn w:val="TitleChar"/>
    <w:link w:val="TITTLE3"/>
    <w:rsid w:val="00557880"/>
    <w:rPr>
      <w:rFonts w:ascii="Arial" w:eastAsia="Times New Roman" w:hAnsi="Arial" w:cs="Times New Roman"/>
      <w:b/>
      <w:color w:val="004E9A"/>
      <w:spacing w:val="5"/>
      <w:kern w:val="28"/>
      <w:sz w:val="28"/>
      <w:szCs w:val="28"/>
      <w:lang w:val="en-US"/>
      <w14:ligatures w14:val="none"/>
    </w:rPr>
  </w:style>
  <w:style w:type="paragraph" w:customStyle="1" w:styleId="Normal2">
    <w:name w:val="Normal 2"/>
    <w:basedOn w:val="Heading2"/>
    <w:link w:val="Normal2Char"/>
    <w:qFormat/>
    <w:rsid w:val="00097EA2"/>
    <w:pPr>
      <w:numPr>
        <w:numId w:val="9"/>
      </w:numPr>
      <w:pBdr>
        <w:bottom w:val="single" w:sz="2" w:space="1" w:color="004E9A"/>
      </w:pBdr>
    </w:pPr>
    <w:rPr>
      <w:rFonts w:ascii="Arial" w:hAnsi="Arial"/>
      <w:color w:val="004E9A"/>
    </w:rPr>
  </w:style>
  <w:style w:type="character" w:customStyle="1" w:styleId="Normal2Char">
    <w:name w:val="Normal 2 Char"/>
    <w:basedOn w:val="Heading2Char"/>
    <w:link w:val="Normal2"/>
    <w:rsid w:val="00097EA2"/>
    <w:rPr>
      <w:rFonts w:ascii="Arial" w:eastAsia="Times New Roman" w:hAnsi="Arial" w:cs="Times New Roman"/>
      <w:b/>
      <w:bCs/>
      <w:color w:val="004E9A"/>
      <w:kern w:val="0"/>
      <w:sz w:val="24"/>
      <w:szCs w:val="24"/>
      <w:lang w:val="en-US" w:eastAsia="el-G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34352">
      <w:bodyDiv w:val="1"/>
      <w:marLeft w:val="0"/>
      <w:marRight w:val="0"/>
      <w:marTop w:val="0"/>
      <w:marBottom w:val="0"/>
      <w:divBdr>
        <w:top w:val="none" w:sz="0" w:space="0" w:color="auto"/>
        <w:left w:val="none" w:sz="0" w:space="0" w:color="auto"/>
        <w:bottom w:val="none" w:sz="0" w:space="0" w:color="auto"/>
        <w:right w:val="none" w:sz="0" w:space="0" w:color="auto"/>
      </w:divBdr>
    </w:div>
    <w:div w:id="14425966">
      <w:bodyDiv w:val="1"/>
      <w:marLeft w:val="0"/>
      <w:marRight w:val="0"/>
      <w:marTop w:val="0"/>
      <w:marBottom w:val="0"/>
      <w:divBdr>
        <w:top w:val="none" w:sz="0" w:space="0" w:color="auto"/>
        <w:left w:val="none" w:sz="0" w:space="0" w:color="auto"/>
        <w:bottom w:val="none" w:sz="0" w:space="0" w:color="auto"/>
        <w:right w:val="none" w:sz="0" w:space="0" w:color="auto"/>
      </w:divBdr>
    </w:div>
    <w:div w:id="60179147">
      <w:bodyDiv w:val="1"/>
      <w:marLeft w:val="0"/>
      <w:marRight w:val="0"/>
      <w:marTop w:val="0"/>
      <w:marBottom w:val="0"/>
      <w:divBdr>
        <w:top w:val="none" w:sz="0" w:space="0" w:color="auto"/>
        <w:left w:val="none" w:sz="0" w:space="0" w:color="auto"/>
        <w:bottom w:val="none" w:sz="0" w:space="0" w:color="auto"/>
        <w:right w:val="none" w:sz="0" w:space="0" w:color="auto"/>
      </w:divBdr>
    </w:div>
    <w:div w:id="232203318">
      <w:bodyDiv w:val="1"/>
      <w:marLeft w:val="0"/>
      <w:marRight w:val="0"/>
      <w:marTop w:val="0"/>
      <w:marBottom w:val="0"/>
      <w:divBdr>
        <w:top w:val="none" w:sz="0" w:space="0" w:color="auto"/>
        <w:left w:val="none" w:sz="0" w:space="0" w:color="auto"/>
        <w:bottom w:val="none" w:sz="0" w:space="0" w:color="auto"/>
        <w:right w:val="none" w:sz="0" w:space="0" w:color="auto"/>
      </w:divBdr>
    </w:div>
    <w:div w:id="488254451">
      <w:bodyDiv w:val="1"/>
      <w:marLeft w:val="0"/>
      <w:marRight w:val="0"/>
      <w:marTop w:val="0"/>
      <w:marBottom w:val="0"/>
      <w:divBdr>
        <w:top w:val="none" w:sz="0" w:space="0" w:color="auto"/>
        <w:left w:val="none" w:sz="0" w:space="0" w:color="auto"/>
        <w:bottom w:val="none" w:sz="0" w:space="0" w:color="auto"/>
        <w:right w:val="none" w:sz="0" w:space="0" w:color="auto"/>
      </w:divBdr>
      <w:divsChild>
        <w:div w:id="665014809">
          <w:marLeft w:val="0"/>
          <w:marRight w:val="0"/>
          <w:marTop w:val="0"/>
          <w:marBottom w:val="0"/>
          <w:divBdr>
            <w:top w:val="none" w:sz="0" w:space="0" w:color="auto"/>
            <w:left w:val="none" w:sz="0" w:space="0" w:color="auto"/>
            <w:bottom w:val="none" w:sz="0" w:space="0" w:color="auto"/>
            <w:right w:val="none" w:sz="0" w:space="0" w:color="auto"/>
          </w:divBdr>
          <w:divsChild>
            <w:div w:id="1389180512">
              <w:marLeft w:val="0"/>
              <w:marRight w:val="0"/>
              <w:marTop w:val="0"/>
              <w:marBottom w:val="0"/>
              <w:divBdr>
                <w:top w:val="none" w:sz="0" w:space="0" w:color="auto"/>
                <w:left w:val="none" w:sz="0" w:space="0" w:color="auto"/>
                <w:bottom w:val="none" w:sz="0" w:space="0" w:color="auto"/>
                <w:right w:val="none" w:sz="0" w:space="0" w:color="auto"/>
              </w:divBdr>
              <w:divsChild>
                <w:div w:id="697006327">
                  <w:marLeft w:val="0"/>
                  <w:marRight w:val="0"/>
                  <w:marTop w:val="0"/>
                  <w:marBottom w:val="0"/>
                  <w:divBdr>
                    <w:top w:val="none" w:sz="0" w:space="0" w:color="auto"/>
                    <w:left w:val="none" w:sz="0" w:space="0" w:color="auto"/>
                    <w:bottom w:val="none" w:sz="0" w:space="0" w:color="auto"/>
                    <w:right w:val="none" w:sz="0" w:space="0" w:color="auto"/>
                  </w:divBdr>
                  <w:divsChild>
                    <w:div w:id="373235775">
                      <w:marLeft w:val="0"/>
                      <w:marRight w:val="0"/>
                      <w:marTop w:val="0"/>
                      <w:marBottom w:val="0"/>
                      <w:divBdr>
                        <w:top w:val="none" w:sz="0" w:space="0" w:color="auto"/>
                        <w:left w:val="none" w:sz="0" w:space="0" w:color="auto"/>
                        <w:bottom w:val="none" w:sz="0" w:space="0" w:color="auto"/>
                        <w:right w:val="none" w:sz="0" w:space="0" w:color="auto"/>
                      </w:divBdr>
                      <w:divsChild>
                        <w:div w:id="183448397">
                          <w:marLeft w:val="0"/>
                          <w:marRight w:val="0"/>
                          <w:marTop w:val="0"/>
                          <w:marBottom w:val="0"/>
                          <w:divBdr>
                            <w:top w:val="none" w:sz="0" w:space="0" w:color="auto"/>
                            <w:left w:val="none" w:sz="0" w:space="0" w:color="auto"/>
                            <w:bottom w:val="none" w:sz="0" w:space="0" w:color="auto"/>
                            <w:right w:val="none" w:sz="0" w:space="0" w:color="auto"/>
                          </w:divBdr>
                          <w:divsChild>
                            <w:div w:id="1751194069">
                              <w:marLeft w:val="0"/>
                              <w:marRight w:val="0"/>
                              <w:marTop w:val="0"/>
                              <w:marBottom w:val="0"/>
                              <w:divBdr>
                                <w:top w:val="none" w:sz="0" w:space="0" w:color="auto"/>
                                <w:left w:val="none" w:sz="0" w:space="0" w:color="auto"/>
                                <w:bottom w:val="none" w:sz="0" w:space="0" w:color="auto"/>
                                <w:right w:val="none" w:sz="0" w:space="0" w:color="auto"/>
                              </w:divBdr>
                              <w:divsChild>
                                <w:div w:id="1082993309">
                                  <w:marLeft w:val="0"/>
                                  <w:marRight w:val="0"/>
                                  <w:marTop w:val="0"/>
                                  <w:marBottom w:val="0"/>
                                  <w:divBdr>
                                    <w:top w:val="none" w:sz="0" w:space="0" w:color="auto"/>
                                    <w:left w:val="none" w:sz="0" w:space="0" w:color="auto"/>
                                    <w:bottom w:val="none" w:sz="0" w:space="0" w:color="auto"/>
                                    <w:right w:val="none" w:sz="0" w:space="0" w:color="auto"/>
                                  </w:divBdr>
                                  <w:divsChild>
                                    <w:div w:id="529729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2227346">
                      <w:marLeft w:val="0"/>
                      <w:marRight w:val="0"/>
                      <w:marTop w:val="0"/>
                      <w:marBottom w:val="0"/>
                      <w:divBdr>
                        <w:top w:val="none" w:sz="0" w:space="0" w:color="auto"/>
                        <w:left w:val="none" w:sz="0" w:space="0" w:color="auto"/>
                        <w:bottom w:val="none" w:sz="0" w:space="0" w:color="auto"/>
                        <w:right w:val="none" w:sz="0" w:space="0" w:color="auto"/>
                      </w:divBdr>
                      <w:divsChild>
                        <w:div w:id="356202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4511247">
      <w:bodyDiv w:val="1"/>
      <w:marLeft w:val="0"/>
      <w:marRight w:val="0"/>
      <w:marTop w:val="0"/>
      <w:marBottom w:val="0"/>
      <w:divBdr>
        <w:top w:val="none" w:sz="0" w:space="0" w:color="auto"/>
        <w:left w:val="none" w:sz="0" w:space="0" w:color="auto"/>
        <w:bottom w:val="none" w:sz="0" w:space="0" w:color="auto"/>
        <w:right w:val="none" w:sz="0" w:space="0" w:color="auto"/>
      </w:divBdr>
      <w:divsChild>
        <w:div w:id="1193114126">
          <w:marLeft w:val="0"/>
          <w:marRight w:val="0"/>
          <w:marTop w:val="0"/>
          <w:marBottom w:val="0"/>
          <w:divBdr>
            <w:top w:val="none" w:sz="0" w:space="0" w:color="auto"/>
            <w:left w:val="none" w:sz="0" w:space="0" w:color="auto"/>
            <w:bottom w:val="none" w:sz="0" w:space="0" w:color="auto"/>
            <w:right w:val="none" w:sz="0" w:space="0" w:color="auto"/>
          </w:divBdr>
          <w:divsChild>
            <w:div w:id="860126335">
              <w:marLeft w:val="0"/>
              <w:marRight w:val="0"/>
              <w:marTop w:val="0"/>
              <w:marBottom w:val="0"/>
              <w:divBdr>
                <w:top w:val="none" w:sz="0" w:space="0" w:color="auto"/>
                <w:left w:val="none" w:sz="0" w:space="0" w:color="auto"/>
                <w:bottom w:val="none" w:sz="0" w:space="0" w:color="auto"/>
                <w:right w:val="none" w:sz="0" w:space="0" w:color="auto"/>
              </w:divBdr>
              <w:divsChild>
                <w:div w:id="80874858">
                  <w:marLeft w:val="0"/>
                  <w:marRight w:val="0"/>
                  <w:marTop w:val="0"/>
                  <w:marBottom w:val="0"/>
                  <w:divBdr>
                    <w:top w:val="none" w:sz="0" w:space="0" w:color="auto"/>
                    <w:left w:val="none" w:sz="0" w:space="0" w:color="auto"/>
                    <w:bottom w:val="none" w:sz="0" w:space="0" w:color="auto"/>
                    <w:right w:val="none" w:sz="0" w:space="0" w:color="auto"/>
                  </w:divBdr>
                  <w:divsChild>
                    <w:div w:id="103037709">
                      <w:marLeft w:val="0"/>
                      <w:marRight w:val="0"/>
                      <w:marTop w:val="0"/>
                      <w:marBottom w:val="0"/>
                      <w:divBdr>
                        <w:top w:val="none" w:sz="0" w:space="0" w:color="auto"/>
                        <w:left w:val="none" w:sz="0" w:space="0" w:color="auto"/>
                        <w:bottom w:val="none" w:sz="0" w:space="0" w:color="auto"/>
                        <w:right w:val="none" w:sz="0" w:space="0" w:color="auto"/>
                      </w:divBdr>
                      <w:divsChild>
                        <w:div w:id="1291941746">
                          <w:marLeft w:val="0"/>
                          <w:marRight w:val="0"/>
                          <w:marTop w:val="0"/>
                          <w:marBottom w:val="0"/>
                          <w:divBdr>
                            <w:top w:val="none" w:sz="0" w:space="0" w:color="auto"/>
                            <w:left w:val="none" w:sz="0" w:space="0" w:color="auto"/>
                            <w:bottom w:val="none" w:sz="0" w:space="0" w:color="auto"/>
                            <w:right w:val="none" w:sz="0" w:space="0" w:color="auto"/>
                          </w:divBdr>
                          <w:divsChild>
                            <w:div w:id="1376000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7797098">
      <w:bodyDiv w:val="1"/>
      <w:marLeft w:val="0"/>
      <w:marRight w:val="0"/>
      <w:marTop w:val="0"/>
      <w:marBottom w:val="0"/>
      <w:divBdr>
        <w:top w:val="none" w:sz="0" w:space="0" w:color="auto"/>
        <w:left w:val="none" w:sz="0" w:space="0" w:color="auto"/>
        <w:bottom w:val="none" w:sz="0" w:space="0" w:color="auto"/>
        <w:right w:val="none" w:sz="0" w:space="0" w:color="auto"/>
      </w:divBdr>
      <w:divsChild>
        <w:div w:id="539825048">
          <w:marLeft w:val="0"/>
          <w:marRight w:val="0"/>
          <w:marTop w:val="0"/>
          <w:marBottom w:val="0"/>
          <w:divBdr>
            <w:top w:val="none" w:sz="0" w:space="0" w:color="auto"/>
            <w:left w:val="none" w:sz="0" w:space="0" w:color="auto"/>
            <w:bottom w:val="none" w:sz="0" w:space="0" w:color="auto"/>
            <w:right w:val="none" w:sz="0" w:space="0" w:color="auto"/>
          </w:divBdr>
          <w:divsChild>
            <w:div w:id="2140805509">
              <w:marLeft w:val="0"/>
              <w:marRight w:val="0"/>
              <w:marTop w:val="0"/>
              <w:marBottom w:val="0"/>
              <w:divBdr>
                <w:top w:val="none" w:sz="0" w:space="0" w:color="auto"/>
                <w:left w:val="none" w:sz="0" w:space="0" w:color="auto"/>
                <w:bottom w:val="none" w:sz="0" w:space="0" w:color="auto"/>
                <w:right w:val="none" w:sz="0" w:space="0" w:color="auto"/>
              </w:divBdr>
              <w:divsChild>
                <w:div w:id="1301108225">
                  <w:marLeft w:val="0"/>
                  <w:marRight w:val="0"/>
                  <w:marTop w:val="0"/>
                  <w:marBottom w:val="0"/>
                  <w:divBdr>
                    <w:top w:val="none" w:sz="0" w:space="0" w:color="auto"/>
                    <w:left w:val="none" w:sz="0" w:space="0" w:color="auto"/>
                    <w:bottom w:val="none" w:sz="0" w:space="0" w:color="auto"/>
                    <w:right w:val="none" w:sz="0" w:space="0" w:color="auto"/>
                  </w:divBdr>
                  <w:divsChild>
                    <w:div w:id="1789662838">
                      <w:marLeft w:val="0"/>
                      <w:marRight w:val="0"/>
                      <w:marTop w:val="0"/>
                      <w:marBottom w:val="0"/>
                      <w:divBdr>
                        <w:top w:val="none" w:sz="0" w:space="0" w:color="auto"/>
                        <w:left w:val="none" w:sz="0" w:space="0" w:color="auto"/>
                        <w:bottom w:val="none" w:sz="0" w:space="0" w:color="auto"/>
                        <w:right w:val="none" w:sz="0" w:space="0" w:color="auto"/>
                      </w:divBdr>
                      <w:divsChild>
                        <w:div w:id="401145982">
                          <w:marLeft w:val="0"/>
                          <w:marRight w:val="0"/>
                          <w:marTop w:val="0"/>
                          <w:marBottom w:val="0"/>
                          <w:divBdr>
                            <w:top w:val="none" w:sz="0" w:space="0" w:color="auto"/>
                            <w:left w:val="none" w:sz="0" w:space="0" w:color="auto"/>
                            <w:bottom w:val="none" w:sz="0" w:space="0" w:color="auto"/>
                            <w:right w:val="none" w:sz="0" w:space="0" w:color="auto"/>
                          </w:divBdr>
                          <w:divsChild>
                            <w:div w:id="269319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1044617">
      <w:bodyDiv w:val="1"/>
      <w:marLeft w:val="0"/>
      <w:marRight w:val="0"/>
      <w:marTop w:val="0"/>
      <w:marBottom w:val="0"/>
      <w:divBdr>
        <w:top w:val="none" w:sz="0" w:space="0" w:color="auto"/>
        <w:left w:val="none" w:sz="0" w:space="0" w:color="auto"/>
        <w:bottom w:val="none" w:sz="0" w:space="0" w:color="auto"/>
        <w:right w:val="none" w:sz="0" w:space="0" w:color="auto"/>
      </w:divBdr>
    </w:div>
    <w:div w:id="855463475">
      <w:bodyDiv w:val="1"/>
      <w:marLeft w:val="0"/>
      <w:marRight w:val="0"/>
      <w:marTop w:val="0"/>
      <w:marBottom w:val="0"/>
      <w:divBdr>
        <w:top w:val="none" w:sz="0" w:space="0" w:color="auto"/>
        <w:left w:val="none" w:sz="0" w:space="0" w:color="auto"/>
        <w:bottom w:val="none" w:sz="0" w:space="0" w:color="auto"/>
        <w:right w:val="none" w:sz="0" w:space="0" w:color="auto"/>
      </w:divBdr>
    </w:div>
    <w:div w:id="981883690">
      <w:bodyDiv w:val="1"/>
      <w:marLeft w:val="0"/>
      <w:marRight w:val="0"/>
      <w:marTop w:val="0"/>
      <w:marBottom w:val="0"/>
      <w:divBdr>
        <w:top w:val="none" w:sz="0" w:space="0" w:color="auto"/>
        <w:left w:val="none" w:sz="0" w:space="0" w:color="auto"/>
        <w:bottom w:val="none" w:sz="0" w:space="0" w:color="auto"/>
        <w:right w:val="none" w:sz="0" w:space="0" w:color="auto"/>
      </w:divBdr>
    </w:div>
    <w:div w:id="1057362590">
      <w:bodyDiv w:val="1"/>
      <w:marLeft w:val="0"/>
      <w:marRight w:val="0"/>
      <w:marTop w:val="0"/>
      <w:marBottom w:val="0"/>
      <w:divBdr>
        <w:top w:val="none" w:sz="0" w:space="0" w:color="auto"/>
        <w:left w:val="none" w:sz="0" w:space="0" w:color="auto"/>
        <w:bottom w:val="none" w:sz="0" w:space="0" w:color="auto"/>
        <w:right w:val="none" w:sz="0" w:space="0" w:color="auto"/>
      </w:divBdr>
    </w:div>
    <w:div w:id="1067149259">
      <w:bodyDiv w:val="1"/>
      <w:marLeft w:val="0"/>
      <w:marRight w:val="0"/>
      <w:marTop w:val="0"/>
      <w:marBottom w:val="0"/>
      <w:divBdr>
        <w:top w:val="none" w:sz="0" w:space="0" w:color="auto"/>
        <w:left w:val="none" w:sz="0" w:space="0" w:color="auto"/>
        <w:bottom w:val="none" w:sz="0" w:space="0" w:color="auto"/>
        <w:right w:val="none" w:sz="0" w:space="0" w:color="auto"/>
      </w:divBdr>
    </w:div>
    <w:div w:id="1075131853">
      <w:bodyDiv w:val="1"/>
      <w:marLeft w:val="0"/>
      <w:marRight w:val="0"/>
      <w:marTop w:val="0"/>
      <w:marBottom w:val="0"/>
      <w:divBdr>
        <w:top w:val="none" w:sz="0" w:space="0" w:color="auto"/>
        <w:left w:val="none" w:sz="0" w:space="0" w:color="auto"/>
        <w:bottom w:val="none" w:sz="0" w:space="0" w:color="auto"/>
        <w:right w:val="none" w:sz="0" w:space="0" w:color="auto"/>
      </w:divBdr>
    </w:div>
    <w:div w:id="1185049553">
      <w:bodyDiv w:val="1"/>
      <w:marLeft w:val="0"/>
      <w:marRight w:val="0"/>
      <w:marTop w:val="0"/>
      <w:marBottom w:val="0"/>
      <w:divBdr>
        <w:top w:val="none" w:sz="0" w:space="0" w:color="auto"/>
        <w:left w:val="none" w:sz="0" w:space="0" w:color="auto"/>
        <w:bottom w:val="none" w:sz="0" w:space="0" w:color="auto"/>
        <w:right w:val="none" w:sz="0" w:space="0" w:color="auto"/>
      </w:divBdr>
      <w:divsChild>
        <w:div w:id="732316125">
          <w:marLeft w:val="0"/>
          <w:marRight w:val="0"/>
          <w:marTop w:val="0"/>
          <w:marBottom w:val="0"/>
          <w:divBdr>
            <w:top w:val="none" w:sz="0" w:space="0" w:color="auto"/>
            <w:left w:val="none" w:sz="0" w:space="0" w:color="auto"/>
            <w:bottom w:val="none" w:sz="0" w:space="0" w:color="auto"/>
            <w:right w:val="none" w:sz="0" w:space="0" w:color="auto"/>
          </w:divBdr>
          <w:divsChild>
            <w:div w:id="2118911651">
              <w:marLeft w:val="0"/>
              <w:marRight w:val="0"/>
              <w:marTop w:val="0"/>
              <w:marBottom w:val="0"/>
              <w:divBdr>
                <w:top w:val="none" w:sz="0" w:space="0" w:color="auto"/>
                <w:left w:val="none" w:sz="0" w:space="0" w:color="auto"/>
                <w:bottom w:val="none" w:sz="0" w:space="0" w:color="auto"/>
                <w:right w:val="none" w:sz="0" w:space="0" w:color="auto"/>
              </w:divBdr>
              <w:divsChild>
                <w:div w:id="655063122">
                  <w:marLeft w:val="0"/>
                  <w:marRight w:val="0"/>
                  <w:marTop w:val="0"/>
                  <w:marBottom w:val="0"/>
                  <w:divBdr>
                    <w:top w:val="none" w:sz="0" w:space="0" w:color="auto"/>
                    <w:left w:val="none" w:sz="0" w:space="0" w:color="auto"/>
                    <w:bottom w:val="none" w:sz="0" w:space="0" w:color="auto"/>
                    <w:right w:val="none" w:sz="0" w:space="0" w:color="auto"/>
                  </w:divBdr>
                  <w:divsChild>
                    <w:div w:id="681325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054673">
      <w:bodyDiv w:val="1"/>
      <w:marLeft w:val="0"/>
      <w:marRight w:val="0"/>
      <w:marTop w:val="0"/>
      <w:marBottom w:val="0"/>
      <w:divBdr>
        <w:top w:val="none" w:sz="0" w:space="0" w:color="auto"/>
        <w:left w:val="none" w:sz="0" w:space="0" w:color="auto"/>
        <w:bottom w:val="none" w:sz="0" w:space="0" w:color="auto"/>
        <w:right w:val="none" w:sz="0" w:space="0" w:color="auto"/>
      </w:divBdr>
    </w:div>
    <w:div w:id="1415131861">
      <w:bodyDiv w:val="1"/>
      <w:marLeft w:val="0"/>
      <w:marRight w:val="0"/>
      <w:marTop w:val="0"/>
      <w:marBottom w:val="0"/>
      <w:divBdr>
        <w:top w:val="none" w:sz="0" w:space="0" w:color="auto"/>
        <w:left w:val="none" w:sz="0" w:space="0" w:color="auto"/>
        <w:bottom w:val="none" w:sz="0" w:space="0" w:color="auto"/>
        <w:right w:val="none" w:sz="0" w:space="0" w:color="auto"/>
      </w:divBdr>
    </w:div>
    <w:div w:id="1543176698">
      <w:bodyDiv w:val="1"/>
      <w:marLeft w:val="0"/>
      <w:marRight w:val="0"/>
      <w:marTop w:val="0"/>
      <w:marBottom w:val="0"/>
      <w:divBdr>
        <w:top w:val="none" w:sz="0" w:space="0" w:color="auto"/>
        <w:left w:val="none" w:sz="0" w:space="0" w:color="auto"/>
        <w:bottom w:val="none" w:sz="0" w:space="0" w:color="auto"/>
        <w:right w:val="none" w:sz="0" w:space="0" w:color="auto"/>
      </w:divBdr>
      <w:divsChild>
        <w:div w:id="713575952">
          <w:marLeft w:val="0"/>
          <w:marRight w:val="0"/>
          <w:marTop w:val="0"/>
          <w:marBottom w:val="0"/>
          <w:divBdr>
            <w:top w:val="none" w:sz="0" w:space="0" w:color="auto"/>
            <w:left w:val="none" w:sz="0" w:space="0" w:color="auto"/>
            <w:bottom w:val="none" w:sz="0" w:space="0" w:color="auto"/>
            <w:right w:val="none" w:sz="0" w:space="0" w:color="auto"/>
          </w:divBdr>
          <w:divsChild>
            <w:div w:id="1776319554">
              <w:marLeft w:val="0"/>
              <w:marRight w:val="0"/>
              <w:marTop w:val="0"/>
              <w:marBottom w:val="0"/>
              <w:divBdr>
                <w:top w:val="none" w:sz="0" w:space="0" w:color="auto"/>
                <w:left w:val="none" w:sz="0" w:space="0" w:color="auto"/>
                <w:bottom w:val="none" w:sz="0" w:space="0" w:color="auto"/>
                <w:right w:val="none" w:sz="0" w:space="0" w:color="auto"/>
              </w:divBdr>
              <w:divsChild>
                <w:div w:id="1559055261">
                  <w:marLeft w:val="0"/>
                  <w:marRight w:val="0"/>
                  <w:marTop w:val="0"/>
                  <w:marBottom w:val="0"/>
                  <w:divBdr>
                    <w:top w:val="none" w:sz="0" w:space="0" w:color="auto"/>
                    <w:left w:val="none" w:sz="0" w:space="0" w:color="auto"/>
                    <w:bottom w:val="none" w:sz="0" w:space="0" w:color="auto"/>
                    <w:right w:val="none" w:sz="0" w:space="0" w:color="auto"/>
                  </w:divBdr>
                  <w:divsChild>
                    <w:div w:id="1715233051">
                      <w:marLeft w:val="0"/>
                      <w:marRight w:val="0"/>
                      <w:marTop w:val="0"/>
                      <w:marBottom w:val="0"/>
                      <w:divBdr>
                        <w:top w:val="none" w:sz="0" w:space="0" w:color="auto"/>
                        <w:left w:val="none" w:sz="0" w:space="0" w:color="auto"/>
                        <w:bottom w:val="none" w:sz="0" w:space="0" w:color="auto"/>
                        <w:right w:val="none" w:sz="0" w:space="0" w:color="auto"/>
                      </w:divBdr>
                      <w:divsChild>
                        <w:div w:id="703215039">
                          <w:marLeft w:val="0"/>
                          <w:marRight w:val="0"/>
                          <w:marTop w:val="0"/>
                          <w:marBottom w:val="0"/>
                          <w:divBdr>
                            <w:top w:val="none" w:sz="0" w:space="0" w:color="auto"/>
                            <w:left w:val="none" w:sz="0" w:space="0" w:color="auto"/>
                            <w:bottom w:val="none" w:sz="0" w:space="0" w:color="auto"/>
                            <w:right w:val="none" w:sz="0" w:space="0" w:color="auto"/>
                          </w:divBdr>
                          <w:divsChild>
                            <w:div w:id="208032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9944174">
      <w:bodyDiv w:val="1"/>
      <w:marLeft w:val="0"/>
      <w:marRight w:val="0"/>
      <w:marTop w:val="0"/>
      <w:marBottom w:val="0"/>
      <w:divBdr>
        <w:top w:val="none" w:sz="0" w:space="0" w:color="auto"/>
        <w:left w:val="none" w:sz="0" w:space="0" w:color="auto"/>
        <w:bottom w:val="none" w:sz="0" w:space="0" w:color="auto"/>
        <w:right w:val="none" w:sz="0" w:space="0" w:color="auto"/>
      </w:divBdr>
    </w:div>
    <w:div w:id="1629122701">
      <w:bodyDiv w:val="1"/>
      <w:marLeft w:val="0"/>
      <w:marRight w:val="0"/>
      <w:marTop w:val="0"/>
      <w:marBottom w:val="0"/>
      <w:divBdr>
        <w:top w:val="none" w:sz="0" w:space="0" w:color="auto"/>
        <w:left w:val="none" w:sz="0" w:space="0" w:color="auto"/>
        <w:bottom w:val="none" w:sz="0" w:space="0" w:color="auto"/>
        <w:right w:val="none" w:sz="0" w:space="0" w:color="auto"/>
      </w:divBdr>
    </w:div>
    <w:div w:id="1642341034">
      <w:bodyDiv w:val="1"/>
      <w:marLeft w:val="0"/>
      <w:marRight w:val="0"/>
      <w:marTop w:val="0"/>
      <w:marBottom w:val="0"/>
      <w:divBdr>
        <w:top w:val="none" w:sz="0" w:space="0" w:color="auto"/>
        <w:left w:val="none" w:sz="0" w:space="0" w:color="auto"/>
        <w:bottom w:val="none" w:sz="0" w:space="0" w:color="auto"/>
        <w:right w:val="none" w:sz="0" w:space="0" w:color="auto"/>
      </w:divBdr>
    </w:div>
    <w:div w:id="1716393178">
      <w:bodyDiv w:val="1"/>
      <w:marLeft w:val="0"/>
      <w:marRight w:val="0"/>
      <w:marTop w:val="0"/>
      <w:marBottom w:val="0"/>
      <w:divBdr>
        <w:top w:val="none" w:sz="0" w:space="0" w:color="auto"/>
        <w:left w:val="none" w:sz="0" w:space="0" w:color="auto"/>
        <w:bottom w:val="none" w:sz="0" w:space="0" w:color="auto"/>
        <w:right w:val="none" w:sz="0" w:space="0" w:color="auto"/>
      </w:divBdr>
    </w:div>
    <w:div w:id="1880166970">
      <w:bodyDiv w:val="1"/>
      <w:marLeft w:val="0"/>
      <w:marRight w:val="0"/>
      <w:marTop w:val="0"/>
      <w:marBottom w:val="0"/>
      <w:divBdr>
        <w:top w:val="none" w:sz="0" w:space="0" w:color="auto"/>
        <w:left w:val="none" w:sz="0" w:space="0" w:color="auto"/>
        <w:bottom w:val="none" w:sz="0" w:space="0" w:color="auto"/>
        <w:right w:val="none" w:sz="0" w:space="0" w:color="auto"/>
      </w:divBdr>
    </w:div>
    <w:div w:id="1958177250">
      <w:bodyDiv w:val="1"/>
      <w:marLeft w:val="0"/>
      <w:marRight w:val="0"/>
      <w:marTop w:val="0"/>
      <w:marBottom w:val="0"/>
      <w:divBdr>
        <w:top w:val="none" w:sz="0" w:space="0" w:color="auto"/>
        <w:left w:val="none" w:sz="0" w:space="0" w:color="auto"/>
        <w:bottom w:val="none" w:sz="0" w:space="0" w:color="auto"/>
        <w:right w:val="none" w:sz="0" w:space="0" w:color="auto"/>
      </w:divBdr>
      <w:divsChild>
        <w:div w:id="813260943">
          <w:marLeft w:val="0"/>
          <w:marRight w:val="0"/>
          <w:marTop w:val="0"/>
          <w:marBottom w:val="0"/>
          <w:divBdr>
            <w:top w:val="none" w:sz="0" w:space="0" w:color="auto"/>
            <w:left w:val="none" w:sz="0" w:space="0" w:color="auto"/>
            <w:bottom w:val="none" w:sz="0" w:space="0" w:color="auto"/>
            <w:right w:val="none" w:sz="0" w:space="0" w:color="auto"/>
          </w:divBdr>
          <w:divsChild>
            <w:div w:id="1776708410">
              <w:marLeft w:val="0"/>
              <w:marRight w:val="0"/>
              <w:marTop w:val="0"/>
              <w:marBottom w:val="0"/>
              <w:divBdr>
                <w:top w:val="none" w:sz="0" w:space="0" w:color="auto"/>
                <w:left w:val="none" w:sz="0" w:space="0" w:color="auto"/>
                <w:bottom w:val="none" w:sz="0" w:space="0" w:color="auto"/>
                <w:right w:val="none" w:sz="0" w:space="0" w:color="auto"/>
              </w:divBdr>
              <w:divsChild>
                <w:div w:id="709184133">
                  <w:marLeft w:val="0"/>
                  <w:marRight w:val="0"/>
                  <w:marTop w:val="0"/>
                  <w:marBottom w:val="0"/>
                  <w:divBdr>
                    <w:top w:val="none" w:sz="0" w:space="0" w:color="auto"/>
                    <w:left w:val="none" w:sz="0" w:space="0" w:color="auto"/>
                    <w:bottom w:val="none" w:sz="0" w:space="0" w:color="auto"/>
                    <w:right w:val="none" w:sz="0" w:space="0" w:color="auto"/>
                  </w:divBdr>
                  <w:divsChild>
                    <w:div w:id="68262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4033412">
      <w:bodyDiv w:val="1"/>
      <w:marLeft w:val="0"/>
      <w:marRight w:val="0"/>
      <w:marTop w:val="0"/>
      <w:marBottom w:val="0"/>
      <w:divBdr>
        <w:top w:val="none" w:sz="0" w:space="0" w:color="auto"/>
        <w:left w:val="none" w:sz="0" w:space="0" w:color="auto"/>
        <w:bottom w:val="none" w:sz="0" w:space="0" w:color="auto"/>
        <w:right w:val="none" w:sz="0" w:space="0" w:color="auto"/>
      </w:divBdr>
      <w:divsChild>
        <w:div w:id="860120278">
          <w:marLeft w:val="0"/>
          <w:marRight w:val="0"/>
          <w:marTop w:val="0"/>
          <w:marBottom w:val="0"/>
          <w:divBdr>
            <w:top w:val="none" w:sz="0" w:space="0" w:color="auto"/>
            <w:left w:val="none" w:sz="0" w:space="0" w:color="auto"/>
            <w:bottom w:val="none" w:sz="0" w:space="0" w:color="auto"/>
            <w:right w:val="none" w:sz="0" w:space="0" w:color="auto"/>
          </w:divBdr>
          <w:divsChild>
            <w:div w:id="297420923">
              <w:marLeft w:val="0"/>
              <w:marRight w:val="0"/>
              <w:marTop w:val="0"/>
              <w:marBottom w:val="0"/>
              <w:divBdr>
                <w:top w:val="none" w:sz="0" w:space="0" w:color="auto"/>
                <w:left w:val="none" w:sz="0" w:space="0" w:color="auto"/>
                <w:bottom w:val="none" w:sz="0" w:space="0" w:color="auto"/>
                <w:right w:val="none" w:sz="0" w:space="0" w:color="auto"/>
              </w:divBdr>
              <w:divsChild>
                <w:div w:id="1600942802">
                  <w:marLeft w:val="0"/>
                  <w:marRight w:val="0"/>
                  <w:marTop w:val="0"/>
                  <w:marBottom w:val="0"/>
                  <w:divBdr>
                    <w:top w:val="none" w:sz="0" w:space="0" w:color="auto"/>
                    <w:left w:val="none" w:sz="0" w:space="0" w:color="auto"/>
                    <w:bottom w:val="none" w:sz="0" w:space="0" w:color="auto"/>
                    <w:right w:val="none" w:sz="0" w:space="0" w:color="auto"/>
                  </w:divBdr>
                  <w:divsChild>
                    <w:div w:id="967054003">
                      <w:marLeft w:val="0"/>
                      <w:marRight w:val="0"/>
                      <w:marTop w:val="0"/>
                      <w:marBottom w:val="0"/>
                      <w:divBdr>
                        <w:top w:val="none" w:sz="0" w:space="0" w:color="auto"/>
                        <w:left w:val="none" w:sz="0" w:space="0" w:color="auto"/>
                        <w:bottom w:val="none" w:sz="0" w:space="0" w:color="auto"/>
                        <w:right w:val="none" w:sz="0" w:space="0" w:color="auto"/>
                      </w:divBdr>
                      <w:divsChild>
                        <w:div w:id="1009529377">
                          <w:marLeft w:val="0"/>
                          <w:marRight w:val="0"/>
                          <w:marTop w:val="0"/>
                          <w:marBottom w:val="0"/>
                          <w:divBdr>
                            <w:top w:val="none" w:sz="0" w:space="0" w:color="auto"/>
                            <w:left w:val="none" w:sz="0" w:space="0" w:color="auto"/>
                            <w:bottom w:val="none" w:sz="0" w:space="0" w:color="auto"/>
                            <w:right w:val="none" w:sz="0" w:space="0" w:color="auto"/>
                          </w:divBdr>
                          <w:divsChild>
                            <w:div w:id="1072583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7964801">
      <w:bodyDiv w:val="1"/>
      <w:marLeft w:val="0"/>
      <w:marRight w:val="0"/>
      <w:marTop w:val="0"/>
      <w:marBottom w:val="0"/>
      <w:divBdr>
        <w:top w:val="none" w:sz="0" w:space="0" w:color="auto"/>
        <w:left w:val="none" w:sz="0" w:space="0" w:color="auto"/>
        <w:bottom w:val="none" w:sz="0" w:space="0" w:color="auto"/>
        <w:right w:val="none" w:sz="0" w:space="0" w:color="auto"/>
      </w:divBdr>
      <w:divsChild>
        <w:div w:id="879170755">
          <w:marLeft w:val="0"/>
          <w:marRight w:val="0"/>
          <w:marTop w:val="0"/>
          <w:marBottom w:val="0"/>
          <w:divBdr>
            <w:top w:val="none" w:sz="0" w:space="0" w:color="auto"/>
            <w:left w:val="none" w:sz="0" w:space="0" w:color="auto"/>
            <w:bottom w:val="none" w:sz="0" w:space="0" w:color="auto"/>
            <w:right w:val="none" w:sz="0" w:space="0" w:color="auto"/>
          </w:divBdr>
          <w:divsChild>
            <w:div w:id="501045152">
              <w:marLeft w:val="0"/>
              <w:marRight w:val="0"/>
              <w:marTop w:val="0"/>
              <w:marBottom w:val="0"/>
              <w:divBdr>
                <w:top w:val="none" w:sz="0" w:space="0" w:color="auto"/>
                <w:left w:val="none" w:sz="0" w:space="0" w:color="auto"/>
                <w:bottom w:val="none" w:sz="0" w:space="0" w:color="auto"/>
                <w:right w:val="none" w:sz="0" w:space="0" w:color="auto"/>
              </w:divBdr>
              <w:divsChild>
                <w:div w:id="1754162500">
                  <w:marLeft w:val="0"/>
                  <w:marRight w:val="0"/>
                  <w:marTop w:val="0"/>
                  <w:marBottom w:val="0"/>
                  <w:divBdr>
                    <w:top w:val="none" w:sz="0" w:space="0" w:color="auto"/>
                    <w:left w:val="none" w:sz="0" w:space="0" w:color="auto"/>
                    <w:bottom w:val="none" w:sz="0" w:space="0" w:color="auto"/>
                    <w:right w:val="none" w:sz="0" w:space="0" w:color="auto"/>
                  </w:divBdr>
                  <w:divsChild>
                    <w:div w:id="1000307343">
                      <w:marLeft w:val="0"/>
                      <w:marRight w:val="0"/>
                      <w:marTop w:val="0"/>
                      <w:marBottom w:val="0"/>
                      <w:divBdr>
                        <w:top w:val="none" w:sz="0" w:space="0" w:color="auto"/>
                        <w:left w:val="none" w:sz="0" w:space="0" w:color="auto"/>
                        <w:bottom w:val="none" w:sz="0" w:space="0" w:color="auto"/>
                        <w:right w:val="none" w:sz="0" w:space="0" w:color="auto"/>
                      </w:divBdr>
                      <w:divsChild>
                        <w:div w:id="2059935531">
                          <w:marLeft w:val="0"/>
                          <w:marRight w:val="0"/>
                          <w:marTop w:val="0"/>
                          <w:marBottom w:val="0"/>
                          <w:divBdr>
                            <w:top w:val="none" w:sz="0" w:space="0" w:color="auto"/>
                            <w:left w:val="none" w:sz="0" w:space="0" w:color="auto"/>
                            <w:bottom w:val="none" w:sz="0" w:space="0" w:color="auto"/>
                            <w:right w:val="none" w:sz="0" w:space="0" w:color="auto"/>
                          </w:divBdr>
                          <w:divsChild>
                            <w:div w:id="1601572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5283611">
                  <w:marLeft w:val="0"/>
                  <w:marRight w:val="0"/>
                  <w:marTop w:val="0"/>
                  <w:marBottom w:val="0"/>
                  <w:divBdr>
                    <w:top w:val="none" w:sz="0" w:space="0" w:color="auto"/>
                    <w:left w:val="none" w:sz="0" w:space="0" w:color="auto"/>
                    <w:bottom w:val="none" w:sz="0" w:space="0" w:color="auto"/>
                    <w:right w:val="none" w:sz="0" w:space="0" w:color="auto"/>
                  </w:divBdr>
                  <w:divsChild>
                    <w:div w:id="2106882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3163239">
      <w:bodyDiv w:val="1"/>
      <w:marLeft w:val="0"/>
      <w:marRight w:val="0"/>
      <w:marTop w:val="0"/>
      <w:marBottom w:val="0"/>
      <w:divBdr>
        <w:top w:val="none" w:sz="0" w:space="0" w:color="auto"/>
        <w:left w:val="none" w:sz="0" w:space="0" w:color="auto"/>
        <w:bottom w:val="none" w:sz="0" w:space="0" w:color="auto"/>
        <w:right w:val="none" w:sz="0" w:space="0" w:color="auto"/>
      </w:divBdr>
      <w:divsChild>
        <w:div w:id="2054765966">
          <w:marLeft w:val="0"/>
          <w:marRight w:val="0"/>
          <w:marTop w:val="0"/>
          <w:marBottom w:val="0"/>
          <w:divBdr>
            <w:top w:val="none" w:sz="0" w:space="0" w:color="auto"/>
            <w:left w:val="none" w:sz="0" w:space="0" w:color="auto"/>
            <w:bottom w:val="none" w:sz="0" w:space="0" w:color="auto"/>
            <w:right w:val="none" w:sz="0" w:space="0" w:color="auto"/>
          </w:divBdr>
          <w:divsChild>
            <w:div w:id="1957053161">
              <w:marLeft w:val="0"/>
              <w:marRight w:val="0"/>
              <w:marTop w:val="0"/>
              <w:marBottom w:val="0"/>
              <w:divBdr>
                <w:top w:val="none" w:sz="0" w:space="0" w:color="auto"/>
                <w:left w:val="none" w:sz="0" w:space="0" w:color="auto"/>
                <w:bottom w:val="none" w:sz="0" w:space="0" w:color="auto"/>
                <w:right w:val="none" w:sz="0" w:space="0" w:color="auto"/>
              </w:divBdr>
              <w:divsChild>
                <w:div w:id="1469131532">
                  <w:marLeft w:val="0"/>
                  <w:marRight w:val="0"/>
                  <w:marTop w:val="0"/>
                  <w:marBottom w:val="0"/>
                  <w:divBdr>
                    <w:top w:val="none" w:sz="0" w:space="0" w:color="auto"/>
                    <w:left w:val="none" w:sz="0" w:space="0" w:color="auto"/>
                    <w:bottom w:val="none" w:sz="0" w:space="0" w:color="auto"/>
                    <w:right w:val="none" w:sz="0" w:space="0" w:color="auto"/>
                  </w:divBdr>
                  <w:divsChild>
                    <w:div w:id="30809517">
                      <w:marLeft w:val="0"/>
                      <w:marRight w:val="0"/>
                      <w:marTop w:val="0"/>
                      <w:marBottom w:val="0"/>
                      <w:divBdr>
                        <w:top w:val="none" w:sz="0" w:space="0" w:color="auto"/>
                        <w:left w:val="none" w:sz="0" w:space="0" w:color="auto"/>
                        <w:bottom w:val="none" w:sz="0" w:space="0" w:color="auto"/>
                        <w:right w:val="none" w:sz="0" w:space="0" w:color="auto"/>
                      </w:divBdr>
                      <w:divsChild>
                        <w:div w:id="284509482">
                          <w:marLeft w:val="0"/>
                          <w:marRight w:val="0"/>
                          <w:marTop w:val="0"/>
                          <w:marBottom w:val="0"/>
                          <w:divBdr>
                            <w:top w:val="none" w:sz="0" w:space="0" w:color="auto"/>
                            <w:left w:val="none" w:sz="0" w:space="0" w:color="auto"/>
                            <w:bottom w:val="none" w:sz="0" w:space="0" w:color="auto"/>
                            <w:right w:val="none" w:sz="0" w:space="0" w:color="auto"/>
                          </w:divBdr>
                          <w:divsChild>
                            <w:div w:id="1918593499">
                              <w:marLeft w:val="0"/>
                              <w:marRight w:val="0"/>
                              <w:marTop w:val="0"/>
                              <w:marBottom w:val="0"/>
                              <w:divBdr>
                                <w:top w:val="none" w:sz="0" w:space="0" w:color="auto"/>
                                <w:left w:val="none" w:sz="0" w:space="0" w:color="auto"/>
                                <w:bottom w:val="none" w:sz="0" w:space="0" w:color="auto"/>
                                <w:right w:val="none" w:sz="0" w:space="0" w:color="auto"/>
                              </w:divBdr>
                              <w:divsChild>
                                <w:div w:id="1758096244">
                                  <w:marLeft w:val="0"/>
                                  <w:marRight w:val="0"/>
                                  <w:marTop w:val="0"/>
                                  <w:marBottom w:val="0"/>
                                  <w:divBdr>
                                    <w:top w:val="none" w:sz="0" w:space="0" w:color="auto"/>
                                    <w:left w:val="none" w:sz="0" w:space="0" w:color="auto"/>
                                    <w:bottom w:val="none" w:sz="0" w:space="0" w:color="auto"/>
                                    <w:right w:val="none" w:sz="0" w:space="0" w:color="auto"/>
                                  </w:divBdr>
                                  <w:divsChild>
                                    <w:div w:id="497385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1122705">
                      <w:marLeft w:val="0"/>
                      <w:marRight w:val="0"/>
                      <w:marTop w:val="0"/>
                      <w:marBottom w:val="0"/>
                      <w:divBdr>
                        <w:top w:val="none" w:sz="0" w:space="0" w:color="auto"/>
                        <w:left w:val="none" w:sz="0" w:space="0" w:color="auto"/>
                        <w:bottom w:val="none" w:sz="0" w:space="0" w:color="auto"/>
                        <w:right w:val="none" w:sz="0" w:space="0" w:color="auto"/>
                      </w:divBdr>
                      <w:divsChild>
                        <w:div w:id="226189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87399.themediaframe.eu/links/otegroup251113.html"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cosmote.gr/5g"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Έγγραφο" ma:contentTypeID="0x01010013FDBD7A21A0DD43A2717F04FE1D49F4" ma:contentTypeVersion="5" ma:contentTypeDescription="Δημιουργία νέου εγγράφου" ma:contentTypeScope="" ma:versionID="9471ee9170b804923bb0a29140ffeffc">
  <xsd:schema xmlns:xsd="http://www.w3.org/2001/XMLSchema" xmlns:xs="http://www.w3.org/2001/XMLSchema" xmlns:p="http://schemas.microsoft.com/office/2006/metadata/properties" xmlns:ns2="a63ba609-ed36-4a9e-b21f-a4dacc36b656" targetNamespace="http://schemas.microsoft.com/office/2006/metadata/properties" ma:root="true" ma:fieldsID="7240131dcb788d1c861762681bceeb46" ns2:_="">
    <xsd:import namespace="a63ba609-ed36-4a9e-b21f-a4dacc36b656"/>
    <xsd:element name="properties">
      <xsd:complexType>
        <xsd:sequence>
          <xsd:element name="documentManagement">
            <xsd:complexType>
              <xsd:all>
                <xsd:element ref="ns2: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3ba609-ed36-4a9e-b21f-a4dacc36b656" elementFormDefault="qualified">
    <xsd:import namespace="http://schemas.microsoft.com/office/2006/documentManagement/types"/>
    <xsd:import namespace="http://schemas.microsoft.com/office/infopath/2007/PartnerControls"/>
    <xsd:element name="_dlc_Exempt" ma:index="8" nillable="true" ma:displayName="Εξαίρεση από την πολιτική..." ma:description="" ma:hidden="true" ma:internalName="_dlc_Exempt"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p:Policy xmlns:p="office.server.policy" id="2ca9ad2a-70f0-45e6-af82-8e7861255b41" local="false">
  <p:Name>Auditing</p:Name>
  <p:Description/>
  <p:Statement/>
  <p:PolicyItems>
    <p:PolicyItem featureId="Microsoft.Office.RecordsManagement.PolicyFeatures.PolicyAudit">
      <p:Name>Έλεγχος</p:Name>
      <p:Description>Ελέγχει τις ενέργειες χρήστη σε έγγραφα και στοιχεία λίστας στο αρχείο καταγραφής ελέγχου.</p:Description>
      <p:CustomData>
        <Audit>
          <Update/>
          <View/>
          <MoveCopy/>
          <DeleteRestore/>
        </Audit>
      </p:CustomData>
    </p:PolicyItem>
  </p:PolicyItems>
</p:Policy>
</file>

<file path=customXml/itemProps1.xml><?xml version="1.0" encoding="utf-8"?>
<ds:datastoreItem xmlns:ds="http://schemas.openxmlformats.org/officeDocument/2006/customXml" ds:itemID="{31238156-EDCE-482A-AF2B-72A31F4A564A}">
  <ds:schemaRefs>
    <ds:schemaRef ds:uri="http://schemas.openxmlformats.org/officeDocument/2006/bibliography"/>
  </ds:schemaRefs>
</ds:datastoreItem>
</file>

<file path=customXml/itemProps2.xml><?xml version="1.0" encoding="utf-8"?>
<ds:datastoreItem xmlns:ds="http://schemas.openxmlformats.org/officeDocument/2006/customXml" ds:itemID="{28DE86A3-E750-455B-AC4A-E937D131BB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3ba609-ed36-4a9e-b21f-a4dacc36b6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B02FBC1-B7BB-4180-872C-B066AA85A116}">
  <ds:schemaRefs>
    <ds:schemaRef ds:uri="a63ba609-ed36-4a9e-b21f-a4dacc36b656"/>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0B701E25-7929-4032-B4D6-5B79B32905B2}">
  <ds:schemaRefs>
    <ds:schemaRef ds:uri="http://schemas.microsoft.com/sharepoint/v3/contenttype/forms"/>
  </ds:schemaRefs>
</ds:datastoreItem>
</file>

<file path=customXml/itemProps5.xml><?xml version="1.0" encoding="utf-8"?>
<ds:datastoreItem xmlns:ds="http://schemas.openxmlformats.org/officeDocument/2006/customXml" ds:itemID="{7B775696-B112-48E5-A9BE-CD27A2580DA3}">
  <ds:schemaRefs>
    <ds:schemaRef ds:uri="office.server.policy"/>
  </ds:schemaRefs>
</ds:datastoreItem>
</file>

<file path=docMetadata/LabelInfo.xml><?xml version="1.0" encoding="utf-8"?>
<clbl:labelList xmlns:clbl="http://schemas.microsoft.com/office/2020/mipLabelMetadata">
  <clbl:label id="{82bcfee7-4486-4309-a860-04936daa697d}" enabled="0" method="" siteId="{82bcfee7-4486-4309-a860-04936daa697d}" removed="1"/>
</clbl:labelList>
</file>

<file path=docProps/app.xml><?xml version="1.0" encoding="utf-8"?>
<Properties xmlns="http://schemas.openxmlformats.org/officeDocument/2006/extended-properties" xmlns:vt="http://schemas.openxmlformats.org/officeDocument/2006/docPropsVTypes">
  <Template>Normal</Template>
  <TotalTime>101</TotalTime>
  <Pages>16</Pages>
  <Words>7180</Words>
  <Characters>38777</Characters>
  <Application>Microsoft Office Word</Application>
  <DocSecurity>0</DocSecurity>
  <Lines>323</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Vassia Theochari</dc:creator>
  <cp:keywords/>
  <dc:description/>
  <cp:lastModifiedBy>Boua Eleni</cp:lastModifiedBy>
  <cp:revision>40</cp:revision>
  <cp:lastPrinted>2025-11-06T12:09:00Z</cp:lastPrinted>
  <dcterms:created xsi:type="dcterms:W3CDTF">2025-11-12T13:26:00Z</dcterms:created>
  <dcterms:modified xsi:type="dcterms:W3CDTF">2025-11-13T06:49:00Z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0x01010013FDBD7A21A0DD43A2717F04FE1D49F4</vt:lpwstr>
  </property>
</Properties>
</file>