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5855EC6F" w:rsidR="00D22FFD" w:rsidRPr="00583088" w:rsidRDefault="00D22FFD" w:rsidP="00D22FFD">
      <w:pPr>
        <w:pStyle w:val="Web"/>
        <w:spacing w:before="0" w:beforeAutospacing="0" w:after="0" w:afterAutospacing="0" w:line="360" w:lineRule="auto"/>
        <w:jc w:val="right"/>
        <w:rPr>
          <w:lang w:val="el-GR"/>
        </w:rPr>
      </w:pPr>
      <w:r w:rsidRPr="004600EF">
        <w:rPr>
          <w:rStyle w:val="a5"/>
          <w:lang w:val="el-GR"/>
        </w:rPr>
        <w:t xml:space="preserve">Αθήνα, </w:t>
      </w:r>
      <w:r w:rsidR="00A25AE1">
        <w:rPr>
          <w:rStyle w:val="a5"/>
          <w:lang w:val="el-GR"/>
        </w:rPr>
        <w:t>4</w:t>
      </w:r>
      <w:r w:rsidR="00E41C5E">
        <w:rPr>
          <w:rStyle w:val="a5"/>
          <w:lang w:val="el-GR"/>
        </w:rPr>
        <w:t xml:space="preserve"> Δεκ</w:t>
      </w:r>
      <w:r w:rsidR="00D7190F" w:rsidRPr="00740EE1">
        <w:rPr>
          <w:rStyle w:val="a5"/>
          <w:lang w:val="el-GR"/>
        </w:rPr>
        <w:t>εμ</w:t>
      </w:r>
      <w:r w:rsidR="00171FFB" w:rsidRPr="00740EE1">
        <w:rPr>
          <w:rStyle w:val="a5"/>
          <w:lang w:val="el-GR"/>
        </w:rPr>
        <w:t>βρ</w:t>
      </w:r>
      <w:r w:rsidR="00171FFB">
        <w:rPr>
          <w:rStyle w:val="a5"/>
          <w:lang w:val="el-GR"/>
        </w:rPr>
        <w:t>ίου</w:t>
      </w:r>
      <w:r w:rsidR="00623084">
        <w:rPr>
          <w:rStyle w:val="a5"/>
          <w:lang w:val="el-GR"/>
        </w:rPr>
        <w:t xml:space="preserve"> 2025</w:t>
      </w:r>
    </w:p>
    <w:p w14:paraId="1B131302" w14:textId="10F1480A" w:rsidR="004A7232" w:rsidRDefault="004A7232" w:rsidP="0020787B">
      <w:pPr>
        <w:rPr>
          <w:b/>
          <w:bCs/>
        </w:rPr>
      </w:pPr>
    </w:p>
    <w:p w14:paraId="136568C0" w14:textId="34703B4F" w:rsidR="004A7232" w:rsidRDefault="004A7232" w:rsidP="004A7232"/>
    <w:p w14:paraId="42D56EE6" w14:textId="77777777" w:rsidR="004A7232" w:rsidRPr="004A7232" w:rsidRDefault="004A7232" w:rsidP="004A7232">
      <w:pPr>
        <w:spacing w:after="160" w:line="259" w:lineRule="auto"/>
        <w:jc w:val="center"/>
        <w:rPr>
          <w:rFonts w:eastAsia="Aptos"/>
          <w:b/>
          <w:bCs/>
          <w:kern w:val="2"/>
          <w:lang w:eastAsia="en-US"/>
        </w:rPr>
      </w:pPr>
      <w:r w:rsidRPr="004A7232">
        <w:rPr>
          <w:rFonts w:eastAsia="Aptos"/>
          <w:b/>
          <w:bCs/>
          <w:kern w:val="2"/>
          <w:lang w:eastAsia="en-US"/>
        </w:rPr>
        <w:t>«Το σκάνδαλο του ΟΠΕΚΕΠΕ δεν έχει τέλος για τη Νέα Δημοκρατία,</w:t>
      </w:r>
      <w:r w:rsidRPr="004A7232">
        <w:rPr>
          <w:rFonts w:eastAsia="Aptos"/>
          <w:b/>
          <w:bCs/>
          <w:kern w:val="2"/>
          <w:lang w:eastAsia="en-US"/>
        </w:rPr>
        <w:br/>
        <w:t>διότι αποτελεί αναπόσπαστο κομμάτι της διακυβέρνησής της»</w:t>
      </w:r>
    </w:p>
    <w:p w14:paraId="1F833AB6" w14:textId="4398B179" w:rsidR="004A7232" w:rsidRPr="004A7232" w:rsidRDefault="004A7232" w:rsidP="004A7232">
      <w:pPr>
        <w:spacing w:after="160" w:line="259" w:lineRule="auto"/>
        <w:jc w:val="center"/>
        <w:rPr>
          <w:rFonts w:eastAsia="Aptos"/>
          <w:b/>
          <w:bCs/>
          <w:kern w:val="2"/>
          <w:lang w:eastAsia="en-US"/>
        </w:rPr>
      </w:pPr>
      <w:r>
        <w:rPr>
          <w:rFonts w:eastAsia="Aptos"/>
          <w:b/>
          <w:bCs/>
          <w:kern w:val="2"/>
          <w:lang w:eastAsia="en-US"/>
        </w:rPr>
        <w:t xml:space="preserve">Ανακοίνωση </w:t>
      </w:r>
      <w:r w:rsidRPr="004A7232">
        <w:rPr>
          <w:rFonts w:eastAsia="Aptos"/>
          <w:b/>
          <w:bCs/>
          <w:kern w:val="2"/>
          <w:lang w:eastAsia="en-US"/>
        </w:rPr>
        <w:t>Τομέα Αγροτικής Ανάπτυξης και Τροφίμων ΠΑΣΟΚ-Κινήματος Αλλαγής</w:t>
      </w:r>
    </w:p>
    <w:p w14:paraId="0870103E" w14:textId="77777777" w:rsidR="004A7232" w:rsidRPr="004A7232" w:rsidRDefault="004A7232" w:rsidP="004A7232">
      <w:pPr>
        <w:spacing w:after="160" w:line="259" w:lineRule="auto"/>
        <w:jc w:val="center"/>
        <w:rPr>
          <w:rFonts w:eastAsia="Aptos"/>
          <w:b/>
          <w:bCs/>
          <w:kern w:val="2"/>
          <w:lang w:eastAsia="en-US"/>
        </w:rPr>
      </w:pPr>
    </w:p>
    <w:p w14:paraId="4E2BCFDF" w14:textId="77777777" w:rsidR="004A7232" w:rsidRPr="004A7232" w:rsidRDefault="004A7232" w:rsidP="004A7232">
      <w:pPr>
        <w:spacing w:after="160" w:line="259" w:lineRule="auto"/>
        <w:jc w:val="both"/>
        <w:rPr>
          <w:rFonts w:eastAsia="Aptos"/>
          <w:kern w:val="2"/>
          <w:lang w:eastAsia="en-US"/>
        </w:rPr>
      </w:pPr>
      <w:r w:rsidRPr="004A7232">
        <w:rPr>
          <w:rFonts w:eastAsia="Aptos"/>
          <w:kern w:val="2"/>
          <w:lang w:eastAsia="en-US"/>
        </w:rPr>
        <w:t xml:space="preserve">Η αντιπαραγωγική και αδικαιολόγητη αύξηση της κατανομής του Εθνικού Αποθέματος σε βοσκοτόπια </w:t>
      </w:r>
      <w:r w:rsidRPr="004A7232">
        <w:rPr>
          <w:rFonts w:eastAsia="Aptos"/>
          <w:b/>
          <w:bCs/>
          <w:kern w:val="2"/>
          <w:lang w:eastAsia="en-US"/>
        </w:rPr>
        <w:t>δεκαπλασιάστηκε</w:t>
      </w:r>
      <w:r w:rsidRPr="004A7232">
        <w:rPr>
          <w:rFonts w:eastAsia="Aptos"/>
          <w:kern w:val="2"/>
          <w:lang w:eastAsia="en-US"/>
        </w:rPr>
        <w:t xml:space="preserve"> μέσα σε δύο χρόνια, από το 2022 έως το 2024.</w:t>
      </w:r>
    </w:p>
    <w:p w14:paraId="01D28471" w14:textId="77777777" w:rsidR="004A7232" w:rsidRPr="004A7232" w:rsidRDefault="004A7232" w:rsidP="004A7232">
      <w:pPr>
        <w:spacing w:after="160" w:line="259" w:lineRule="auto"/>
        <w:jc w:val="both"/>
        <w:rPr>
          <w:rFonts w:eastAsia="Aptos"/>
          <w:kern w:val="2"/>
          <w:lang w:eastAsia="en-US"/>
        </w:rPr>
      </w:pPr>
      <w:r w:rsidRPr="004A7232">
        <w:rPr>
          <w:rFonts w:eastAsia="Aptos"/>
          <w:kern w:val="2"/>
          <w:lang w:eastAsia="en-US"/>
        </w:rPr>
        <w:t>Η Νέα Δημοκρατία, την ώρα που παγίδευε νέους ανθρώπους σε ένα σύστημα στρεβλώσεων και αδιαφάνειας, σήμερα τούς ζητά και τα… ρέστα.</w:t>
      </w:r>
    </w:p>
    <w:p w14:paraId="042FA225" w14:textId="77777777" w:rsidR="004A7232" w:rsidRPr="004A7232" w:rsidRDefault="004A7232" w:rsidP="004A7232">
      <w:pPr>
        <w:spacing w:after="160" w:line="259" w:lineRule="auto"/>
        <w:jc w:val="both"/>
        <w:rPr>
          <w:rFonts w:eastAsia="Aptos"/>
          <w:kern w:val="2"/>
          <w:u w:val="single"/>
          <w:lang w:eastAsia="en-US"/>
        </w:rPr>
      </w:pPr>
      <w:r w:rsidRPr="004A7232">
        <w:rPr>
          <w:rFonts w:eastAsia="Aptos"/>
          <w:kern w:val="2"/>
          <w:lang w:eastAsia="en-US"/>
        </w:rPr>
        <w:t xml:space="preserve">Από τα στοιχεία προκύπτει ξεκάθαρα ότι οι πολιτικές ηγεσίες του Υπουργείου Αγροτικής Ανάπτυξης και Τροφίμων υπό την κυβέρνηση της Νέας  Δημοκρατίας, </w:t>
      </w:r>
      <w:r w:rsidRPr="004A7232">
        <w:rPr>
          <w:rFonts w:eastAsia="Aptos"/>
          <w:b/>
          <w:kern w:val="2"/>
          <w:lang w:eastAsia="en-US"/>
        </w:rPr>
        <w:t xml:space="preserve">παρά το γνωστό πλέον σκάνδαλο των βοσκοτόπων, </w:t>
      </w:r>
      <w:r w:rsidRPr="004A7232">
        <w:rPr>
          <w:rFonts w:eastAsia="Aptos"/>
          <w:b/>
          <w:kern w:val="2"/>
          <w:u w:val="single"/>
          <w:lang w:eastAsia="en-US"/>
        </w:rPr>
        <w:t>συνέχισαν μέχρι και το 2024 να κατανέμουν Εθνικό Απόθεμα σε βοσκοτόπια με</w:t>
      </w:r>
      <w:r w:rsidRPr="004A7232">
        <w:rPr>
          <w:rFonts w:eastAsia="Aptos"/>
          <w:kern w:val="2"/>
          <w:u w:val="single"/>
          <w:lang w:eastAsia="en-US"/>
        </w:rPr>
        <w:t xml:space="preserve"> </w:t>
      </w:r>
      <w:r w:rsidRPr="004A7232">
        <w:rPr>
          <w:rFonts w:eastAsia="Aptos"/>
          <w:b/>
          <w:bCs/>
          <w:kern w:val="2"/>
          <w:u w:val="single"/>
          <w:lang w:eastAsia="en-US"/>
        </w:rPr>
        <w:t>εξωπραγματικούς αριθμούς</w:t>
      </w:r>
      <w:r w:rsidRPr="004A7232">
        <w:rPr>
          <w:rFonts w:eastAsia="Aptos"/>
          <w:kern w:val="2"/>
          <w:u w:val="single"/>
          <w:lang w:eastAsia="en-US"/>
        </w:rPr>
        <w:t>.</w:t>
      </w:r>
    </w:p>
    <w:p w14:paraId="326C16AC" w14:textId="77777777" w:rsidR="004A7232" w:rsidRPr="004A7232" w:rsidRDefault="004A7232" w:rsidP="004A7232">
      <w:pPr>
        <w:spacing w:after="160" w:line="259" w:lineRule="auto"/>
        <w:jc w:val="both"/>
        <w:rPr>
          <w:rFonts w:eastAsia="Aptos"/>
          <w:kern w:val="2"/>
          <w:lang w:eastAsia="en-US"/>
        </w:rPr>
      </w:pPr>
      <w:r w:rsidRPr="004A7232">
        <w:rPr>
          <w:rFonts w:eastAsia="Aptos"/>
          <w:kern w:val="2"/>
          <w:lang w:eastAsia="en-US"/>
        </w:rPr>
        <w:t xml:space="preserve">Ενδεικτικά, ενώ το 2022 η κατανομή  Εθνικού Αποθέματος σε βοσκοτόπια χωρίς ζώα είχε περιοριστεί στα 48.000 στρέμματα, </w:t>
      </w:r>
      <w:r w:rsidRPr="004A7232">
        <w:rPr>
          <w:rFonts w:eastAsia="Aptos"/>
          <w:b/>
          <w:kern w:val="2"/>
          <w:lang w:eastAsia="en-US"/>
        </w:rPr>
        <w:t>τα δύο επόμενα χρόνια δεκαπλασιάσθηκε πάλι και  εκτοξεύτηκε σχεδόν στα</w:t>
      </w:r>
      <w:r w:rsidRPr="004A7232">
        <w:rPr>
          <w:rFonts w:eastAsia="Aptos"/>
          <w:kern w:val="2"/>
          <w:lang w:eastAsia="en-US"/>
        </w:rPr>
        <w:t xml:space="preserve"> </w:t>
      </w:r>
      <w:r w:rsidRPr="004A7232">
        <w:rPr>
          <w:rFonts w:eastAsia="Aptos"/>
          <w:b/>
          <w:bCs/>
          <w:kern w:val="2"/>
          <w:lang w:eastAsia="en-US"/>
        </w:rPr>
        <w:t>500.000 στρέμματα</w:t>
      </w:r>
      <w:r w:rsidRPr="004A7232">
        <w:rPr>
          <w:rFonts w:eastAsia="Aptos"/>
          <w:kern w:val="2"/>
          <w:lang w:eastAsia="en-US"/>
        </w:rPr>
        <w:t>.</w:t>
      </w:r>
    </w:p>
    <w:p w14:paraId="77AE9BEA" w14:textId="77777777" w:rsidR="004A7232" w:rsidRPr="004A7232" w:rsidRDefault="004A7232" w:rsidP="004A7232">
      <w:pPr>
        <w:spacing w:after="160" w:line="259" w:lineRule="auto"/>
        <w:jc w:val="both"/>
        <w:rPr>
          <w:rFonts w:eastAsia="Aptos"/>
          <w:kern w:val="2"/>
          <w:lang w:eastAsia="en-US"/>
        </w:rPr>
      </w:pPr>
      <w:r w:rsidRPr="004A7232">
        <w:rPr>
          <w:rFonts w:eastAsia="Aptos"/>
          <w:kern w:val="2"/>
          <w:lang w:eastAsia="en-US"/>
        </w:rPr>
        <w:t xml:space="preserve">Η αύξηση αυτή δεν ήταν ούτε τυχαία ούτε τεχνικό λάθος· ήταν </w:t>
      </w:r>
      <w:r w:rsidRPr="004A7232">
        <w:rPr>
          <w:rFonts w:eastAsia="Aptos"/>
          <w:b/>
          <w:bCs/>
          <w:kern w:val="2"/>
          <w:lang w:eastAsia="en-US"/>
        </w:rPr>
        <w:t>κατευθυνόμενη</w:t>
      </w:r>
      <w:r w:rsidRPr="004A7232">
        <w:rPr>
          <w:rFonts w:eastAsia="Aptos"/>
          <w:kern w:val="2"/>
          <w:lang w:eastAsia="en-US"/>
        </w:rPr>
        <w:t xml:space="preserve"> και εξυπηρετούσε πελατειακές πρακτικές της Νέας Δημοκρατίας.</w:t>
      </w:r>
    </w:p>
    <w:p w14:paraId="00A04FFE" w14:textId="77777777" w:rsidR="004A7232" w:rsidRPr="004A7232" w:rsidRDefault="004A7232" w:rsidP="004A7232">
      <w:pPr>
        <w:spacing w:after="160" w:line="259" w:lineRule="auto"/>
        <w:jc w:val="both"/>
        <w:rPr>
          <w:rFonts w:eastAsia="Aptos"/>
          <w:kern w:val="2"/>
          <w:lang w:eastAsia="en-US"/>
        </w:rPr>
      </w:pPr>
      <w:r w:rsidRPr="004A7232">
        <w:rPr>
          <w:rFonts w:eastAsia="Aptos"/>
          <w:kern w:val="2"/>
          <w:lang w:eastAsia="en-US"/>
        </w:rPr>
        <w:t>Έτσι, χορηγήθηκε Εθνικό Απόθεμα σε πολλούς νέους αγρότες και κτηνοτρόφους, τους οποίους η κυβέρνηση εγκλώβισε για ψηφοθηρικούς λόγους. Σήμερα, οι ίδιοι αυτοί άνθρωποι βρίσκονται αντιμέτωποι με την άρνηση του υπουργείου και του ΟΠΕΚΕΠΕ να τους κατανείμει βοσκότοπο, λόγω του νέου τρόπου εφαρμογής της «τεχνικής λύσης».</w:t>
      </w:r>
    </w:p>
    <w:p w14:paraId="21297567" w14:textId="77777777" w:rsidR="004A7232" w:rsidRPr="004A7232" w:rsidRDefault="004A7232" w:rsidP="004A7232">
      <w:pPr>
        <w:spacing w:after="160" w:line="259" w:lineRule="auto"/>
        <w:jc w:val="both"/>
        <w:rPr>
          <w:rFonts w:eastAsia="Aptos"/>
          <w:kern w:val="2"/>
          <w:lang w:eastAsia="en-US"/>
        </w:rPr>
      </w:pPr>
      <w:r w:rsidRPr="004A7232">
        <w:rPr>
          <w:rFonts w:eastAsia="Aptos"/>
          <w:kern w:val="2"/>
          <w:lang w:eastAsia="en-US"/>
        </w:rPr>
        <w:t xml:space="preserve">Η επιμελής απόκρυψη των σχετικών στοιχείων αποκαλύπτει το μέγεθος της </w:t>
      </w:r>
      <w:r w:rsidRPr="004A7232">
        <w:rPr>
          <w:rFonts w:eastAsia="Aptos"/>
          <w:b/>
          <w:bCs/>
          <w:kern w:val="2"/>
          <w:lang w:eastAsia="en-US"/>
        </w:rPr>
        <w:t>αδιαφάνειας</w:t>
      </w:r>
      <w:r w:rsidRPr="004A7232">
        <w:rPr>
          <w:rFonts w:eastAsia="Aptos"/>
          <w:kern w:val="2"/>
          <w:lang w:eastAsia="en-US"/>
        </w:rPr>
        <w:t xml:space="preserve">, της </w:t>
      </w:r>
      <w:r w:rsidRPr="004A7232">
        <w:rPr>
          <w:rFonts w:eastAsia="Aptos"/>
          <w:b/>
          <w:bCs/>
          <w:kern w:val="2"/>
          <w:lang w:eastAsia="en-US"/>
        </w:rPr>
        <w:t>ανευθυνότητας</w:t>
      </w:r>
      <w:r w:rsidRPr="004A7232">
        <w:rPr>
          <w:rFonts w:eastAsia="Aptos"/>
          <w:kern w:val="2"/>
          <w:lang w:eastAsia="en-US"/>
        </w:rPr>
        <w:t xml:space="preserve"> και του </w:t>
      </w:r>
      <w:r w:rsidRPr="004A7232">
        <w:rPr>
          <w:rFonts w:eastAsia="Aptos"/>
          <w:b/>
          <w:bCs/>
          <w:kern w:val="2"/>
          <w:lang w:eastAsia="en-US"/>
        </w:rPr>
        <w:t>καιροσκοπισμού</w:t>
      </w:r>
      <w:r w:rsidRPr="004A7232">
        <w:rPr>
          <w:rFonts w:eastAsia="Aptos"/>
          <w:kern w:val="2"/>
          <w:lang w:eastAsia="en-US"/>
        </w:rPr>
        <w:t xml:space="preserve"> του λεγόμενου «επιτελικού κράτους». Ένα κράτος που, με συνεχείς αστοχίες και χειρισμούς, έχει εξαντλήσει την υπομονή και έχει εξοργίσει τον αγροτικό και κτηνοτροφικό κόσμο, στερώντας του τις ενισχύσεις που έχει απόλυτη ανάγκη για να επιβιώσει.</w:t>
      </w:r>
    </w:p>
    <w:p w14:paraId="50A009F5" w14:textId="6E44EAC1" w:rsidR="005B7CFD" w:rsidRDefault="004A7232" w:rsidP="004A7232">
      <w:pPr>
        <w:spacing w:after="160" w:line="259" w:lineRule="auto"/>
        <w:jc w:val="both"/>
        <w:rPr>
          <w:rFonts w:eastAsia="Aptos"/>
          <w:kern w:val="2"/>
          <w:lang w:eastAsia="en-US"/>
        </w:rPr>
      </w:pPr>
      <w:r w:rsidRPr="004A7232">
        <w:rPr>
          <w:rFonts w:eastAsia="Aptos"/>
          <w:kern w:val="2"/>
          <w:lang w:eastAsia="en-US"/>
        </w:rPr>
        <w:t xml:space="preserve">Τέλος, όλα τα παραπάνω καταδεικνύουν ποιος βρίσκεται πίσω από το σκάνδαλο του ΟΠΕΚΕΠΕ και ποιος καλύπτει αυτό που η Ευρωπαϊκή Εισαγγελία περιγράφει στη δικογραφία που διαβιβάστηκε στη Βουλή ως </w:t>
      </w:r>
      <w:r w:rsidRPr="004A7232">
        <w:rPr>
          <w:rFonts w:eastAsia="Aptos"/>
          <w:b/>
          <w:bCs/>
          <w:kern w:val="2"/>
          <w:lang w:eastAsia="en-US"/>
        </w:rPr>
        <w:t>εγκληματική οργάνωση</w:t>
      </w:r>
      <w:r w:rsidRPr="004A7232">
        <w:rPr>
          <w:rFonts w:eastAsia="Aptos"/>
          <w:kern w:val="2"/>
          <w:lang w:eastAsia="en-US"/>
        </w:rPr>
        <w:t>.</w:t>
      </w:r>
    </w:p>
    <w:p w14:paraId="64EED30A" w14:textId="39231A3F" w:rsidR="00BE2540" w:rsidRDefault="00BE2540" w:rsidP="004A7232">
      <w:pPr>
        <w:spacing w:after="160" w:line="259" w:lineRule="auto"/>
        <w:jc w:val="both"/>
        <w:rPr>
          <w:rFonts w:eastAsia="Aptos"/>
          <w:kern w:val="2"/>
          <w:lang w:eastAsia="en-US"/>
        </w:rPr>
      </w:pPr>
    </w:p>
    <w:p w14:paraId="12B2C725" w14:textId="247F1223" w:rsidR="00BE2540" w:rsidRDefault="00BE2540" w:rsidP="004A7232">
      <w:pPr>
        <w:spacing w:after="160" w:line="259" w:lineRule="auto"/>
        <w:jc w:val="both"/>
        <w:rPr>
          <w:rFonts w:eastAsia="Aptos"/>
          <w:kern w:val="2"/>
          <w:lang w:eastAsia="en-US"/>
        </w:rPr>
      </w:pPr>
      <w:r>
        <w:rPr>
          <w:rFonts w:eastAsia="Aptos"/>
          <w:noProof/>
          <w:kern w:val="2"/>
        </w:rPr>
        <w:lastRenderedPageBreak/>
        <w:drawing>
          <wp:inline distT="0" distB="0" distL="0" distR="0" wp14:anchorId="772FC331" wp14:editId="3F11FCD7">
            <wp:extent cx="6134100" cy="3489161"/>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0893" cy="3498713"/>
                    </a:xfrm>
                    <a:prstGeom prst="rect">
                      <a:avLst/>
                    </a:prstGeom>
                    <a:noFill/>
                  </pic:spPr>
                </pic:pic>
              </a:graphicData>
            </a:graphic>
          </wp:inline>
        </w:drawing>
      </w:r>
      <w:bookmarkStart w:id="0" w:name="_GoBack"/>
      <w:bookmarkEnd w:id="0"/>
    </w:p>
    <w:p w14:paraId="39E77F30" w14:textId="490A1BF6" w:rsidR="00BE2540" w:rsidRDefault="00BE2540" w:rsidP="004A7232">
      <w:pPr>
        <w:spacing w:after="160" w:line="259" w:lineRule="auto"/>
        <w:jc w:val="both"/>
        <w:rPr>
          <w:rFonts w:eastAsia="Aptos"/>
          <w:kern w:val="2"/>
          <w:lang w:eastAsia="en-US"/>
        </w:rPr>
      </w:pPr>
    </w:p>
    <w:p w14:paraId="23DF9AE3" w14:textId="5C3D7A69" w:rsidR="00BE2540" w:rsidRPr="004A7232" w:rsidRDefault="00BE2540" w:rsidP="004A7232">
      <w:pPr>
        <w:spacing w:after="160" w:line="259" w:lineRule="auto"/>
        <w:jc w:val="both"/>
        <w:rPr>
          <w:rFonts w:eastAsia="Aptos"/>
          <w:kern w:val="2"/>
          <w:lang w:eastAsia="en-US"/>
        </w:rPr>
      </w:pPr>
      <w:r>
        <w:rPr>
          <w:rFonts w:eastAsia="Aptos"/>
          <w:noProof/>
          <w:kern w:val="2"/>
        </w:rPr>
        <w:drawing>
          <wp:inline distT="0" distB="0" distL="0" distR="0" wp14:anchorId="14DF3750" wp14:editId="5664A672">
            <wp:extent cx="6148783" cy="3390900"/>
            <wp:effectExtent l="0" t="0" r="444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4788" cy="3405241"/>
                    </a:xfrm>
                    <a:prstGeom prst="rect">
                      <a:avLst/>
                    </a:prstGeom>
                    <a:noFill/>
                  </pic:spPr>
                </pic:pic>
              </a:graphicData>
            </a:graphic>
          </wp:inline>
        </w:drawing>
      </w:r>
    </w:p>
    <w:sectPr w:rsidR="00BE2540" w:rsidRPr="004A7232"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336AF"/>
    <w:rsid w:val="00135DD7"/>
    <w:rsid w:val="00145971"/>
    <w:rsid w:val="0014613F"/>
    <w:rsid w:val="001461C8"/>
    <w:rsid w:val="00166273"/>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1A5D"/>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A7232"/>
    <w:rsid w:val="004B43A0"/>
    <w:rsid w:val="004B7197"/>
    <w:rsid w:val="004C2111"/>
    <w:rsid w:val="004C2C3F"/>
    <w:rsid w:val="004D32F3"/>
    <w:rsid w:val="004E4F76"/>
    <w:rsid w:val="004F2891"/>
    <w:rsid w:val="004F461A"/>
    <w:rsid w:val="004F6769"/>
    <w:rsid w:val="00505F78"/>
    <w:rsid w:val="00510DC2"/>
    <w:rsid w:val="005128F1"/>
    <w:rsid w:val="005147E4"/>
    <w:rsid w:val="00533641"/>
    <w:rsid w:val="0053519E"/>
    <w:rsid w:val="00537307"/>
    <w:rsid w:val="00573DAD"/>
    <w:rsid w:val="005A1A27"/>
    <w:rsid w:val="005A26C8"/>
    <w:rsid w:val="005A7022"/>
    <w:rsid w:val="005A77ED"/>
    <w:rsid w:val="005B7BED"/>
    <w:rsid w:val="005B7CFD"/>
    <w:rsid w:val="005C50CB"/>
    <w:rsid w:val="005D2117"/>
    <w:rsid w:val="005E785A"/>
    <w:rsid w:val="005F0C0F"/>
    <w:rsid w:val="00606816"/>
    <w:rsid w:val="006113A8"/>
    <w:rsid w:val="00623084"/>
    <w:rsid w:val="00624696"/>
    <w:rsid w:val="006247BF"/>
    <w:rsid w:val="00642FC0"/>
    <w:rsid w:val="006530B3"/>
    <w:rsid w:val="00670533"/>
    <w:rsid w:val="00684933"/>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51CBD"/>
    <w:rsid w:val="00880B7C"/>
    <w:rsid w:val="008837FA"/>
    <w:rsid w:val="00885981"/>
    <w:rsid w:val="00887A23"/>
    <w:rsid w:val="008B6120"/>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F13AA"/>
    <w:rsid w:val="009F3592"/>
    <w:rsid w:val="009F36B9"/>
    <w:rsid w:val="00A030B8"/>
    <w:rsid w:val="00A1268D"/>
    <w:rsid w:val="00A25AE1"/>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2015A"/>
    <w:rsid w:val="00B2308D"/>
    <w:rsid w:val="00B31621"/>
    <w:rsid w:val="00B35697"/>
    <w:rsid w:val="00B4266F"/>
    <w:rsid w:val="00B435FE"/>
    <w:rsid w:val="00B4691C"/>
    <w:rsid w:val="00B5040E"/>
    <w:rsid w:val="00B609EC"/>
    <w:rsid w:val="00B8125C"/>
    <w:rsid w:val="00B82957"/>
    <w:rsid w:val="00B861BC"/>
    <w:rsid w:val="00B9241B"/>
    <w:rsid w:val="00BA7784"/>
    <w:rsid w:val="00BB7992"/>
    <w:rsid w:val="00BC372C"/>
    <w:rsid w:val="00BC4329"/>
    <w:rsid w:val="00BC66B4"/>
    <w:rsid w:val="00BC69CE"/>
    <w:rsid w:val="00BD0C71"/>
    <w:rsid w:val="00BD6DC1"/>
    <w:rsid w:val="00BE2540"/>
    <w:rsid w:val="00BF5727"/>
    <w:rsid w:val="00C125AC"/>
    <w:rsid w:val="00C24235"/>
    <w:rsid w:val="00C265A7"/>
    <w:rsid w:val="00C27F85"/>
    <w:rsid w:val="00C36041"/>
    <w:rsid w:val="00C605C5"/>
    <w:rsid w:val="00C8170F"/>
    <w:rsid w:val="00CB4255"/>
    <w:rsid w:val="00CB546E"/>
    <w:rsid w:val="00CC5F94"/>
    <w:rsid w:val="00CD54E7"/>
    <w:rsid w:val="00D000A7"/>
    <w:rsid w:val="00D07659"/>
    <w:rsid w:val="00D16407"/>
    <w:rsid w:val="00D22FFD"/>
    <w:rsid w:val="00D353CC"/>
    <w:rsid w:val="00D51855"/>
    <w:rsid w:val="00D7190F"/>
    <w:rsid w:val="00D95325"/>
    <w:rsid w:val="00DA3B5F"/>
    <w:rsid w:val="00DA47E1"/>
    <w:rsid w:val="00DD1408"/>
    <w:rsid w:val="00DE1B01"/>
    <w:rsid w:val="00DF5C75"/>
    <w:rsid w:val="00DF7F8A"/>
    <w:rsid w:val="00E33C67"/>
    <w:rsid w:val="00E41C5E"/>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373224">
      <w:bodyDiv w:val="1"/>
      <w:marLeft w:val="0"/>
      <w:marRight w:val="0"/>
      <w:marTop w:val="0"/>
      <w:marBottom w:val="0"/>
      <w:divBdr>
        <w:top w:val="none" w:sz="0" w:space="0" w:color="auto"/>
        <w:left w:val="none" w:sz="0" w:space="0" w:color="auto"/>
        <w:bottom w:val="none" w:sz="0" w:space="0" w:color="auto"/>
        <w:right w:val="none" w:sz="0" w:space="0" w:color="auto"/>
      </w:divBdr>
      <w:divsChild>
        <w:div w:id="151213879">
          <w:marLeft w:val="0"/>
          <w:marRight w:val="0"/>
          <w:marTop w:val="0"/>
          <w:marBottom w:val="0"/>
          <w:divBdr>
            <w:top w:val="none" w:sz="0" w:space="0" w:color="auto"/>
            <w:left w:val="none" w:sz="0" w:space="0" w:color="auto"/>
            <w:bottom w:val="none" w:sz="0" w:space="0" w:color="auto"/>
            <w:right w:val="none" w:sz="0" w:space="0" w:color="auto"/>
          </w:divBdr>
        </w:div>
        <w:div w:id="1829133315">
          <w:marLeft w:val="0"/>
          <w:marRight w:val="0"/>
          <w:marTop w:val="0"/>
          <w:marBottom w:val="0"/>
          <w:divBdr>
            <w:top w:val="none" w:sz="0" w:space="0" w:color="auto"/>
            <w:left w:val="none" w:sz="0" w:space="0" w:color="auto"/>
            <w:bottom w:val="none" w:sz="0" w:space="0" w:color="auto"/>
            <w:right w:val="none" w:sz="0" w:space="0" w:color="auto"/>
          </w:divBdr>
        </w:div>
        <w:div w:id="361127661">
          <w:marLeft w:val="0"/>
          <w:marRight w:val="0"/>
          <w:marTop w:val="0"/>
          <w:marBottom w:val="0"/>
          <w:divBdr>
            <w:top w:val="none" w:sz="0" w:space="0" w:color="auto"/>
            <w:left w:val="none" w:sz="0" w:space="0" w:color="auto"/>
            <w:bottom w:val="none" w:sz="0" w:space="0" w:color="auto"/>
            <w:right w:val="none" w:sz="0" w:space="0" w:color="auto"/>
          </w:divBdr>
        </w:div>
        <w:div w:id="1158155774">
          <w:marLeft w:val="0"/>
          <w:marRight w:val="0"/>
          <w:marTop w:val="0"/>
          <w:marBottom w:val="0"/>
          <w:divBdr>
            <w:top w:val="none" w:sz="0" w:space="0" w:color="auto"/>
            <w:left w:val="none" w:sz="0" w:space="0" w:color="auto"/>
            <w:bottom w:val="none" w:sz="0" w:space="0" w:color="auto"/>
            <w:right w:val="none" w:sz="0" w:space="0" w:color="auto"/>
          </w:divBdr>
        </w:div>
        <w:div w:id="1217620031">
          <w:marLeft w:val="0"/>
          <w:marRight w:val="0"/>
          <w:marTop w:val="0"/>
          <w:marBottom w:val="0"/>
          <w:divBdr>
            <w:top w:val="none" w:sz="0" w:space="0" w:color="auto"/>
            <w:left w:val="none" w:sz="0" w:space="0" w:color="auto"/>
            <w:bottom w:val="none" w:sz="0" w:space="0" w:color="auto"/>
            <w:right w:val="none" w:sz="0" w:space="0" w:color="auto"/>
          </w:divBdr>
        </w:div>
        <w:div w:id="1725593978">
          <w:marLeft w:val="0"/>
          <w:marRight w:val="0"/>
          <w:marTop w:val="0"/>
          <w:marBottom w:val="0"/>
          <w:divBdr>
            <w:top w:val="none" w:sz="0" w:space="0" w:color="auto"/>
            <w:left w:val="none" w:sz="0" w:space="0" w:color="auto"/>
            <w:bottom w:val="none" w:sz="0" w:space="0" w:color="auto"/>
            <w:right w:val="none" w:sz="0" w:space="0" w:color="auto"/>
          </w:divBdr>
        </w:div>
        <w:div w:id="1591038526">
          <w:marLeft w:val="0"/>
          <w:marRight w:val="0"/>
          <w:marTop w:val="0"/>
          <w:marBottom w:val="0"/>
          <w:divBdr>
            <w:top w:val="none" w:sz="0" w:space="0" w:color="auto"/>
            <w:left w:val="none" w:sz="0" w:space="0" w:color="auto"/>
            <w:bottom w:val="none" w:sz="0" w:space="0" w:color="auto"/>
            <w:right w:val="none" w:sz="0" w:space="0" w:color="auto"/>
          </w:divBdr>
        </w:div>
        <w:div w:id="1033460665">
          <w:marLeft w:val="0"/>
          <w:marRight w:val="0"/>
          <w:marTop w:val="0"/>
          <w:marBottom w:val="0"/>
          <w:divBdr>
            <w:top w:val="none" w:sz="0" w:space="0" w:color="auto"/>
            <w:left w:val="none" w:sz="0" w:space="0" w:color="auto"/>
            <w:bottom w:val="none" w:sz="0" w:space="0" w:color="auto"/>
            <w:right w:val="none" w:sz="0" w:space="0" w:color="auto"/>
          </w:divBdr>
        </w:div>
        <w:div w:id="1517883868">
          <w:marLeft w:val="0"/>
          <w:marRight w:val="0"/>
          <w:marTop w:val="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29960314">
      <w:bodyDiv w:val="1"/>
      <w:marLeft w:val="0"/>
      <w:marRight w:val="0"/>
      <w:marTop w:val="0"/>
      <w:marBottom w:val="0"/>
      <w:divBdr>
        <w:top w:val="none" w:sz="0" w:space="0" w:color="auto"/>
        <w:left w:val="none" w:sz="0" w:space="0" w:color="auto"/>
        <w:bottom w:val="none" w:sz="0" w:space="0" w:color="auto"/>
        <w:right w:val="none" w:sz="0" w:space="0" w:color="auto"/>
      </w:divBdr>
      <w:divsChild>
        <w:div w:id="1362512817">
          <w:marLeft w:val="0"/>
          <w:marRight w:val="0"/>
          <w:marTop w:val="0"/>
          <w:marBottom w:val="0"/>
          <w:divBdr>
            <w:top w:val="none" w:sz="0" w:space="0" w:color="auto"/>
            <w:left w:val="none" w:sz="0" w:space="0" w:color="auto"/>
            <w:bottom w:val="none" w:sz="0" w:space="0" w:color="auto"/>
            <w:right w:val="none" w:sz="0" w:space="0" w:color="auto"/>
          </w:divBdr>
        </w:div>
        <w:div w:id="1817411251">
          <w:marLeft w:val="0"/>
          <w:marRight w:val="0"/>
          <w:marTop w:val="0"/>
          <w:marBottom w:val="0"/>
          <w:divBdr>
            <w:top w:val="none" w:sz="0" w:space="0" w:color="auto"/>
            <w:left w:val="none" w:sz="0" w:space="0" w:color="auto"/>
            <w:bottom w:val="none" w:sz="0" w:space="0" w:color="auto"/>
            <w:right w:val="none" w:sz="0" w:space="0" w:color="auto"/>
          </w:divBdr>
        </w:div>
        <w:div w:id="1157109354">
          <w:marLeft w:val="0"/>
          <w:marRight w:val="0"/>
          <w:marTop w:val="0"/>
          <w:marBottom w:val="0"/>
          <w:divBdr>
            <w:top w:val="none" w:sz="0" w:space="0" w:color="auto"/>
            <w:left w:val="none" w:sz="0" w:space="0" w:color="auto"/>
            <w:bottom w:val="none" w:sz="0" w:space="0" w:color="auto"/>
            <w:right w:val="none" w:sz="0" w:space="0" w:color="auto"/>
          </w:divBdr>
        </w:div>
        <w:div w:id="2132505322">
          <w:marLeft w:val="0"/>
          <w:marRight w:val="0"/>
          <w:marTop w:val="0"/>
          <w:marBottom w:val="0"/>
          <w:divBdr>
            <w:top w:val="none" w:sz="0" w:space="0" w:color="auto"/>
            <w:left w:val="none" w:sz="0" w:space="0" w:color="auto"/>
            <w:bottom w:val="none" w:sz="0" w:space="0" w:color="auto"/>
            <w:right w:val="none" w:sz="0" w:space="0" w:color="auto"/>
          </w:divBdr>
        </w:div>
        <w:div w:id="812210458">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DED4-D45D-446F-ABA0-9B5AB8C9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1734</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3</cp:revision>
  <dcterms:created xsi:type="dcterms:W3CDTF">2025-12-04T14:40:00Z</dcterms:created>
  <dcterms:modified xsi:type="dcterms:W3CDTF">2025-12-04T14:42:00Z</dcterms:modified>
</cp:coreProperties>
</file>