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4D32F3" w:rsidRPr="00583088" w:rsidRDefault="00A60260" w:rsidP="00583088">
      <w:pPr>
        <w:pStyle w:val="NormalWeb"/>
        <w:spacing w:before="0" w:beforeAutospacing="0" w:after="0" w:afterAutospacing="0" w:line="360" w:lineRule="auto"/>
        <w:jc w:val="right"/>
        <w:rPr>
          <w:lang w:val="el-GR"/>
        </w:rPr>
      </w:pPr>
      <w:r>
        <w:rPr>
          <w:rStyle w:val="Strong"/>
          <w:lang w:val="el-GR"/>
        </w:rPr>
        <w:t xml:space="preserve"> </w:t>
      </w:r>
    </w:p>
    <w:p w:rsidR="00A60260" w:rsidRPr="00A35F81" w:rsidRDefault="00A60260" w:rsidP="00FC485D">
      <w:pPr>
        <w:pStyle w:val="NormalWeb"/>
        <w:spacing w:before="0" w:beforeAutospacing="0" w:after="0" w:afterAutospacing="0" w:line="360" w:lineRule="auto"/>
        <w:jc w:val="right"/>
        <w:rPr>
          <w:lang w:val="el-GR"/>
        </w:rPr>
      </w:pPr>
      <w:r w:rsidRPr="00A35F81">
        <w:rPr>
          <w:rStyle w:val="Strong"/>
          <w:lang w:val="el-GR"/>
        </w:rPr>
        <w:t>Αθήνα, 2</w:t>
      </w:r>
      <w:r w:rsidR="00D5630A" w:rsidRPr="00A35F81">
        <w:rPr>
          <w:rStyle w:val="Strong"/>
          <w:lang w:val="el-GR"/>
        </w:rPr>
        <w:t>3</w:t>
      </w:r>
      <w:r w:rsidRPr="00A35F81">
        <w:rPr>
          <w:rStyle w:val="Strong"/>
          <w:lang w:val="el-GR"/>
        </w:rPr>
        <w:t xml:space="preserve"> Ιανουαρίου</w:t>
      </w:r>
      <w:r w:rsidRPr="00A35F81">
        <w:rPr>
          <w:rStyle w:val="Strong"/>
        </w:rPr>
        <w:t> </w:t>
      </w:r>
      <w:r w:rsidRPr="00A35F81">
        <w:rPr>
          <w:rStyle w:val="Strong"/>
          <w:lang w:val="el-GR"/>
        </w:rPr>
        <w:t>202</w:t>
      </w:r>
      <w:r w:rsidR="00FC485D" w:rsidRPr="00A35F81">
        <w:rPr>
          <w:rStyle w:val="Strong"/>
          <w:lang w:val="el-GR"/>
        </w:rPr>
        <w:t>6</w:t>
      </w:r>
    </w:p>
    <w:p w:rsidR="00D5630A" w:rsidRPr="00A35F81" w:rsidRDefault="00A35F81" w:rsidP="00D5630A">
      <w:pPr>
        <w:jc w:val="both"/>
      </w:pPr>
      <w:r w:rsidRPr="00A35F81">
        <w:rPr>
          <w:b/>
          <w:bCs/>
        </w:rPr>
        <w:t xml:space="preserve"> </w:t>
      </w:r>
    </w:p>
    <w:p w:rsidR="00A35F81" w:rsidRPr="00A35F81" w:rsidRDefault="00A35F81" w:rsidP="00A35F81">
      <w:pPr>
        <w:ind w:right="6"/>
        <w:jc w:val="center"/>
        <w:rPr>
          <w:rFonts w:eastAsia="Arial"/>
          <w:b/>
          <w:bCs/>
        </w:rPr>
      </w:pPr>
      <w:r w:rsidRPr="00A35F81">
        <w:rPr>
          <w:rFonts w:eastAsia="Arial"/>
          <w:b/>
          <w:bCs/>
        </w:rPr>
        <w:t>Ερώτηση Βουλευτών ΠΑΣΟΚ : Δεσμεύεται η Κυβέρνηση ότι θα υλοποιήσει τη θεσμοθετημένη στήριξη του Ασφαλιστικού Συστήματος κατά την υλοποίηση των συμφωνιών έρευνας και εξόρυξης υδρογονανθράκων;</w:t>
      </w:r>
    </w:p>
    <w:p w:rsidR="00A35F81" w:rsidRPr="00A35F81" w:rsidRDefault="00A35F81" w:rsidP="00A35F81">
      <w:pPr>
        <w:ind w:right="6"/>
        <w:jc w:val="both"/>
        <w:rPr>
          <w:rFonts w:eastAsia="Arial"/>
          <w:b/>
          <w:bCs/>
        </w:rPr>
      </w:pPr>
    </w:p>
    <w:p w:rsidR="00A35F81" w:rsidRPr="00A35F81" w:rsidRDefault="00A35F81" w:rsidP="00A35F81">
      <w:pPr>
        <w:ind w:right="6"/>
        <w:jc w:val="both"/>
        <w:rPr>
          <w:rFonts w:eastAsia="Arial"/>
        </w:rPr>
      </w:pPr>
      <w:r w:rsidRPr="00A35F81">
        <w:rPr>
          <w:rFonts w:eastAsia="Arial"/>
        </w:rPr>
        <w:t xml:space="preserve">Οι βουλευτές του ΠΑΣΟΚ καλούν την κυβέρνηση να εφαρμόσει τη νομοθετημένη στήριξη του ασφαλιστικού συστήματος με τα έσοδα από την εξόρυξη υδρογονανθράκων σε ερώτηση που κατέθεσαν προς τους υπουργούς Εθνικής Οικονομίας,  Περιβάλλοντος και Εργασίας και Κοινωνικής Ασφάλισης </w:t>
      </w:r>
    </w:p>
    <w:p w:rsidR="00A35F81" w:rsidRPr="00A35F81" w:rsidRDefault="00A35F81" w:rsidP="00A35F81">
      <w:pPr>
        <w:ind w:right="6"/>
        <w:jc w:val="center"/>
        <w:rPr>
          <w:rFonts w:eastAsia="Arial"/>
          <w:b/>
          <w:bCs/>
        </w:rPr>
      </w:pPr>
    </w:p>
    <w:p w:rsidR="00A35F81" w:rsidRPr="00A35F81" w:rsidRDefault="00A35F81" w:rsidP="00A35F81">
      <w:pPr>
        <w:widowControl w:val="0"/>
        <w:suppressAutoHyphens/>
        <w:autoSpaceDN w:val="0"/>
        <w:spacing w:before="240" w:after="240"/>
        <w:jc w:val="center"/>
        <w:textAlignment w:val="baseline"/>
        <w:rPr>
          <w:rStyle w:val="Emphasis"/>
          <w:rFonts w:eastAsia="Arial"/>
          <w:b/>
          <w:i w:val="0"/>
          <w:iCs w:val="0"/>
          <w:u w:val="single"/>
        </w:rPr>
      </w:pPr>
      <w:r w:rsidRPr="00A35F81">
        <w:rPr>
          <w:rFonts w:eastAsia="Arial"/>
          <w:b/>
          <w:u w:val="single"/>
        </w:rPr>
        <w:t>ΕΡΩΤΗΣΗ</w:t>
      </w:r>
    </w:p>
    <w:p w:rsidR="00A35F81" w:rsidRPr="00A35F81" w:rsidRDefault="00A35F81" w:rsidP="00A35F81">
      <w:pPr>
        <w:jc w:val="both"/>
        <w:rPr>
          <w:rStyle w:val="Emphasis"/>
          <w:b/>
          <w:bCs/>
          <w:i w:val="0"/>
        </w:rPr>
      </w:pPr>
    </w:p>
    <w:p w:rsidR="00A35F81" w:rsidRPr="00A35F81" w:rsidRDefault="00A35F81" w:rsidP="00A35F81">
      <w:pPr>
        <w:jc w:val="both"/>
        <w:rPr>
          <w:b/>
          <w:bCs/>
        </w:rPr>
      </w:pPr>
      <w:r w:rsidRPr="00A35F81">
        <w:rPr>
          <w:rStyle w:val="Emphasis"/>
          <w:b/>
          <w:bCs/>
          <w:i w:val="0"/>
        </w:rPr>
        <w:t>Προς</w:t>
      </w:r>
      <w:r w:rsidRPr="00A35F81">
        <w:rPr>
          <w:rStyle w:val="Emphasis"/>
          <w:b/>
          <w:bCs/>
        </w:rPr>
        <w:t xml:space="preserve">:    </w:t>
      </w:r>
      <w:r w:rsidRPr="00A35F81">
        <w:rPr>
          <w:b/>
          <w:bCs/>
        </w:rPr>
        <w:t>τον Υπουργό Εθνικής Οικονομίας και Οικονομικών</w:t>
      </w:r>
    </w:p>
    <w:p w:rsidR="00A35F81" w:rsidRPr="00A35F81" w:rsidRDefault="00A35F81" w:rsidP="00A35F81">
      <w:pPr>
        <w:jc w:val="both"/>
        <w:rPr>
          <w:b/>
          <w:bCs/>
        </w:rPr>
      </w:pPr>
      <w:r w:rsidRPr="00A35F81">
        <w:rPr>
          <w:b/>
          <w:bCs/>
        </w:rPr>
        <w:t xml:space="preserve">              </w:t>
      </w:r>
      <w:r w:rsidRPr="00A35F81">
        <w:rPr>
          <w:b/>
          <w:bCs/>
        </w:rPr>
        <w:t>τον Υπουργό Περιβάλλοντος και Ενέργειας</w:t>
      </w:r>
    </w:p>
    <w:p w:rsidR="00A35F81" w:rsidRPr="00A35F81" w:rsidRDefault="00A35F81" w:rsidP="00A35F81">
      <w:pPr>
        <w:jc w:val="both"/>
      </w:pPr>
      <w:r w:rsidRPr="00A35F81">
        <w:rPr>
          <w:b/>
          <w:bCs/>
        </w:rPr>
        <w:t xml:space="preserve">              </w:t>
      </w:r>
      <w:r w:rsidRPr="00A35F81">
        <w:rPr>
          <w:b/>
          <w:bCs/>
        </w:rPr>
        <w:t>την Υπουργό Εργασίας και Κοινωνικής Ασφάλισης</w:t>
      </w:r>
    </w:p>
    <w:p w:rsidR="00A35F81" w:rsidRPr="00A35F81" w:rsidRDefault="00A35F81" w:rsidP="00A35F81">
      <w:pPr>
        <w:jc w:val="both"/>
      </w:pPr>
    </w:p>
    <w:p w:rsidR="00A35F81" w:rsidRPr="00A35F81" w:rsidRDefault="00A35F81" w:rsidP="00A35F81">
      <w:pPr>
        <w:pStyle w:val="NormalWeb"/>
        <w:spacing w:before="120" w:beforeAutospacing="0" w:after="120" w:afterAutospacing="0"/>
        <w:jc w:val="both"/>
        <w:rPr>
          <w:b/>
          <w:i/>
          <w:lang w:val="el-GR"/>
        </w:rPr>
      </w:pPr>
      <w:r w:rsidRPr="00A35F81">
        <w:rPr>
          <w:rStyle w:val="Strong"/>
          <w:lang w:val="el-GR"/>
        </w:rPr>
        <w:t>Θέμα</w:t>
      </w:r>
      <w:r w:rsidRPr="00A35F81">
        <w:rPr>
          <w:b/>
          <w:bCs/>
          <w:lang w:val="el-GR"/>
        </w:rPr>
        <w:t>: Δεσμεύεται η Κυβέρνηση ότι θα υλοποιήσει την θεσμοθετημένη στήριξη του Ασφαλιστικού Συστήματος κατά την υλοποίησητων συμφωνιών έρευνας και εξόρυξης υδρογονανθράκων;</w:t>
      </w:r>
    </w:p>
    <w:p w:rsidR="00A35F81" w:rsidRPr="00A35F81" w:rsidRDefault="00A35F81" w:rsidP="00A35F81">
      <w:pPr>
        <w:spacing w:before="240" w:after="240"/>
        <w:jc w:val="both"/>
        <w:rPr>
          <w:bCs/>
        </w:rPr>
      </w:pPr>
      <w:r w:rsidRPr="00A35F81">
        <w:rPr>
          <w:bCs/>
        </w:rPr>
        <w:t>Με μήνυμά του στις 6 Νοεμβρίου 2025, ο Πρωθυπουργός χαρακτήρισε την επέκταση της δραστηριότητας του αμερικανικού ενεργειακού κολοσσού ExxonMobil ως «ένα νέο κεφάλαιο στην ενεργειακή ιστορία της Ελλάδας». Η επέκταση αυτή αφορά τη διεύρυνση της παρουσίας της εταιρείας πέραν των δύο θαλάσσιων οικοπέδων νότια και νοτιοδυτικά της Κρήτης, και συγκεκριμένα στο «Οικόπεδο 2» στο Βορειοδυτικό Ιόνιο, όπου η ExxonMobil συμμετέχει πλέον με ποσοστό 60% στην Κοινοπραξία Energean Hellas – HelleniQ Upstream, η οποία κατέχει τα δικαιώματα έρευνας. Ο Πρωθυπουργός σημείωσε ότι με τη νέα συμφωνία «</w:t>
      </w:r>
      <w:r w:rsidRPr="00A35F81">
        <w:rPr>
          <w:bCs/>
          <w:i/>
          <w:iCs/>
        </w:rPr>
        <w:t xml:space="preserve">η εταιρεία δεσμεύεται να προχωρήσει σε ερευνητική γεώτρηση άμεσα», </w:t>
      </w:r>
      <w:r w:rsidRPr="00A35F81">
        <w:rPr>
          <w:bCs/>
        </w:rPr>
        <w:t>ότι</w:t>
      </w:r>
      <w:r w:rsidRPr="00A35F81">
        <w:rPr>
          <w:bCs/>
          <w:i/>
          <w:iCs/>
        </w:rPr>
        <w:t>«είναι μία διαδικασία που μπορεί να ξεκινήσει σε ορίζοντα 18 μηνών</w:t>
      </w:r>
      <w:r w:rsidRPr="00A35F81">
        <w:rPr>
          <w:bCs/>
        </w:rPr>
        <w:t>» και ότι «</w:t>
      </w:r>
      <w:r w:rsidRPr="00A35F81">
        <w:rPr>
          <w:bCs/>
          <w:i/>
          <w:iCs/>
        </w:rPr>
        <w:t>είναι η πρώτη ερευνητική γεώτρηση στην πατρίδα μας εδώ και σχεδόν 40 χρόνια</w:t>
      </w:r>
      <w:r w:rsidRPr="00A35F81">
        <w:rPr>
          <w:bCs/>
        </w:rPr>
        <w:t>».</w:t>
      </w:r>
    </w:p>
    <w:p w:rsidR="00A35F81" w:rsidRPr="00A35F81" w:rsidRDefault="00A35F81" w:rsidP="00A35F81">
      <w:pPr>
        <w:spacing w:before="240" w:after="240"/>
        <w:jc w:val="both"/>
        <w:rPr>
          <w:bCs/>
        </w:rPr>
      </w:pPr>
      <w:r w:rsidRPr="00A35F81">
        <w:rPr>
          <w:bCs/>
        </w:rPr>
        <w:t>Στις 30 Νοεμβρίου2025 σε συνέντευξή του ο Υπουργός Περιβάλλοντος και Ενέργειαςεπιβεβαίωσε ότι-αφού είχαν υπογραφείαπό τον ίδιο τέσσερις Υπουργικές Αποφάσεις με τις οποίες ορίστηκαν ωςπροτιμητέοι επενδυτές οι κοινοπραξίες των ομίλων Chevron – Helleniq Energy για την παραχώρηση δικαιώματος έρευνας και εκμετάλλευσης υδρογονανθράκων στις θαλάσσιες περιοχές νοτίως της Πελοποννήσου(περιοχές «Α2» και «Νότια της Πελοποννήσου») και στις θαλάσσιες περιοχές νοτίως της Κρήτης (περιοχές «Νότια της Κρήτης 1» και «Νότια της Κρήτης 2»)- η σχετική σύμβαση κατατέθηκε στο Ελεγκτικό Συνέδριο και εκτίμησε ότι θα μπορούσε να εισαχθεί στηΒουλή τον Ιανουάριο του 2026, ανοίγοντας τον δρόμο ώστε «</w:t>
      </w:r>
      <w:r w:rsidRPr="00A35F81">
        <w:rPr>
          <w:bCs/>
          <w:i/>
          <w:iCs/>
        </w:rPr>
        <w:t xml:space="preserve">το 2026 να ξεκινήσουν οι πρώτες σεισμικές και </w:t>
      </w:r>
      <w:r w:rsidRPr="00A35F81">
        <w:rPr>
          <w:bCs/>
          <w:i/>
          <w:iCs/>
        </w:rPr>
        <w:lastRenderedPageBreak/>
        <w:t>γεωφυσικές έρευνες από την κοινοπραξία</w:t>
      </w:r>
      <w:r w:rsidRPr="00A35F81">
        <w:rPr>
          <w:bCs/>
        </w:rPr>
        <w:t>». Ο Υπουργός επίσης τόνισε ότι «</w:t>
      </w:r>
      <w:r w:rsidRPr="00A35F81">
        <w:rPr>
          <w:bCs/>
          <w:i/>
          <w:iCs/>
        </w:rPr>
        <w:t>[α]παιτείται η μέγιστη δυνατή εθνική συναίνεση στον τομέα της ανάπτυξης των υδρογονανθράκων.»</w:t>
      </w:r>
    </w:p>
    <w:p w:rsidR="00A35F81" w:rsidRPr="00A35F81" w:rsidRDefault="00A35F81" w:rsidP="00A35F81">
      <w:pPr>
        <w:spacing w:before="240" w:after="240"/>
        <w:jc w:val="both"/>
        <w:rPr>
          <w:bCs/>
        </w:rPr>
      </w:pPr>
      <w:r w:rsidRPr="00A35F81">
        <w:rPr>
          <w:bCs/>
        </w:rPr>
        <w:t>Το ΠΑΣΟΚείναι η παράταξη που πρώτη χάραξε μια ισορροπημένηεθνική πολιτική για ενεργειακό μείγμα που θα περιλάμβανε το φυσικό αέριο ως μεταβατικό καύσιμο και επενδύσεις στις ΑΠΕ σε συνθήκες ενεργειακής δημοκρατίας και από το 2011 με τον ν.4001/2011 είχε νομοθετήσει και χαρτογραφήσει τα απώτατα όρια της ελληνικής υφαλοκρηπίδας και ΑΟΖ με βάση το Δίκαιο της Θάλασσας (UNCLOS). Βάσει του νόμου αυτού προχώρησε στη συνέχεια την προκήρυξη θαλάσσιων οικοπέδων.</w:t>
      </w:r>
    </w:p>
    <w:p w:rsidR="00A35F81" w:rsidRPr="00A35F81" w:rsidRDefault="00A35F81" w:rsidP="00A35F81">
      <w:pPr>
        <w:spacing w:before="240" w:after="240"/>
        <w:jc w:val="both"/>
      </w:pPr>
      <w:r w:rsidRPr="00A35F81">
        <w:rPr>
          <w:bCs/>
        </w:rPr>
        <w:t xml:space="preserve">Γι΄ αυτό έχει το δικαίωμα να κρίνει </w:t>
      </w:r>
      <w:r w:rsidRPr="00A35F81">
        <w:t>την αβελτηρία των Κυβερνήσεων ειδικά μετά το 2014 στο πεδίο της αξιοποίησης υδρογονανθράκων. Επίσης έχει το δικαίωμα να κρίνει αυστηρά την επαμφοτερίζουσα και υποκριτική στάση του Πρωθυπουργού και της Κυβέρνησης της Νέας Δημοκρατίας που το 2019, φορώντας όψιμα «ένα πράσινο προσωπείο» διακήρυξαν ότι οι υδρογονάνθρακες ανήκουν στο παρελθόν επιταχύνοντας το κλείσιμο των λιγνιτικών μονάδων στη Δυτική Μακεδονία και τη Μεγαλόπολη, πολύ πριν τους ευρωπαϊκούς στόχους, έφτασαν το 2025 να ανακοινώνουν σε φιέστες ενεργειακές συμφωνίεςπου εμφανίστηκαν ξαφνικά, χωρίς καμία ενημέρωση και διαβούλευση.</w:t>
      </w:r>
    </w:p>
    <w:p w:rsidR="00A35F81" w:rsidRPr="00A35F81" w:rsidRDefault="00A35F81" w:rsidP="00A35F81">
      <w:pPr>
        <w:spacing w:before="240" w:after="240"/>
        <w:jc w:val="both"/>
      </w:pPr>
      <w:r w:rsidRPr="00A35F81">
        <w:rPr>
          <w:bCs/>
        </w:rPr>
        <w:t xml:space="preserve">Το ΠΑΣΟΚ επίσης έχει αποδεδειγμένα και επανειλημμένα αποδείξει ότι μπορεί να συμβάλλει στην εθνική συναίνεση για την επίτευξη γεωπολιτικών στόχων της χώρας αλλά πάντα βάσει συγκεκριμένων αρχών και κανόνων. Στο πλαίσιο αυτό </w:t>
      </w:r>
      <w:r w:rsidRPr="00A35F81">
        <w:t>οφείλουμε να υπενθυμίσουμε ότι η Κοινοβουλευτική Ομάδα μας στις 27 Ιουλίου 2012 κατέθεσε πρόταση νόμου, που μετουσιώθηκε στον ν.4162/2013 (Α΄ 150) για την«Ίδρυση Εθνικού Λογαριασμού Κοινωνικής Αλληλεγγύης Γενεών». Με τον νόμο αυτό προβλέφθηκε, στα πρότυπα του Νορβηγικού «Government Petrοleum Fund», η ίδρυση του Ειδικού Κεφαλαίου υπό την επωνυµία «Εθνικό Ταµείο ΚοινωνικήςΑλληλεγγύης Γενεών» (ΕΤΚΑΓ) με σκοπό τη δημιουργίααποθεματικού για τη χρηματοδότηση των κλάδων σύνταξης των ασφαλιστικώνταμείων και κυρίως τη διασφάλιση των συντάξεων τωννέων γενεών.</w:t>
      </w:r>
    </w:p>
    <w:p w:rsidR="00A35F81" w:rsidRPr="00A35F81" w:rsidRDefault="00A35F81" w:rsidP="00A35F81">
      <w:pPr>
        <w:spacing w:before="240" w:after="240"/>
        <w:jc w:val="both"/>
      </w:pPr>
      <w:r w:rsidRPr="00A35F81">
        <w:t>Ο νόμος ορίζει ότι οι πόροι του ΕΤΚΑΓ είναι ποσοστό από τα έσοδα του Δημοσίου (μερίσματα, δικαιώματα, φορολογία) από τις εταιρείες που αναλαμβάνουν την έρευνα και εκμετάλλευση των κοιτασμάτων υδρογονανθράκων και από τη διάθεση αδειών για έρευνες, το οποίο καθορίζεται κατ’ έτος µε κοινή απόφαση των Υπουργών Οικονομικών, Εργασίας, Κοινωνικής Ασφάλισης και Πρόνοιας και Περιβάλλοντος, Ενέργειας και Κλιματικής Αλλαγής και το οποίο δεν μπορεί να είναι κατώτερο του 70% των ετησίων εσόδων από τις ως άνω πηγές, δεδομένου το 20% των εσόδων από τους υδρογονάνθρακες, προβλέπεται να κατευθύνεται στο Πράσινο Ταμείο για δράσεις προστασίας του περιβάλλοντος της ευρύτερης περιοχής στην οποία διεξάγεται η έρευνα και γίνεται και η γεώτρηση, κυρίως όταν αυτή είναι θαλάσσια και το 5% είναι ισχυρά αντισταθμιστικά οφέλη για τις τοπικές κοινωνίες.</w:t>
      </w:r>
    </w:p>
    <w:p w:rsidR="00A35F81" w:rsidRPr="00A35F81" w:rsidRDefault="00A35F81" w:rsidP="00A35F81">
      <w:pPr>
        <w:spacing w:before="240" w:after="240"/>
        <w:jc w:val="both"/>
      </w:pPr>
      <w:r w:rsidRPr="00A35F81">
        <w:t>Εφόσον, η Κυβέρνηση πιστεύει ειλικρινά ότι οι ανακοινωθείσες από την ίδια συμφωνίες θα τελεσφορήσουν με αξιοσημείωτα αποτελέσματα για τα δημόσια ταμεία από τηνεξόρυξη υδρογονανθράκων, έστω καιμεσοπρόθεσμα και επιδιώκει ειλικρινά «</w:t>
      </w:r>
      <w:r w:rsidRPr="00A35F81">
        <w:rPr>
          <w:bCs/>
          <w:i/>
          <w:iCs/>
        </w:rPr>
        <w:t>εθνική συναίνεση στον τομέα της ανάπτυξης των υδρογονανθράκων»</w:t>
      </w:r>
      <w:r w:rsidRPr="00A35F81">
        <w:rPr>
          <w:bCs/>
        </w:rPr>
        <w:t>, οφείλει να ξεκινήσει την εφαρμογή του εν λόγω νόμου μέσα από την έκδοση των σχετικών κανονιστικών πράξεων.</w:t>
      </w:r>
    </w:p>
    <w:p w:rsidR="00A35F81" w:rsidRPr="00A35F81" w:rsidRDefault="00A35F81" w:rsidP="00A35F81">
      <w:pPr>
        <w:spacing w:before="240" w:after="240"/>
        <w:jc w:val="both"/>
        <w:rPr>
          <w:bCs/>
        </w:rPr>
      </w:pPr>
      <w:r w:rsidRPr="00A35F81">
        <w:t>Βάσει των ανωτέρω ε</w:t>
      </w:r>
      <w:r w:rsidRPr="00A35F81">
        <w:rPr>
          <w:bCs/>
        </w:rPr>
        <w:t>ρωτώνται  οι αρμόδιοι Υπουργοί:</w:t>
      </w:r>
    </w:p>
    <w:p w:rsidR="00A35F81" w:rsidRPr="00A35F81" w:rsidRDefault="00A35F81" w:rsidP="00A35F81">
      <w:pPr>
        <w:numPr>
          <w:ilvl w:val="0"/>
          <w:numId w:val="9"/>
        </w:numPr>
        <w:tabs>
          <w:tab w:val="clear" w:pos="720"/>
        </w:tabs>
        <w:spacing w:before="240" w:after="240" w:line="276" w:lineRule="auto"/>
        <w:ind w:left="426" w:hanging="426"/>
        <w:jc w:val="both"/>
      </w:pPr>
      <w:r w:rsidRPr="00A35F81">
        <w:t>Σκοπεύει στο πλαίσιο αυτό η Κυβέρνηση να ξεκινήσει άμεσα την ενεργοποίηση του θεσμικού πλαισίου του ν.4162/2013 και την έκδοση των προβλεπόμενων κανονιστικών πράξεων για το Εθνικό Ταμείο Κοινωνικής Αλληλεγγύης Γενεών (ΕΤΚΑΓ), που αποτελεί τον θεσμοθετημένο μηχανισμό διασφάλισης της διαγενεακής δικαιοσύνης από ενδεχόμενα έσοδα υδρογονανθράκων;</w:t>
      </w:r>
    </w:p>
    <w:p w:rsidR="00A35F81" w:rsidRPr="00A35F81" w:rsidRDefault="00A35F81" w:rsidP="00A35F81">
      <w:pPr>
        <w:numPr>
          <w:ilvl w:val="0"/>
          <w:numId w:val="9"/>
        </w:numPr>
        <w:tabs>
          <w:tab w:val="clear" w:pos="720"/>
        </w:tabs>
        <w:spacing w:before="240" w:after="240" w:line="276" w:lineRule="auto"/>
        <w:ind w:left="426" w:hanging="426"/>
        <w:jc w:val="both"/>
      </w:pPr>
      <w:r w:rsidRPr="00A35F81">
        <w:lastRenderedPageBreak/>
        <w:t>Με ποιον τρόπο σκοπεύει η Κυβέρνηση να διασφαλίσει στην πράξη τη “μέγιστη δυνατή εθνική συναίνεση”, την οποία επικαλέστηκε ο Υπουργός Περιβάλλοντος και Ενέργειας, δεδομένου ότι μέχρι σήμερα δεν έχει προηγηθεί ουσιαστική κοινοβουλευτική ενημέρωση και διαβούλευση με τα πολιτικά κόμματα για τις συμφωνίες που αφορούν την εξόρυξη υδρογονανθράκων;</w:t>
      </w:r>
    </w:p>
    <w:p w:rsidR="00A35F81" w:rsidRPr="00A35F81" w:rsidRDefault="00A35F81" w:rsidP="00A35F81">
      <w:pPr>
        <w:spacing w:before="240" w:after="240"/>
        <w:jc w:val="center"/>
      </w:pPr>
    </w:p>
    <w:p w:rsidR="00A35F81" w:rsidRPr="00A35F81" w:rsidRDefault="00A35F81" w:rsidP="00A35F81">
      <w:pPr>
        <w:spacing w:before="240" w:after="240"/>
        <w:jc w:val="center"/>
      </w:pPr>
    </w:p>
    <w:p w:rsidR="00A35F81" w:rsidRPr="00A35F81" w:rsidRDefault="00A35F81" w:rsidP="00A35F81">
      <w:pPr>
        <w:spacing w:before="240" w:after="240"/>
        <w:jc w:val="center"/>
      </w:pPr>
      <w:r w:rsidRPr="00A35F81">
        <w:t>Οι ερωτώντες Βουλευτές</w:t>
      </w:r>
    </w:p>
    <w:p w:rsidR="00A35F81" w:rsidRPr="00A35F81" w:rsidRDefault="00A35F81" w:rsidP="00A35F81">
      <w:pPr>
        <w:spacing w:line="480" w:lineRule="auto"/>
        <w:jc w:val="center"/>
        <w:rPr>
          <w:b/>
          <w:bCs/>
        </w:rPr>
      </w:pPr>
      <w:r w:rsidRPr="00A35F81">
        <w:rPr>
          <w:b/>
          <w:bCs/>
        </w:rPr>
        <w:t>Κωνσταντινόπουλος Οδυσσέας</w:t>
      </w:r>
    </w:p>
    <w:p w:rsidR="00A35F81" w:rsidRPr="00A35F81" w:rsidRDefault="00A35F81" w:rsidP="00A35F81">
      <w:pPr>
        <w:spacing w:line="480" w:lineRule="auto"/>
        <w:jc w:val="center"/>
        <w:rPr>
          <w:b/>
          <w:bCs/>
        </w:rPr>
      </w:pPr>
      <w:r w:rsidRPr="00A35F81">
        <w:rPr>
          <w:b/>
          <w:bCs/>
        </w:rPr>
        <w:t>Κουκουλόπουλος Παρασκευάς (Πάρις)</w:t>
      </w:r>
    </w:p>
    <w:p w:rsidR="00A35F81" w:rsidRPr="00A35F81" w:rsidRDefault="00A35F81" w:rsidP="00A35F81">
      <w:pPr>
        <w:spacing w:line="480" w:lineRule="auto"/>
        <w:jc w:val="center"/>
        <w:rPr>
          <w:b/>
          <w:bCs/>
        </w:rPr>
      </w:pPr>
      <w:r w:rsidRPr="00A35F81">
        <w:rPr>
          <w:b/>
          <w:bCs/>
        </w:rPr>
        <w:t>Παρασύρης Φραγκίσκος</w:t>
      </w:r>
    </w:p>
    <w:p w:rsidR="00A35F81" w:rsidRPr="00A35F81" w:rsidRDefault="00A35F81" w:rsidP="00A35F81">
      <w:pPr>
        <w:spacing w:line="480" w:lineRule="auto"/>
        <w:jc w:val="center"/>
        <w:rPr>
          <w:b/>
          <w:bCs/>
        </w:rPr>
      </w:pPr>
      <w:r w:rsidRPr="00A35F81">
        <w:rPr>
          <w:b/>
          <w:bCs/>
        </w:rPr>
        <w:t>Χρηστίδης Παύλος</w:t>
      </w: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Μπιάγκης Δημήτριος</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Τσίμαρης Ιωάννης</w:t>
      </w:r>
    </w:p>
    <w:p w:rsidR="00A35F81" w:rsidRPr="00A35F81" w:rsidRDefault="00A35F81" w:rsidP="00A35F81">
      <w:pPr>
        <w:tabs>
          <w:tab w:val="left" w:pos="567"/>
          <w:tab w:val="left" w:pos="1134"/>
          <w:tab w:val="left" w:pos="1701"/>
        </w:tabs>
        <w:contextualSpacing/>
        <w:jc w:val="center"/>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Γερουλάνος Παύλος</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Μάντζος Δημήτριος</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Αχμέτ Ιλχάν</w:t>
      </w:r>
    </w:p>
    <w:p w:rsidR="00A35F81" w:rsidRPr="00A35F81" w:rsidRDefault="00A35F81" w:rsidP="00A35F81">
      <w:pPr>
        <w:tabs>
          <w:tab w:val="left" w:pos="567"/>
          <w:tab w:val="left" w:pos="1134"/>
          <w:tab w:val="left" w:pos="1701"/>
        </w:tabs>
        <w:contextualSpacing/>
        <w:jc w:val="center"/>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Βατσινά Ελένη</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Γιαννακοπούλου Κωνσταντίνα (Νάντια)</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Γρηγοράκου Παναγιώτα (Νάγια)</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Δουδωνής Παναγιώτης</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Θρασκιά Ουρανία (Ράνια)</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Καζάνη Αικατερίνη</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Λιακούλη Ευαγγελία</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Μιχαηλίδης Σταύρος</w:t>
      </w:r>
    </w:p>
    <w:p w:rsidR="00A35F81" w:rsidRPr="00A35F81" w:rsidRDefault="00A35F81" w:rsidP="00A35F81">
      <w:pPr>
        <w:tabs>
          <w:tab w:val="left" w:pos="567"/>
          <w:tab w:val="left" w:pos="1134"/>
          <w:tab w:val="left" w:pos="1701"/>
        </w:tabs>
        <w:contextualSpacing/>
        <w:jc w:val="center"/>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Μουλκιώτης Γεώργιος</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Νικητιάδης Γεώργιος</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Νικολαΐδης  Αναστάσιος</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Πάνας Απόστολος</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Παπανδρέου Γεώργιος</w:t>
      </w:r>
    </w:p>
    <w:p w:rsidR="00A35F81" w:rsidRPr="00A35F81" w:rsidRDefault="00A35F81" w:rsidP="00A35F81">
      <w:pPr>
        <w:tabs>
          <w:tab w:val="left" w:pos="567"/>
          <w:tab w:val="left" w:pos="1134"/>
          <w:tab w:val="left" w:pos="1701"/>
        </w:tabs>
        <w:contextualSpacing/>
        <w:jc w:val="center"/>
        <w:rPr>
          <w:noProof/>
        </w:rPr>
      </w:pPr>
    </w:p>
    <w:p w:rsidR="00A35F81" w:rsidRPr="00A35F81" w:rsidRDefault="00A35F81" w:rsidP="00A35F81">
      <w:pPr>
        <w:tabs>
          <w:tab w:val="left" w:pos="567"/>
          <w:tab w:val="left" w:pos="1134"/>
          <w:tab w:val="left" w:pos="1701"/>
        </w:tabs>
        <w:contextualSpacing/>
        <w:jc w:val="center"/>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Παππάς Πέτρος</w:t>
      </w:r>
    </w:p>
    <w:p w:rsidR="00A35F81" w:rsidRPr="00A35F81" w:rsidRDefault="00A35F81" w:rsidP="00A35F81">
      <w:pPr>
        <w:tabs>
          <w:tab w:val="left" w:pos="567"/>
          <w:tab w:val="left" w:pos="1134"/>
          <w:tab w:val="left" w:pos="1701"/>
        </w:tabs>
        <w:contextualSpacing/>
        <w:jc w:val="center"/>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Παρασκευαΐδης Παναγιώτης</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Παραστατίδης Στέφανος</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Πουλάς Ανδρέας</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Σπυριδάκη Αικατερίνη</w:t>
      </w:r>
    </w:p>
    <w:p w:rsidR="00A35F81" w:rsidRPr="00A35F81" w:rsidRDefault="00A35F81" w:rsidP="00A35F81">
      <w:pPr>
        <w:tabs>
          <w:tab w:val="left" w:pos="567"/>
          <w:tab w:val="left" w:pos="1134"/>
          <w:tab w:val="left" w:pos="1701"/>
        </w:tabs>
        <w:contextualSpacing/>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Σταρακά Χριστίνα</w:t>
      </w:r>
    </w:p>
    <w:p w:rsidR="00A35F81" w:rsidRPr="00A35F81" w:rsidRDefault="00A35F81" w:rsidP="00A35F81">
      <w:pPr>
        <w:tabs>
          <w:tab w:val="left" w:pos="567"/>
          <w:tab w:val="left" w:pos="1134"/>
          <w:tab w:val="left" w:pos="1701"/>
        </w:tabs>
        <w:contextualSpacing/>
        <w:jc w:val="center"/>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Χνάρης Εμμανουήλ</w:t>
      </w:r>
    </w:p>
    <w:p w:rsidR="00A35F81" w:rsidRPr="00A35F81" w:rsidRDefault="00A35F81" w:rsidP="00A35F81">
      <w:pPr>
        <w:tabs>
          <w:tab w:val="left" w:pos="567"/>
          <w:tab w:val="left" w:pos="1134"/>
          <w:tab w:val="left" w:pos="1701"/>
        </w:tabs>
        <w:contextualSpacing/>
        <w:jc w:val="center"/>
        <w:rPr>
          <w:rFonts w:eastAsia="Arial"/>
          <w:b/>
          <w:bCs/>
        </w:rPr>
      </w:pPr>
    </w:p>
    <w:p w:rsidR="00A35F81" w:rsidRPr="00A35F81" w:rsidRDefault="00A35F81" w:rsidP="00A35F81">
      <w:pPr>
        <w:tabs>
          <w:tab w:val="left" w:pos="567"/>
          <w:tab w:val="left" w:pos="1134"/>
          <w:tab w:val="left" w:pos="1701"/>
        </w:tabs>
        <w:contextualSpacing/>
        <w:jc w:val="center"/>
        <w:rPr>
          <w:rFonts w:eastAsia="Arial"/>
          <w:b/>
          <w:bCs/>
        </w:rPr>
      </w:pPr>
      <w:r w:rsidRPr="00A35F81">
        <w:rPr>
          <w:rFonts w:eastAsia="Arial"/>
          <w:b/>
          <w:bCs/>
        </w:rPr>
        <w:t>Χριστοδουλάκης Εμμανουήλ</w:t>
      </w:r>
    </w:p>
    <w:p w:rsidR="00A35F81" w:rsidRPr="00916033" w:rsidRDefault="00A35F81" w:rsidP="00A35F81">
      <w:pPr>
        <w:tabs>
          <w:tab w:val="left" w:pos="567"/>
          <w:tab w:val="left" w:pos="1134"/>
          <w:tab w:val="left" w:pos="1701"/>
        </w:tabs>
        <w:contextualSpacing/>
        <w:jc w:val="center"/>
        <w:rPr>
          <w:rFonts w:eastAsia="Arial" w:cstheme="minorHAnsi"/>
          <w:b/>
          <w:bCs/>
        </w:rPr>
      </w:pPr>
    </w:p>
    <w:p w:rsidR="00A35F81" w:rsidRPr="00AF37C6" w:rsidRDefault="00A35F81" w:rsidP="00A35F81"/>
    <w:p w:rsidR="00A35F81" w:rsidRDefault="00A35F81" w:rsidP="00A35F81"/>
    <w:p w:rsidR="00A35F81" w:rsidRPr="001D0A8A" w:rsidRDefault="00A35F81" w:rsidP="00A35F81">
      <w:pPr>
        <w:spacing w:line="480" w:lineRule="auto"/>
        <w:rPr>
          <w:rFonts w:asciiTheme="minorHAnsi" w:hAnsiTheme="minorHAnsi" w:cstheme="minorHAnsi"/>
        </w:rPr>
      </w:pPr>
    </w:p>
    <w:p w:rsidR="00035FE2" w:rsidRPr="004D32F3" w:rsidRDefault="00035FE2" w:rsidP="00FC485D">
      <w:pPr>
        <w:jc w:val="both"/>
        <w:rPr>
          <w:lang w:eastAsia="en-US"/>
        </w:rPr>
      </w:pPr>
    </w:p>
    <w:sectPr w:rsidR="00035FE2" w:rsidRPr="004D32F3" w:rsidSect="0066763D">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4D2531"/>
    <w:multiLevelType w:val="multilevel"/>
    <w:tmpl w:val="EA30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84933"/>
    <w:rsid w:val="000005E5"/>
    <w:rsid w:val="00003562"/>
    <w:rsid w:val="00035FE2"/>
    <w:rsid w:val="00044C8E"/>
    <w:rsid w:val="0005496D"/>
    <w:rsid w:val="000620DA"/>
    <w:rsid w:val="0006511C"/>
    <w:rsid w:val="00073AC1"/>
    <w:rsid w:val="00075EDA"/>
    <w:rsid w:val="000919E9"/>
    <w:rsid w:val="000A3958"/>
    <w:rsid w:val="000B5017"/>
    <w:rsid w:val="000C4533"/>
    <w:rsid w:val="000D3E18"/>
    <w:rsid w:val="000D3FB4"/>
    <w:rsid w:val="000F0156"/>
    <w:rsid w:val="0011496F"/>
    <w:rsid w:val="001336AF"/>
    <w:rsid w:val="00135DD7"/>
    <w:rsid w:val="00137376"/>
    <w:rsid w:val="00145971"/>
    <w:rsid w:val="0014613F"/>
    <w:rsid w:val="001461C8"/>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7445E"/>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4063F"/>
    <w:rsid w:val="003703C5"/>
    <w:rsid w:val="00381A24"/>
    <w:rsid w:val="0039281B"/>
    <w:rsid w:val="003E610F"/>
    <w:rsid w:val="003F563B"/>
    <w:rsid w:val="004019A8"/>
    <w:rsid w:val="00402684"/>
    <w:rsid w:val="004120DB"/>
    <w:rsid w:val="00417EDD"/>
    <w:rsid w:val="00430EDE"/>
    <w:rsid w:val="00445EDE"/>
    <w:rsid w:val="00465615"/>
    <w:rsid w:val="004717F4"/>
    <w:rsid w:val="004A2867"/>
    <w:rsid w:val="004A2B64"/>
    <w:rsid w:val="004A49F4"/>
    <w:rsid w:val="004B7197"/>
    <w:rsid w:val="004C2111"/>
    <w:rsid w:val="004C2C3F"/>
    <w:rsid w:val="004D32F3"/>
    <w:rsid w:val="004E4F76"/>
    <w:rsid w:val="004F2891"/>
    <w:rsid w:val="004F461A"/>
    <w:rsid w:val="004F6769"/>
    <w:rsid w:val="00510DC2"/>
    <w:rsid w:val="005128F1"/>
    <w:rsid w:val="005147E4"/>
    <w:rsid w:val="0053519E"/>
    <w:rsid w:val="00537307"/>
    <w:rsid w:val="00573DAD"/>
    <w:rsid w:val="00583088"/>
    <w:rsid w:val="005A1A27"/>
    <w:rsid w:val="005A26C8"/>
    <w:rsid w:val="005A7022"/>
    <w:rsid w:val="005A77ED"/>
    <w:rsid w:val="005B7BED"/>
    <w:rsid w:val="005C50CB"/>
    <w:rsid w:val="005D2117"/>
    <w:rsid w:val="005E785A"/>
    <w:rsid w:val="005F0C0F"/>
    <w:rsid w:val="006052AE"/>
    <w:rsid w:val="00606816"/>
    <w:rsid w:val="006113A8"/>
    <w:rsid w:val="006247BF"/>
    <w:rsid w:val="00642FC0"/>
    <w:rsid w:val="0066763D"/>
    <w:rsid w:val="00670533"/>
    <w:rsid w:val="00684933"/>
    <w:rsid w:val="006A3AED"/>
    <w:rsid w:val="00704848"/>
    <w:rsid w:val="00734307"/>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266B6"/>
    <w:rsid w:val="0084595E"/>
    <w:rsid w:val="00880B7C"/>
    <w:rsid w:val="008837FA"/>
    <w:rsid w:val="00887A23"/>
    <w:rsid w:val="008C5F26"/>
    <w:rsid w:val="008D2366"/>
    <w:rsid w:val="008D3C5E"/>
    <w:rsid w:val="009127C0"/>
    <w:rsid w:val="009135AB"/>
    <w:rsid w:val="00914312"/>
    <w:rsid w:val="00935B3B"/>
    <w:rsid w:val="009466A2"/>
    <w:rsid w:val="00951BE9"/>
    <w:rsid w:val="00957219"/>
    <w:rsid w:val="009630BF"/>
    <w:rsid w:val="00964C05"/>
    <w:rsid w:val="00967D77"/>
    <w:rsid w:val="0097209F"/>
    <w:rsid w:val="00975A5A"/>
    <w:rsid w:val="00993C6C"/>
    <w:rsid w:val="0099640B"/>
    <w:rsid w:val="00997B38"/>
    <w:rsid w:val="009C17CC"/>
    <w:rsid w:val="009C63F9"/>
    <w:rsid w:val="009D1D45"/>
    <w:rsid w:val="009F13AA"/>
    <w:rsid w:val="009F3592"/>
    <w:rsid w:val="009F36B9"/>
    <w:rsid w:val="00A030B8"/>
    <w:rsid w:val="00A1268D"/>
    <w:rsid w:val="00A35F81"/>
    <w:rsid w:val="00A40DC3"/>
    <w:rsid w:val="00A4618D"/>
    <w:rsid w:val="00A5011B"/>
    <w:rsid w:val="00A532B7"/>
    <w:rsid w:val="00A60260"/>
    <w:rsid w:val="00A61D2D"/>
    <w:rsid w:val="00A765EA"/>
    <w:rsid w:val="00A77056"/>
    <w:rsid w:val="00A96BA3"/>
    <w:rsid w:val="00AC072B"/>
    <w:rsid w:val="00AC71A5"/>
    <w:rsid w:val="00AE0967"/>
    <w:rsid w:val="00AF6345"/>
    <w:rsid w:val="00B13D3F"/>
    <w:rsid w:val="00B2308D"/>
    <w:rsid w:val="00B31621"/>
    <w:rsid w:val="00B35697"/>
    <w:rsid w:val="00B435FE"/>
    <w:rsid w:val="00B5040E"/>
    <w:rsid w:val="00B609EC"/>
    <w:rsid w:val="00B861BC"/>
    <w:rsid w:val="00BA7784"/>
    <w:rsid w:val="00BC372C"/>
    <w:rsid w:val="00BC4329"/>
    <w:rsid w:val="00BC69CE"/>
    <w:rsid w:val="00BD0C71"/>
    <w:rsid w:val="00BD6DC1"/>
    <w:rsid w:val="00BE2380"/>
    <w:rsid w:val="00BF5727"/>
    <w:rsid w:val="00C125AC"/>
    <w:rsid w:val="00C24235"/>
    <w:rsid w:val="00C27F85"/>
    <w:rsid w:val="00C36041"/>
    <w:rsid w:val="00C605C5"/>
    <w:rsid w:val="00CB4255"/>
    <w:rsid w:val="00CB546E"/>
    <w:rsid w:val="00CC5F94"/>
    <w:rsid w:val="00CD54E7"/>
    <w:rsid w:val="00D000A7"/>
    <w:rsid w:val="00D07659"/>
    <w:rsid w:val="00D353CC"/>
    <w:rsid w:val="00D51855"/>
    <w:rsid w:val="00D5630A"/>
    <w:rsid w:val="00D95325"/>
    <w:rsid w:val="00DA47E1"/>
    <w:rsid w:val="00DD1408"/>
    <w:rsid w:val="00DD6BCF"/>
    <w:rsid w:val="00DE1B01"/>
    <w:rsid w:val="00DF5C75"/>
    <w:rsid w:val="00DF7F8A"/>
    <w:rsid w:val="00E33C67"/>
    <w:rsid w:val="00E42B7F"/>
    <w:rsid w:val="00E50E28"/>
    <w:rsid w:val="00E542C3"/>
    <w:rsid w:val="00E630FD"/>
    <w:rsid w:val="00E6374F"/>
    <w:rsid w:val="00E736F4"/>
    <w:rsid w:val="00E95A90"/>
    <w:rsid w:val="00EA06AC"/>
    <w:rsid w:val="00EB64BE"/>
    <w:rsid w:val="00ED5B3D"/>
    <w:rsid w:val="00EE51DA"/>
    <w:rsid w:val="00EF0912"/>
    <w:rsid w:val="00F00319"/>
    <w:rsid w:val="00F04D71"/>
    <w:rsid w:val="00F11C53"/>
    <w:rsid w:val="00F2400E"/>
    <w:rsid w:val="00F431C3"/>
    <w:rsid w:val="00F54B47"/>
    <w:rsid w:val="00F741AA"/>
    <w:rsid w:val="00F76C2E"/>
    <w:rsid w:val="00F92161"/>
    <w:rsid w:val="00F94EEC"/>
    <w:rsid w:val="00F970BE"/>
    <w:rsid w:val="00FB171E"/>
    <w:rsid w:val="00FB50E3"/>
    <w:rsid w:val="00FC1443"/>
    <w:rsid w:val="00FC485D"/>
    <w:rsid w:val="00FC49DD"/>
    <w:rsid w:val="00FD06A4"/>
    <w:rsid w:val="00FD2537"/>
    <w:rsid w:val="00FD53A6"/>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6A"/>
    <w:rPr>
      <w:rFonts w:ascii="Times New Roman" w:eastAsia="Times New Roman" w:hAnsi="Times New Roman" w:cs="Times New Roman"/>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127C0"/>
    <w:pPr>
      <w:spacing w:before="100" w:beforeAutospacing="1" w:after="100" w:afterAutospacing="1"/>
    </w:pPr>
    <w:rPr>
      <w:lang w:val="en-US" w:eastAsia="en-US"/>
    </w:rPr>
  </w:style>
  <w:style w:type="paragraph" w:styleId="ListParagraph">
    <w:name w:val="List Paragraph"/>
    <w:basedOn w:val="Normal"/>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B609EC"/>
    <w:rPr>
      <w:rFonts w:ascii="Times New Roman" w:eastAsia="Times New Roman" w:hAnsi="Times New Roman" w:cs="Times New Roman"/>
      <w:lang w:val="el-GR" w:eastAsia="el-GR"/>
    </w:rPr>
  </w:style>
  <w:style w:type="paragraph" w:styleId="NormalWeb">
    <w:name w:val="Normal (Web)"/>
    <w:basedOn w:val="Normal"/>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Strong">
    <w:name w:val="Strong"/>
    <w:basedOn w:val="DefaultParagraphFont"/>
    <w:uiPriority w:val="22"/>
    <w:qFormat/>
    <w:rsid w:val="0053519E"/>
    <w:rPr>
      <w:b/>
      <w:bCs/>
    </w:rPr>
  </w:style>
  <w:style w:type="character" w:styleId="Hyperlink">
    <w:name w:val="Hyperlink"/>
    <w:basedOn w:val="DefaultParagraphFont"/>
    <w:uiPriority w:val="99"/>
    <w:unhideWhenUsed/>
    <w:rsid w:val="002425D6"/>
    <w:rPr>
      <w:color w:val="0563C1" w:themeColor="hyperlink"/>
      <w:u w:val="single"/>
    </w:rPr>
  </w:style>
  <w:style w:type="character" w:customStyle="1" w:styleId="1">
    <w:name w:val="Ανεπίλυτη αναφορά1"/>
    <w:basedOn w:val="DefaultParagraphFont"/>
    <w:uiPriority w:val="99"/>
    <w:semiHidden/>
    <w:unhideWhenUsed/>
    <w:rsid w:val="002425D6"/>
    <w:rPr>
      <w:color w:val="605E5C"/>
      <w:shd w:val="clear" w:color="auto" w:fill="E1DFDD"/>
    </w:rPr>
  </w:style>
  <w:style w:type="table" w:styleId="TableGrid">
    <w:name w:val="Table Grid"/>
    <w:basedOn w:val="TableNormal"/>
    <w:uiPriority w:val="59"/>
    <w:rsid w:val="00A35F81"/>
    <w:rPr>
      <w:sz w:val="22"/>
      <w:szCs w:val="22"/>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35F81"/>
    <w:rPr>
      <w:i/>
      <w:iCs/>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90587172">
      <w:bodyDiv w:val="1"/>
      <w:marLeft w:val="0"/>
      <w:marRight w:val="0"/>
      <w:marTop w:val="0"/>
      <w:marBottom w:val="0"/>
      <w:divBdr>
        <w:top w:val="none" w:sz="0" w:space="0" w:color="auto"/>
        <w:left w:val="none" w:sz="0" w:space="0" w:color="auto"/>
        <w:bottom w:val="none" w:sz="0" w:space="0" w:color="auto"/>
        <w:right w:val="none" w:sz="0" w:space="0" w:color="auto"/>
      </w:divBdr>
      <w:divsChild>
        <w:div w:id="2036689915">
          <w:marLeft w:val="0"/>
          <w:marRight w:val="0"/>
          <w:marTop w:val="0"/>
          <w:marBottom w:val="0"/>
          <w:divBdr>
            <w:top w:val="none" w:sz="0" w:space="0" w:color="auto"/>
            <w:left w:val="none" w:sz="0" w:space="0" w:color="auto"/>
            <w:bottom w:val="none" w:sz="0" w:space="0" w:color="auto"/>
            <w:right w:val="none" w:sz="0" w:space="0" w:color="auto"/>
          </w:divBdr>
        </w:div>
        <w:div w:id="334505078">
          <w:marLeft w:val="0"/>
          <w:marRight w:val="0"/>
          <w:marTop w:val="0"/>
          <w:marBottom w:val="0"/>
          <w:divBdr>
            <w:top w:val="none" w:sz="0" w:space="0" w:color="auto"/>
            <w:left w:val="none" w:sz="0" w:space="0" w:color="auto"/>
            <w:bottom w:val="none" w:sz="0" w:space="0" w:color="auto"/>
            <w:right w:val="none" w:sz="0" w:space="0" w:color="auto"/>
          </w:divBdr>
        </w:div>
        <w:div w:id="1516773749">
          <w:marLeft w:val="0"/>
          <w:marRight w:val="0"/>
          <w:marTop w:val="0"/>
          <w:marBottom w:val="0"/>
          <w:divBdr>
            <w:top w:val="none" w:sz="0" w:space="0" w:color="auto"/>
            <w:left w:val="none" w:sz="0" w:space="0" w:color="auto"/>
            <w:bottom w:val="none" w:sz="0" w:space="0" w:color="auto"/>
            <w:right w:val="none" w:sz="0" w:space="0" w:color="auto"/>
          </w:divBdr>
        </w:div>
        <w:div w:id="604120084">
          <w:marLeft w:val="0"/>
          <w:marRight w:val="0"/>
          <w:marTop w:val="0"/>
          <w:marBottom w:val="0"/>
          <w:divBdr>
            <w:top w:val="none" w:sz="0" w:space="0" w:color="auto"/>
            <w:left w:val="none" w:sz="0" w:space="0" w:color="auto"/>
            <w:bottom w:val="none" w:sz="0" w:space="0" w:color="auto"/>
            <w:right w:val="none" w:sz="0" w:space="0" w:color="auto"/>
          </w:divBdr>
        </w:div>
        <w:div w:id="387581004">
          <w:marLeft w:val="0"/>
          <w:marRight w:val="0"/>
          <w:marTop w:val="0"/>
          <w:marBottom w:val="0"/>
          <w:divBdr>
            <w:top w:val="none" w:sz="0" w:space="0" w:color="auto"/>
            <w:left w:val="none" w:sz="0" w:space="0" w:color="auto"/>
            <w:bottom w:val="none" w:sz="0" w:space="0" w:color="auto"/>
            <w:right w:val="none" w:sz="0" w:space="0" w:color="auto"/>
          </w:divBdr>
        </w:div>
        <w:div w:id="1596943110">
          <w:marLeft w:val="0"/>
          <w:marRight w:val="0"/>
          <w:marTop w:val="0"/>
          <w:marBottom w:val="0"/>
          <w:divBdr>
            <w:top w:val="none" w:sz="0" w:space="0" w:color="auto"/>
            <w:left w:val="none" w:sz="0" w:space="0" w:color="auto"/>
            <w:bottom w:val="none" w:sz="0" w:space="0" w:color="auto"/>
            <w:right w:val="none" w:sz="0" w:space="0" w:color="auto"/>
          </w:divBdr>
        </w:div>
        <w:div w:id="1830441665">
          <w:marLeft w:val="0"/>
          <w:marRight w:val="0"/>
          <w:marTop w:val="0"/>
          <w:marBottom w:val="0"/>
          <w:divBdr>
            <w:top w:val="none" w:sz="0" w:space="0" w:color="auto"/>
            <w:left w:val="none" w:sz="0" w:space="0" w:color="auto"/>
            <w:bottom w:val="none" w:sz="0" w:space="0" w:color="auto"/>
            <w:right w:val="none" w:sz="0" w:space="0" w:color="auto"/>
          </w:divBdr>
        </w:div>
        <w:div w:id="1688410509">
          <w:marLeft w:val="0"/>
          <w:marRight w:val="0"/>
          <w:marTop w:val="0"/>
          <w:marBottom w:val="0"/>
          <w:divBdr>
            <w:top w:val="none" w:sz="0" w:space="0" w:color="auto"/>
            <w:left w:val="none" w:sz="0" w:space="0" w:color="auto"/>
            <w:bottom w:val="none" w:sz="0" w:space="0" w:color="auto"/>
            <w:right w:val="none" w:sz="0" w:space="0" w:color="auto"/>
          </w:divBdr>
        </w:div>
        <w:div w:id="1214779962">
          <w:marLeft w:val="0"/>
          <w:marRight w:val="0"/>
          <w:marTop w:val="0"/>
          <w:marBottom w:val="0"/>
          <w:divBdr>
            <w:top w:val="none" w:sz="0" w:space="0" w:color="auto"/>
            <w:left w:val="none" w:sz="0" w:space="0" w:color="auto"/>
            <w:bottom w:val="none" w:sz="0" w:space="0" w:color="auto"/>
            <w:right w:val="none" w:sz="0" w:space="0" w:color="auto"/>
          </w:divBdr>
        </w:div>
        <w:div w:id="1309673671">
          <w:marLeft w:val="0"/>
          <w:marRight w:val="0"/>
          <w:marTop w:val="0"/>
          <w:marBottom w:val="0"/>
          <w:divBdr>
            <w:top w:val="none" w:sz="0" w:space="0" w:color="auto"/>
            <w:left w:val="none" w:sz="0" w:space="0" w:color="auto"/>
            <w:bottom w:val="none" w:sz="0" w:space="0" w:color="auto"/>
            <w:right w:val="none" w:sz="0" w:space="0" w:color="auto"/>
          </w:divBdr>
        </w:div>
        <w:div w:id="1171524271">
          <w:marLeft w:val="0"/>
          <w:marRight w:val="0"/>
          <w:marTop w:val="0"/>
          <w:marBottom w:val="0"/>
          <w:divBdr>
            <w:top w:val="none" w:sz="0" w:space="0" w:color="auto"/>
            <w:left w:val="none" w:sz="0" w:space="0" w:color="auto"/>
            <w:bottom w:val="none" w:sz="0" w:space="0" w:color="auto"/>
            <w:right w:val="none" w:sz="0" w:space="0" w:color="auto"/>
          </w:divBdr>
        </w:div>
        <w:div w:id="1580677352">
          <w:marLeft w:val="0"/>
          <w:marRight w:val="0"/>
          <w:marTop w:val="0"/>
          <w:marBottom w:val="0"/>
          <w:divBdr>
            <w:top w:val="none" w:sz="0" w:space="0" w:color="auto"/>
            <w:left w:val="none" w:sz="0" w:space="0" w:color="auto"/>
            <w:bottom w:val="none" w:sz="0" w:space="0" w:color="auto"/>
            <w:right w:val="none" w:sz="0" w:space="0" w:color="auto"/>
          </w:divBdr>
        </w:div>
        <w:div w:id="769787046">
          <w:marLeft w:val="0"/>
          <w:marRight w:val="0"/>
          <w:marTop w:val="0"/>
          <w:marBottom w:val="0"/>
          <w:divBdr>
            <w:top w:val="none" w:sz="0" w:space="0" w:color="auto"/>
            <w:left w:val="none" w:sz="0" w:space="0" w:color="auto"/>
            <w:bottom w:val="none" w:sz="0" w:space="0" w:color="auto"/>
            <w:right w:val="none" w:sz="0" w:space="0" w:color="auto"/>
          </w:divBdr>
        </w:div>
        <w:div w:id="1400788400">
          <w:marLeft w:val="0"/>
          <w:marRight w:val="0"/>
          <w:marTop w:val="0"/>
          <w:marBottom w:val="0"/>
          <w:divBdr>
            <w:top w:val="none" w:sz="0" w:space="0" w:color="auto"/>
            <w:left w:val="none" w:sz="0" w:space="0" w:color="auto"/>
            <w:bottom w:val="none" w:sz="0" w:space="0" w:color="auto"/>
            <w:right w:val="none" w:sz="0" w:space="0" w:color="auto"/>
          </w:divBdr>
        </w:div>
        <w:div w:id="1796832104">
          <w:marLeft w:val="0"/>
          <w:marRight w:val="0"/>
          <w:marTop w:val="0"/>
          <w:marBottom w:val="0"/>
          <w:divBdr>
            <w:top w:val="none" w:sz="0" w:space="0" w:color="auto"/>
            <w:left w:val="none" w:sz="0" w:space="0" w:color="auto"/>
            <w:bottom w:val="none" w:sz="0" w:space="0" w:color="auto"/>
            <w:right w:val="none" w:sz="0" w:space="0" w:color="auto"/>
          </w:divBdr>
        </w:div>
        <w:div w:id="2078353342">
          <w:marLeft w:val="0"/>
          <w:marRight w:val="0"/>
          <w:marTop w:val="0"/>
          <w:marBottom w:val="0"/>
          <w:divBdr>
            <w:top w:val="none" w:sz="0" w:space="0" w:color="auto"/>
            <w:left w:val="none" w:sz="0" w:space="0" w:color="auto"/>
            <w:bottom w:val="none" w:sz="0" w:space="0" w:color="auto"/>
            <w:right w:val="none" w:sz="0" w:space="0" w:color="auto"/>
          </w:divBdr>
        </w:div>
        <w:div w:id="1225022425">
          <w:marLeft w:val="0"/>
          <w:marRight w:val="0"/>
          <w:marTop w:val="0"/>
          <w:marBottom w:val="0"/>
          <w:divBdr>
            <w:top w:val="none" w:sz="0" w:space="0" w:color="auto"/>
            <w:left w:val="none" w:sz="0" w:space="0" w:color="auto"/>
            <w:bottom w:val="none" w:sz="0" w:space="0" w:color="auto"/>
            <w:right w:val="none" w:sz="0" w:space="0" w:color="auto"/>
          </w:divBdr>
        </w:div>
        <w:div w:id="1050181254">
          <w:marLeft w:val="0"/>
          <w:marRight w:val="0"/>
          <w:marTop w:val="0"/>
          <w:marBottom w:val="0"/>
          <w:divBdr>
            <w:top w:val="none" w:sz="0" w:space="0" w:color="auto"/>
            <w:left w:val="none" w:sz="0" w:space="0" w:color="auto"/>
            <w:bottom w:val="none" w:sz="0" w:space="0" w:color="auto"/>
            <w:right w:val="none" w:sz="0" w:space="0" w:color="auto"/>
          </w:divBdr>
        </w:div>
      </w:divsChild>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40039053">
      <w:bodyDiv w:val="1"/>
      <w:marLeft w:val="0"/>
      <w:marRight w:val="0"/>
      <w:marTop w:val="0"/>
      <w:marBottom w:val="0"/>
      <w:divBdr>
        <w:top w:val="none" w:sz="0" w:space="0" w:color="auto"/>
        <w:left w:val="none" w:sz="0" w:space="0" w:color="auto"/>
        <w:bottom w:val="none" w:sz="0" w:space="0" w:color="auto"/>
        <w:right w:val="none" w:sz="0" w:space="0" w:color="auto"/>
      </w:divBdr>
      <w:divsChild>
        <w:div w:id="1515072506">
          <w:marLeft w:val="0"/>
          <w:marRight w:val="0"/>
          <w:marTop w:val="0"/>
          <w:marBottom w:val="0"/>
          <w:divBdr>
            <w:top w:val="none" w:sz="0" w:space="0" w:color="auto"/>
            <w:left w:val="none" w:sz="0" w:space="0" w:color="auto"/>
            <w:bottom w:val="none" w:sz="0" w:space="0" w:color="auto"/>
            <w:right w:val="none" w:sz="0" w:space="0" w:color="auto"/>
          </w:divBdr>
        </w:div>
      </w:divsChild>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8954054">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18227965">
      <w:bodyDiv w:val="1"/>
      <w:marLeft w:val="0"/>
      <w:marRight w:val="0"/>
      <w:marTop w:val="0"/>
      <w:marBottom w:val="0"/>
      <w:divBdr>
        <w:top w:val="none" w:sz="0" w:space="0" w:color="auto"/>
        <w:left w:val="none" w:sz="0" w:space="0" w:color="auto"/>
        <w:bottom w:val="none" w:sz="0" w:space="0" w:color="auto"/>
        <w:right w:val="none" w:sz="0" w:space="0" w:color="auto"/>
      </w:divBdr>
      <w:divsChild>
        <w:div w:id="69354399">
          <w:marLeft w:val="0"/>
          <w:marRight w:val="0"/>
          <w:marTop w:val="0"/>
          <w:marBottom w:val="0"/>
          <w:divBdr>
            <w:top w:val="none" w:sz="0" w:space="0" w:color="auto"/>
            <w:left w:val="none" w:sz="0" w:space="0" w:color="auto"/>
            <w:bottom w:val="none" w:sz="0" w:space="0" w:color="auto"/>
            <w:right w:val="none" w:sz="0" w:space="0" w:color="auto"/>
          </w:divBdr>
        </w:div>
        <w:div w:id="1430929668">
          <w:marLeft w:val="0"/>
          <w:marRight w:val="0"/>
          <w:marTop w:val="0"/>
          <w:marBottom w:val="0"/>
          <w:divBdr>
            <w:top w:val="none" w:sz="0" w:space="0" w:color="auto"/>
            <w:left w:val="none" w:sz="0" w:space="0" w:color="auto"/>
            <w:bottom w:val="none" w:sz="0" w:space="0" w:color="auto"/>
            <w:right w:val="none" w:sz="0" w:space="0" w:color="auto"/>
          </w:divBdr>
        </w:div>
        <w:div w:id="1461418058">
          <w:marLeft w:val="0"/>
          <w:marRight w:val="0"/>
          <w:marTop w:val="0"/>
          <w:marBottom w:val="0"/>
          <w:divBdr>
            <w:top w:val="none" w:sz="0" w:space="0" w:color="auto"/>
            <w:left w:val="none" w:sz="0" w:space="0" w:color="auto"/>
            <w:bottom w:val="none" w:sz="0" w:space="0" w:color="auto"/>
            <w:right w:val="none" w:sz="0" w:space="0" w:color="auto"/>
          </w:divBdr>
        </w:div>
        <w:div w:id="514347763">
          <w:marLeft w:val="0"/>
          <w:marRight w:val="0"/>
          <w:marTop w:val="0"/>
          <w:marBottom w:val="0"/>
          <w:divBdr>
            <w:top w:val="none" w:sz="0" w:space="0" w:color="auto"/>
            <w:left w:val="none" w:sz="0" w:space="0" w:color="auto"/>
            <w:bottom w:val="none" w:sz="0" w:space="0" w:color="auto"/>
            <w:right w:val="none" w:sz="0" w:space="0" w:color="auto"/>
          </w:divBdr>
          <w:divsChild>
            <w:div w:id="1778793917">
              <w:marLeft w:val="0"/>
              <w:marRight w:val="0"/>
              <w:marTop w:val="0"/>
              <w:marBottom w:val="0"/>
              <w:divBdr>
                <w:top w:val="none" w:sz="0" w:space="0" w:color="auto"/>
                <w:left w:val="none" w:sz="0" w:space="0" w:color="auto"/>
                <w:bottom w:val="none" w:sz="0" w:space="0" w:color="auto"/>
                <w:right w:val="none" w:sz="0" w:space="0" w:color="auto"/>
              </w:divBdr>
            </w:div>
            <w:div w:id="657270648">
              <w:marLeft w:val="0"/>
              <w:marRight w:val="0"/>
              <w:marTop w:val="0"/>
              <w:marBottom w:val="0"/>
              <w:divBdr>
                <w:top w:val="none" w:sz="0" w:space="0" w:color="auto"/>
                <w:left w:val="none" w:sz="0" w:space="0" w:color="auto"/>
                <w:bottom w:val="none" w:sz="0" w:space="0" w:color="auto"/>
                <w:right w:val="none" w:sz="0" w:space="0" w:color="auto"/>
              </w:divBdr>
            </w:div>
            <w:div w:id="837309939">
              <w:marLeft w:val="0"/>
              <w:marRight w:val="0"/>
              <w:marTop w:val="0"/>
              <w:marBottom w:val="0"/>
              <w:divBdr>
                <w:top w:val="none" w:sz="0" w:space="0" w:color="auto"/>
                <w:left w:val="none" w:sz="0" w:space="0" w:color="auto"/>
                <w:bottom w:val="none" w:sz="0" w:space="0" w:color="auto"/>
                <w:right w:val="none" w:sz="0" w:space="0" w:color="auto"/>
              </w:divBdr>
            </w:div>
            <w:div w:id="1813669543">
              <w:marLeft w:val="0"/>
              <w:marRight w:val="0"/>
              <w:marTop w:val="0"/>
              <w:marBottom w:val="0"/>
              <w:divBdr>
                <w:top w:val="none" w:sz="0" w:space="0" w:color="auto"/>
                <w:left w:val="none" w:sz="0" w:space="0" w:color="auto"/>
                <w:bottom w:val="none" w:sz="0" w:space="0" w:color="auto"/>
                <w:right w:val="none" w:sz="0" w:space="0" w:color="auto"/>
              </w:divBdr>
            </w:div>
            <w:div w:id="684794942">
              <w:marLeft w:val="0"/>
              <w:marRight w:val="0"/>
              <w:marTop w:val="0"/>
              <w:marBottom w:val="0"/>
              <w:divBdr>
                <w:top w:val="none" w:sz="0" w:space="0" w:color="auto"/>
                <w:left w:val="none" w:sz="0" w:space="0" w:color="auto"/>
                <w:bottom w:val="none" w:sz="0" w:space="0" w:color="auto"/>
                <w:right w:val="none" w:sz="0" w:space="0" w:color="auto"/>
              </w:divBdr>
            </w:div>
            <w:div w:id="2084715982">
              <w:marLeft w:val="0"/>
              <w:marRight w:val="0"/>
              <w:marTop w:val="0"/>
              <w:marBottom w:val="0"/>
              <w:divBdr>
                <w:top w:val="none" w:sz="0" w:space="0" w:color="auto"/>
                <w:left w:val="none" w:sz="0" w:space="0" w:color="auto"/>
                <w:bottom w:val="none" w:sz="0" w:space="0" w:color="auto"/>
                <w:right w:val="none" w:sz="0" w:space="0" w:color="auto"/>
              </w:divBdr>
            </w:div>
            <w:div w:id="630088495">
              <w:marLeft w:val="0"/>
              <w:marRight w:val="0"/>
              <w:marTop w:val="0"/>
              <w:marBottom w:val="0"/>
              <w:divBdr>
                <w:top w:val="none" w:sz="0" w:space="0" w:color="auto"/>
                <w:left w:val="none" w:sz="0" w:space="0" w:color="auto"/>
                <w:bottom w:val="none" w:sz="0" w:space="0" w:color="auto"/>
                <w:right w:val="none" w:sz="0" w:space="0" w:color="auto"/>
              </w:divBdr>
            </w:div>
            <w:div w:id="526333049">
              <w:marLeft w:val="0"/>
              <w:marRight w:val="0"/>
              <w:marTop w:val="0"/>
              <w:marBottom w:val="0"/>
              <w:divBdr>
                <w:top w:val="none" w:sz="0" w:space="0" w:color="auto"/>
                <w:left w:val="none" w:sz="0" w:space="0" w:color="auto"/>
                <w:bottom w:val="none" w:sz="0" w:space="0" w:color="auto"/>
                <w:right w:val="none" w:sz="0" w:space="0" w:color="auto"/>
              </w:divBdr>
            </w:div>
            <w:div w:id="392778864">
              <w:marLeft w:val="0"/>
              <w:marRight w:val="0"/>
              <w:marTop w:val="0"/>
              <w:marBottom w:val="0"/>
              <w:divBdr>
                <w:top w:val="none" w:sz="0" w:space="0" w:color="auto"/>
                <w:left w:val="none" w:sz="0" w:space="0" w:color="auto"/>
                <w:bottom w:val="none" w:sz="0" w:space="0" w:color="auto"/>
                <w:right w:val="none" w:sz="0" w:space="0" w:color="auto"/>
              </w:divBdr>
            </w:div>
            <w:div w:id="1960986177">
              <w:marLeft w:val="0"/>
              <w:marRight w:val="0"/>
              <w:marTop w:val="0"/>
              <w:marBottom w:val="0"/>
              <w:divBdr>
                <w:top w:val="none" w:sz="0" w:space="0" w:color="auto"/>
                <w:left w:val="none" w:sz="0" w:space="0" w:color="auto"/>
                <w:bottom w:val="none" w:sz="0" w:space="0" w:color="auto"/>
                <w:right w:val="none" w:sz="0" w:space="0" w:color="auto"/>
              </w:divBdr>
            </w:div>
            <w:div w:id="1210848376">
              <w:marLeft w:val="0"/>
              <w:marRight w:val="0"/>
              <w:marTop w:val="0"/>
              <w:marBottom w:val="0"/>
              <w:divBdr>
                <w:top w:val="none" w:sz="0" w:space="0" w:color="auto"/>
                <w:left w:val="none" w:sz="0" w:space="0" w:color="auto"/>
                <w:bottom w:val="none" w:sz="0" w:space="0" w:color="auto"/>
                <w:right w:val="none" w:sz="0" w:space="0" w:color="auto"/>
              </w:divBdr>
            </w:div>
            <w:div w:id="1388606841">
              <w:marLeft w:val="0"/>
              <w:marRight w:val="0"/>
              <w:marTop w:val="0"/>
              <w:marBottom w:val="0"/>
              <w:divBdr>
                <w:top w:val="none" w:sz="0" w:space="0" w:color="auto"/>
                <w:left w:val="none" w:sz="0" w:space="0" w:color="auto"/>
                <w:bottom w:val="none" w:sz="0" w:space="0" w:color="auto"/>
                <w:right w:val="none" w:sz="0" w:space="0" w:color="auto"/>
              </w:divBdr>
            </w:div>
            <w:div w:id="13497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1103</Words>
  <Characters>5960</Characters>
  <Application>Microsoft Office Word</Application>
  <DocSecurity>0</DocSecurity>
  <Lines>49</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vlachaki</cp:lastModifiedBy>
  <cp:revision>2</cp:revision>
  <dcterms:created xsi:type="dcterms:W3CDTF">2026-01-23T14:27:00Z</dcterms:created>
  <dcterms:modified xsi:type="dcterms:W3CDTF">2026-01-23T14:27:00Z</dcterms:modified>
</cp:coreProperties>
</file>